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湛江市气象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部门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依据《中华人民共和国政府信息公开条例》第五十条之规定，制作本报告。本报告中所列数据的统计期限自202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 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湛江市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以习近平新时代中国特色社会主义思想为指导，认真学习宣传贯彻党的二十大精神，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，进一步完善政府信息公开制度，着力深化主动公开，认真做好依申请公开，加强政策解读和政务舆情回应，努力提升工作质量和水平。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主动公开。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湛江市气象部门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通过网站、微博、微信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年内，湛江市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气象局网站及时更新各专栏，涵盖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工作动态、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气象服务、应急减灾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、预算结算、人事信息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等公开栏目，其中通过网站公开政务信息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。湛江市局和各县（市）气象局积极通过微信公众号、微博等多种渠道发布气象服务信息，年内湛江市气象部门（含各县局，下同）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天气</w:t>
      </w:r>
      <w:r>
        <w:rPr>
          <w:rFonts w:hint="eastAsia" w:ascii="仿宋_GB2312" w:hAnsi="仿宋_GB2312" w:eastAsia="仿宋_GB2312" w:cs="仿宋_GB2312"/>
          <w:sz w:val="32"/>
          <w:szCs w:val="32"/>
        </w:rPr>
        <w:t>微博发布气象服务信息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24992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条、各类气象预警信号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1262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次，通过电视、电台发布天气预报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3285</w:t>
      </w:r>
      <w:r>
        <w:rPr>
          <w:rFonts w:hint="eastAsia" w:ascii="仿宋_GB2312" w:hAnsi="仿宋_GB2312" w:eastAsia="仿宋_GB2312" w:cs="仿宋_GB2312"/>
          <w:sz w:val="32"/>
          <w:szCs w:val="32"/>
        </w:rPr>
        <w:t>期，此外，发布重要信息快报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214</w:t>
      </w:r>
      <w:r>
        <w:rPr>
          <w:rFonts w:hint="eastAsia" w:ascii="仿宋_GB2312" w:hAnsi="仿宋_GB2312" w:eastAsia="仿宋_GB2312" w:cs="仿宋_GB2312"/>
          <w:sz w:val="32"/>
          <w:szCs w:val="32"/>
        </w:rPr>
        <w:t>期、专报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sz w:val="32"/>
          <w:szCs w:val="32"/>
        </w:rPr>
        <w:t>份、决策短信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463.4万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没有接收到书面或者电话等其他形式要求公开政府信息的申请，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政府信息公开的收费，也无减免；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因为政府信息公开工作而被申请行政复议或被提起行政诉讼。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加强领导，明确职责，规范管理，健全完善制度，确保政务公开工作规范。确定专人负责、专人管理，积极稳妥推进政府信息公开工作。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（四）平台建设。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按照广东省气象局政府网站建设指引和考核要求，进一步提升信息公开平台发布功能，规范栏目设置，动态监控网站日常运行维护，进一步提高政府服务水平。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（五）监督保障。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一是强化社会监督。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对需要向社会进行意见征集的，及时通过政务公开网站进行公示，积极主动听取社会公众的意见与建议。二是加强信息审核。落实信息发布的“三审三校”制度，确保信息发布的准确性；三是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技术检测。对门户网站开展进行经常性技术检测，确保链接正常、更新及时、运行稳定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2E332D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E332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，湛江市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气象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政府信息公开工作虽然取得一定成效，但也存在一些不足，政府信息公开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标准化建设还需进一步提高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，对政府信息公开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相关法律法规的教育培训还需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增强，政府信息宣传力度还需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年，湛江市气象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将继续认真落实政府信息公开工作要求，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对标先进，进一步健全制度，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增强公开实效，充分发挥政府信息对人民群众生产、生活和经济社会活动的服务作用。强化标准化规范化建设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气象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工作实际及时优化调整完善政务公开事项目录，增强信息的实效性和针对性。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无。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NDgzMDdkYjY1YzJhMDRlM2VlOGM0Y2Q5ZDI2MWYifQ=="/>
  </w:docVars>
  <w:rsids>
    <w:rsidRoot w:val="384140B6"/>
    <w:rsid w:val="06AD3BEF"/>
    <w:rsid w:val="0DB532F5"/>
    <w:rsid w:val="1206773A"/>
    <w:rsid w:val="29790F05"/>
    <w:rsid w:val="2CC31375"/>
    <w:rsid w:val="2FC831F1"/>
    <w:rsid w:val="384140B6"/>
    <w:rsid w:val="38C17D70"/>
    <w:rsid w:val="38F737C5"/>
    <w:rsid w:val="3C422D56"/>
    <w:rsid w:val="3FEF6AF8"/>
    <w:rsid w:val="4413548A"/>
    <w:rsid w:val="48E00F3E"/>
    <w:rsid w:val="494F0884"/>
    <w:rsid w:val="530E041C"/>
    <w:rsid w:val="58826B3B"/>
    <w:rsid w:val="5E0C7B1E"/>
    <w:rsid w:val="60F521D3"/>
    <w:rsid w:val="62026B5E"/>
    <w:rsid w:val="74314549"/>
    <w:rsid w:val="79D26420"/>
    <w:rsid w:val="7A0339D1"/>
    <w:rsid w:val="7B6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2077</Words>
  <Characters>2172</Characters>
  <Lines>0</Lines>
  <Paragraphs>0</Paragraphs>
  <TotalTime>9</TotalTime>
  <ScaleCrop>false</ScaleCrop>
  <LinksUpToDate>false</LinksUpToDate>
  <CharactersWithSpaces>2172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2022-01-28T10:58:00Z</dcterms:created>
  <dc:creator>郭浩鑫</dc:creator>
  <cp:lastModifiedBy>吴江妃:办公室主任</cp:lastModifiedBy>
  <cp:lastPrinted>2022-01-29T01:20:00Z</cp:lastPrinted>
  <dcterms:modified xsi:type="dcterms:W3CDTF">2024-02-14T13:52:52Z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3B513303818D4C0981E89189B8B538F8</vt:lpwstr>
  </property>
</Properties>
</file>