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spacing w:line="7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湛江市气象局202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年度防雷安全“双随机”执法检查计划</w:t>
      </w:r>
    </w:p>
    <w:bookmarkEnd w:id="0"/>
    <w:p>
      <w:pPr>
        <w:spacing w:line="600" w:lineRule="exact"/>
        <w:jc w:val="center"/>
        <w:rPr>
          <w:rFonts w:ascii="方正小标宋简体" w:eastAsia="方正小标宋简体"/>
          <w:sz w:val="44"/>
          <w:szCs w:val="44"/>
        </w:rPr>
      </w:pP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为进一步贯彻落实《中华人民共和国气象法》、《中华人民共和国安全生产法》、《防雷减灾管理办法》、</w:t>
      </w:r>
      <w:r>
        <w:rPr>
          <w:rFonts w:hint="eastAsia" w:ascii="仿宋_GB2312" w:hAnsi="Helvetica" w:eastAsia="仿宋_GB2312" w:cs="Helvetica"/>
          <w:color w:val="000000"/>
          <w:kern w:val="0"/>
          <w:sz w:val="32"/>
        </w:rPr>
        <w:t>《雷电防护装置检测资质管理办法》</w:t>
      </w:r>
      <w:r>
        <w:rPr>
          <w:rFonts w:hint="eastAsia" w:ascii="仿宋_GB2312" w:hAnsi="宋体" w:eastAsia="仿宋_GB2312"/>
          <w:sz w:val="32"/>
          <w:szCs w:val="32"/>
        </w:rPr>
        <w:t>、</w:t>
      </w:r>
      <w:r>
        <w:rPr>
          <w:rFonts w:hint="eastAsia" w:ascii="仿宋_GB2312" w:eastAsia="仿宋_GB2312"/>
          <w:b w:val="0"/>
          <w:bCs w:val="0"/>
          <w:color w:val="000000"/>
          <w:sz w:val="32"/>
          <w:szCs w:val="32"/>
          <w:lang w:val="en-US" w:eastAsia="zh-CN"/>
        </w:rPr>
        <w:t>《广东省防御雷电灾害管理规定》</w:t>
      </w:r>
      <w:r>
        <w:rPr>
          <w:rFonts w:hint="eastAsia" w:ascii="仿宋_GB2312" w:hAnsi="宋体" w:eastAsia="仿宋_GB2312"/>
          <w:sz w:val="32"/>
          <w:szCs w:val="32"/>
        </w:rPr>
        <w:t>等法律法规和文件精神，切实加强全市防雷安全重点单位和</w:t>
      </w:r>
      <w:r>
        <w:rPr>
          <w:rFonts w:hint="eastAsia" w:ascii="仿宋_GB2312" w:hAnsi="Helvetica" w:eastAsia="仿宋_GB2312" w:cs="Helvetica"/>
          <w:color w:val="000000"/>
          <w:kern w:val="0"/>
          <w:sz w:val="32"/>
        </w:rPr>
        <w:t>雷电防护装置检测单位监督</w:t>
      </w:r>
      <w:r>
        <w:rPr>
          <w:rFonts w:hint="eastAsia" w:ascii="仿宋_GB2312" w:hAnsi="宋体" w:eastAsia="仿宋_GB2312"/>
          <w:sz w:val="32"/>
          <w:szCs w:val="32"/>
        </w:rPr>
        <w:t>管理，压实企业主体责任和属地监管责任，根据工作实际，制定本年度防雷安全“双随机”执法检查计划。</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widowControl/>
        <w:spacing w:line="580" w:lineRule="exact"/>
        <w:ind w:firstLine="580"/>
        <w:textAlignment w:val="baseline"/>
        <w:rPr>
          <w:rFonts w:hint="eastAsia" w:ascii="仿宋_GB2312" w:hAnsi="宋体" w:eastAsia="仿宋_GB2312"/>
          <w:sz w:val="32"/>
          <w:szCs w:val="32"/>
        </w:rPr>
      </w:pPr>
      <w:r>
        <w:rPr>
          <w:rFonts w:hint="eastAsia" w:ascii="仿宋_GB2312" w:hAnsi="宋体" w:eastAsia="仿宋_GB2312" w:cs="Times New Roman"/>
          <w:kern w:val="0"/>
          <w:sz w:val="32"/>
          <w:szCs w:val="32"/>
        </w:rPr>
        <w:t>以习近平新时代中国特色社会主义思想为指导，全面贯彻党的十九大和十九届历次全会精神</w:t>
      </w:r>
      <w:r>
        <w:rPr>
          <w:rFonts w:hint="eastAsia" w:ascii="仿宋_GB2312" w:hAnsi="宋体" w:eastAsia="仿宋_GB2312"/>
          <w:sz w:val="32"/>
          <w:szCs w:val="32"/>
        </w:rPr>
        <w:t>，</w:t>
      </w:r>
      <w:r>
        <w:rPr>
          <w:rFonts w:hint="eastAsia" w:ascii="仿宋_GB2312" w:hAnsi="宋体" w:eastAsia="仿宋_GB2312" w:cs="Times New Roman"/>
          <w:kern w:val="0"/>
          <w:sz w:val="32"/>
          <w:szCs w:val="32"/>
        </w:rPr>
        <w:t>落实习近平总书记对气象工作重要批示精神</w:t>
      </w:r>
      <w:r>
        <w:rPr>
          <w:rFonts w:hint="eastAsia" w:ascii="仿宋_GB2312" w:hAnsi="宋体" w:eastAsia="仿宋_GB2312" w:cs="Times New Roman"/>
          <w:kern w:val="0"/>
          <w:sz w:val="32"/>
          <w:szCs w:val="32"/>
          <w:lang w:eastAsia="zh-CN"/>
        </w:rPr>
        <w:t>。牢固树立“人民至上、生命至上”理念，</w:t>
      </w:r>
      <w:r>
        <w:rPr>
          <w:rFonts w:hint="eastAsia" w:ascii="仿宋_GB2312" w:hAnsi="宋体" w:eastAsia="仿宋_GB2312" w:cs="Times New Roman"/>
          <w:kern w:val="0"/>
          <w:sz w:val="32"/>
          <w:szCs w:val="32"/>
        </w:rPr>
        <w:t>健全以防为主、防抗救相结合的防御雷电灾害工作机制</w:t>
      </w:r>
      <w:r>
        <w:rPr>
          <w:rFonts w:hint="eastAsia" w:ascii="仿宋_GB2312" w:hAnsi="宋体" w:eastAsia="仿宋_GB2312" w:cs="Times New Roman"/>
          <w:kern w:val="0"/>
          <w:sz w:val="32"/>
          <w:szCs w:val="32"/>
          <w:lang w:eastAsia="zh-CN"/>
        </w:rPr>
        <w:t>，</w:t>
      </w:r>
      <w:r>
        <w:rPr>
          <w:rFonts w:hint="eastAsia" w:ascii="仿宋_GB2312" w:hAnsi="宋体" w:eastAsia="仿宋_GB2312"/>
          <w:sz w:val="32"/>
          <w:szCs w:val="32"/>
        </w:rPr>
        <w:t>切实履行防雷安全监管职责，强化监督检查力度，严厉打击违法行为，督促企业全面履行防雷安全生产主体责任</w:t>
      </w:r>
      <w:r>
        <w:rPr>
          <w:rFonts w:hint="eastAsia" w:ascii="仿宋_GB2312" w:hAnsi="Helvetica" w:eastAsia="仿宋_GB2312" w:cs="Helvetica"/>
          <w:color w:val="000000"/>
          <w:kern w:val="0"/>
          <w:sz w:val="32"/>
        </w:rPr>
        <w:t>，规范</w:t>
      </w:r>
      <w:r>
        <w:rPr>
          <w:rFonts w:hint="eastAsia" w:ascii="仿宋_GB2312" w:hAnsi="Helvetica" w:eastAsia="仿宋_GB2312" w:cs="Helvetica"/>
          <w:color w:val="000000"/>
          <w:kern w:val="0"/>
          <w:sz w:val="32"/>
          <w:lang w:eastAsia="zh-CN"/>
        </w:rPr>
        <w:t>雷电防护</w:t>
      </w:r>
      <w:r>
        <w:rPr>
          <w:rFonts w:hint="eastAsia" w:ascii="仿宋_GB2312" w:hAnsi="Helvetica" w:eastAsia="仿宋_GB2312" w:cs="Helvetica"/>
          <w:color w:val="000000"/>
          <w:kern w:val="0"/>
          <w:sz w:val="32"/>
        </w:rPr>
        <w:t>装置检测行为，提升</w:t>
      </w:r>
      <w:r>
        <w:rPr>
          <w:rFonts w:hint="eastAsia" w:ascii="仿宋_GB2312" w:hAnsi="Helvetica" w:eastAsia="仿宋_GB2312" w:cs="Helvetica"/>
          <w:color w:val="000000"/>
          <w:kern w:val="0"/>
          <w:sz w:val="32"/>
          <w:lang w:eastAsia="zh-CN"/>
        </w:rPr>
        <w:t>雷电防护</w:t>
      </w:r>
      <w:r>
        <w:rPr>
          <w:rFonts w:hint="eastAsia" w:ascii="仿宋_GB2312" w:hAnsi="Helvetica" w:eastAsia="仿宋_GB2312" w:cs="Helvetica"/>
          <w:color w:val="000000"/>
          <w:kern w:val="0"/>
          <w:sz w:val="32"/>
        </w:rPr>
        <w:t>装置检测服务质量，宣贯落实气象法律法规，</w:t>
      </w:r>
      <w:r>
        <w:rPr>
          <w:rFonts w:hint="eastAsia" w:ascii="仿宋_GB2312" w:hAnsi="宋体" w:eastAsia="仿宋_GB2312"/>
          <w:sz w:val="32"/>
          <w:szCs w:val="32"/>
        </w:rPr>
        <w:t>减少和避免雷击引起的生产安全事故，助力全</w:t>
      </w:r>
      <w:r>
        <w:rPr>
          <w:rFonts w:hint="eastAsia" w:ascii="仿宋_GB2312" w:hAnsi="宋体" w:eastAsia="仿宋_GB2312"/>
          <w:sz w:val="32"/>
          <w:szCs w:val="32"/>
          <w:lang w:eastAsia="zh-CN"/>
        </w:rPr>
        <w:t>市</w:t>
      </w:r>
      <w:r>
        <w:rPr>
          <w:rFonts w:hint="eastAsia" w:ascii="仿宋_GB2312" w:hAnsi="宋体" w:eastAsia="仿宋_GB2312"/>
          <w:sz w:val="32"/>
          <w:szCs w:val="32"/>
        </w:rPr>
        <w:t>经济高质量发展。</w:t>
      </w:r>
    </w:p>
    <w:p>
      <w:pPr>
        <w:widowControl/>
        <w:spacing w:line="580" w:lineRule="exact"/>
        <w:ind w:firstLine="580"/>
        <w:textAlignment w:val="baseline"/>
        <w:rPr>
          <w:rFonts w:ascii="仿宋_GB2312" w:hAnsi="Helvetica" w:eastAsia="仿宋_GB2312" w:cs="Helvetica"/>
          <w:color w:val="000000"/>
          <w:kern w:val="0"/>
          <w:sz w:val="32"/>
        </w:rPr>
      </w:pPr>
      <w:r>
        <w:rPr>
          <w:rFonts w:hint="eastAsia" w:ascii="仿宋_GB2312" w:hAnsi="Times New Roman" w:eastAsia="仿宋_GB2312" w:cs="Times New Roman"/>
          <w:b/>
          <w:sz w:val="32"/>
          <w:szCs w:val="32"/>
        </w:rPr>
        <w:t>抽取原则</w:t>
      </w:r>
      <w:r>
        <w:rPr>
          <w:rFonts w:hint="eastAsia" w:ascii="仿宋_GB2312" w:hAnsi="Times New Roman" w:eastAsia="仿宋_GB2312"/>
          <w:b/>
          <w:sz w:val="32"/>
          <w:szCs w:val="32"/>
        </w:rPr>
        <w:t>：</w:t>
      </w:r>
      <w:r>
        <w:rPr>
          <w:rFonts w:hint="eastAsia" w:ascii="仿宋_GB2312" w:hAnsi="Times New Roman" w:eastAsia="仿宋_GB2312" w:cs="Times New Roman"/>
          <w:sz w:val="32"/>
          <w:szCs w:val="32"/>
          <w:lang w:eastAsia="zh-CN"/>
        </w:rPr>
        <w:t>城镇燃气、玻璃栈道等重点行业领域</w:t>
      </w:r>
      <w:r>
        <w:rPr>
          <w:rFonts w:hint="eastAsia" w:ascii="仿宋_GB2312" w:hAnsi="Times New Roman" w:eastAsia="仿宋_GB2312" w:cs="Times New Roman"/>
          <w:sz w:val="32"/>
          <w:szCs w:val="32"/>
        </w:rPr>
        <w:t>；被当地列为气象灾害防御重点单位的；近年发生过安全生产事故的；上</w:t>
      </w:r>
      <w:r>
        <w:rPr>
          <w:rFonts w:hint="eastAsia" w:ascii="仿宋_GB2312" w:hAnsi="Helvetica" w:eastAsia="仿宋_GB2312" w:cs="Helvetica"/>
          <w:kern w:val="0"/>
          <w:sz w:val="32"/>
        </w:rPr>
        <w:t>年度被立案、行政处罚、专项检查中发现问题较多须开展</w:t>
      </w:r>
      <w:r>
        <w:rPr>
          <w:rFonts w:hint="eastAsia" w:ascii="仿宋_GB2312" w:hAnsi="Times New Roman" w:eastAsia="仿宋_GB2312" w:cs="Times New Roman"/>
          <w:sz w:val="32"/>
          <w:szCs w:val="32"/>
        </w:rPr>
        <w:t>“回头看”</w:t>
      </w:r>
      <w:r>
        <w:rPr>
          <w:rFonts w:hint="eastAsia" w:ascii="仿宋_GB2312" w:hAnsi="Helvetica" w:eastAsia="仿宋_GB2312" w:cs="Helvetica"/>
          <w:kern w:val="0"/>
          <w:sz w:val="32"/>
        </w:rPr>
        <w:t>的；</w:t>
      </w:r>
      <w:r>
        <w:rPr>
          <w:rFonts w:hint="eastAsia" w:ascii="仿宋_GB2312" w:hAnsi="Times New Roman" w:eastAsia="仿宋_GB2312" w:cs="Times New Roman"/>
          <w:sz w:val="32"/>
          <w:szCs w:val="32"/>
          <w:lang w:val="en-US" w:eastAsia="zh-CN"/>
        </w:rPr>
        <w:t>近两年新认定的甲级检测资质单位；</w:t>
      </w:r>
      <w:r>
        <w:rPr>
          <w:rFonts w:hint="eastAsia" w:ascii="仿宋_GB2312" w:hAnsi="Times New Roman" w:eastAsia="仿宋_GB2312" w:cs="Times New Roman"/>
          <w:sz w:val="32"/>
          <w:szCs w:val="32"/>
        </w:rPr>
        <w:t>已在应急部门挂牌督办的。</w:t>
      </w:r>
    </w:p>
    <w:p>
      <w:pPr>
        <w:spacing w:line="580" w:lineRule="exact"/>
        <w:rPr>
          <w:rFonts w:ascii="黑体" w:hAnsi="黑体" w:eastAsia="黑体"/>
          <w:sz w:val="32"/>
          <w:szCs w:val="32"/>
        </w:rPr>
      </w:pPr>
      <w:r>
        <w:rPr>
          <w:rFonts w:hint="eastAsia"/>
          <w:sz w:val="36"/>
          <w:szCs w:val="36"/>
        </w:rPr>
        <w:t>　</w:t>
      </w:r>
      <w:r>
        <w:rPr>
          <w:rFonts w:hint="eastAsia" w:ascii="黑体" w:hAnsi="黑体" w:eastAsia="黑体"/>
          <w:sz w:val="36"/>
          <w:szCs w:val="36"/>
        </w:rPr>
        <w:t>　</w:t>
      </w:r>
      <w:r>
        <w:rPr>
          <w:rFonts w:hint="eastAsia" w:ascii="黑体" w:hAnsi="黑体" w:eastAsia="黑体"/>
          <w:sz w:val="32"/>
          <w:szCs w:val="32"/>
        </w:rPr>
        <w:t>二、检查方式</w:t>
      </w:r>
    </w:p>
    <w:p>
      <w:pPr>
        <w:spacing w:line="580" w:lineRule="exact"/>
        <w:ind w:firstLine="640" w:firstLineChars="200"/>
        <w:rPr>
          <w:rFonts w:ascii="仿宋_GB2312" w:hAnsi="Times New Roman" w:eastAsia="仿宋_GB2312" w:cs="Times New Roman"/>
          <w:sz w:val="32"/>
          <w:szCs w:val="32"/>
        </w:rPr>
      </w:pPr>
      <w:r>
        <w:rPr>
          <w:rFonts w:hint="eastAsia" w:ascii="仿宋_GB2312" w:hAnsi="宋体" w:eastAsia="仿宋_GB2312"/>
          <w:sz w:val="32"/>
          <w:szCs w:val="32"/>
        </w:rPr>
        <w:t>按照</w:t>
      </w:r>
      <w:r>
        <w:rPr>
          <w:rFonts w:hint="eastAsia" w:ascii="仿宋_GB2312" w:hAnsi="宋体" w:eastAsia="仿宋_GB2312"/>
          <w:sz w:val="32"/>
          <w:szCs w:val="32"/>
          <w:lang w:eastAsia="zh-CN"/>
        </w:rPr>
        <w:t>“</w:t>
      </w:r>
      <w:r>
        <w:rPr>
          <w:rFonts w:hint="eastAsia" w:ascii="仿宋_GB2312" w:hAnsi="宋体" w:eastAsia="仿宋_GB2312"/>
          <w:sz w:val="32"/>
          <w:szCs w:val="32"/>
        </w:rPr>
        <w:t>双随机、一公开</w:t>
      </w:r>
      <w:r>
        <w:rPr>
          <w:rFonts w:hint="eastAsia" w:ascii="仿宋_GB2312" w:hAnsi="宋体" w:eastAsia="仿宋_GB2312"/>
          <w:sz w:val="32"/>
          <w:szCs w:val="32"/>
          <w:lang w:eastAsia="zh-CN"/>
        </w:rPr>
        <w:t>”</w:t>
      </w:r>
      <w:r>
        <w:rPr>
          <w:rFonts w:hint="eastAsia" w:ascii="仿宋_GB2312" w:hAnsi="宋体" w:eastAsia="仿宋_GB2312"/>
          <w:sz w:val="32"/>
          <w:szCs w:val="32"/>
        </w:rPr>
        <w:t>的要求，202</w:t>
      </w:r>
      <w:r>
        <w:rPr>
          <w:rFonts w:hint="eastAsia" w:ascii="仿宋_GB2312" w:hAnsi="宋体" w:eastAsia="仿宋_GB2312"/>
          <w:sz w:val="32"/>
          <w:szCs w:val="32"/>
          <w:lang w:val="en-US" w:eastAsia="zh-CN"/>
        </w:rPr>
        <w:t>2</w:t>
      </w:r>
      <w:r>
        <w:rPr>
          <w:rFonts w:hint="eastAsia" w:ascii="仿宋_GB2312" w:hAnsi="Times New Roman" w:eastAsia="仿宋_GB2312" w:cs="Times New Roman"/>
          <w:sz w:val="32"/>
          <w:szCs w:val="32"/>
        </w:rPr>
        <w:t>年在全市范围内随机抽取防雷安全重点单位</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家、</w:t>
      </w:r>
      <w:r>
        <w:rPr>
          <w:rFonts w:hint="eastAsia" w:ascii="仿宋_GB2312" w:hAnsi="Times New Roman" w:eastAsia="仿宋_GB2312" w:cs="Times New Roman"/>
          <w:sz w:val="32"/>
          <w:szCs w:val="32"/>
          <w:lang w:eastAsia="zh-CN"/>
        </w:rPr>
        <w:t>雷电防护装置</w:t>
      </w:r>
      <w:r>
        <w:rPr>
          <w:rFonts w:hint="eastAsia" w:ascii="仿宋_GB2312" w:hAnsi="Times New Roman" w:eastAsia="仿宋_GB2312" w:cs="Times New Roman"/>
          <w:sz w:val="32"/>
          <w:szCs w:val="32"/>
        </w:rPr>
        <w:t>检测单位</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家（详见附件</w:t>
      </w:r>
      <w:r>
        <w:rPr>
          <w:rFonts w:hint="eastAsia" w:ascii="仿宋_GB2312" w:hAnsi="Times New Roman" w:eastAsia="仿宋_GB2312"/>
          <w:sz w:val="32"/>
          <w:szCs w:val="32"/>
        </w:rPr>
        <w:t>1、附件2）</w:t>
      </w:r>
      <w:r>
        <w:rPr>
          <w:rFonts w:hint="eastAsia" w:ascii="仿宋_GB2312" w:hAnsi="Times New Roman" w:eastAsia="仿宋_GB2312" w:cs="Times New Roman"/>
          <w:sz w:val="32"/>
          <w:szCs w:val="32"/>
        </w:rPr>
        <w:t>。检查人员按照</w:t>
      </w:r>
      <w:r>
        <w:rPr>
          <w:rFonts w:hint="eastAsia" w:ascii="仿宋_GB2312" w:hAnsi="Helvetica" w:eastAsia="仿宋_GB2312" w:cs="Helvetica"/>
          <w:color w:val="000000"/>
          <w:kern w:val="0"/>
          <w:sz w:val="32"/>
        </w:rPr>
        <w:t>每组至少3名进行抽取</w:t>
      </w:r>
      <w:r>
        <w:rPr>
          <w:rFonts w:ascii="仿宋_GB2312" w:hAnsi="Helvetica" w:eastAsia="仿宋_GB2312" w:cs="Helvetica"/>
          <w:color w:val="000000"/>
          <w:kern w:val="0"/>
          <w:sz w:val="32"/>
        </w:rPr>
        <w:t>，</w:t>
      </w:r>
      <w:r>
        <w:rPr>
          <w:rFonts w:hint="eastAsia" w:ascii="仿宋_GB2312" w:hAnsi="Helvetica" w:eastAsia="仿宋_GB2312" w:cs="Helvetica"/>
          <w:color w:val="000000"/>
          <w:kern w:val="0"/>
          <w:sz w:val="32"/>
        </w:rPr>
        <w:t>包含执法人员2名、技术支持专家1名。</w:t>
      </w:r>
    </w:p>
    <w:p>
      <w:pPr>
        <w:spacing w:line="580" w:lineRule="exact"/>
        <w:ind w:firstLine="645"/>
        <w:rPr>
          <w:rFonts w:ascii="黑体" w:hAnsi="黑体" w:eastAsia="黑体"/>
          <w:sz w:val="32"/>
          <w:szCs w:val="32"/>
        </w:rPr>
      </w:pPr>
      <w:r>
        <w:rPr>
          <w:rFonts w:hint="eastAsia" w:ascii="黑体" w:hAnsi="黑体" w:eastAsia="黑体"/>
          <w:sz w:val="32"/>
          <w:szCs w:val="32"/>
        </w:rPr>
        <w:t>三、检查内容</w:t>
      </w:r>
    </w:p>
    <w:p>
      <w:pPr>
        <w:spacing w:line="580" w:lineRule="exact"/>
        <w:ind w:firstLine="645"/>
        <w:rPr>
          <w:rFonts w:ascii="仿宋_GB2312" w:hAnsi="黑体" w:eastAsia="仿宋_GB2312"/>
          <w:sz w:val="32"/>
          <w:szCs w:val="32"/>
        </w:rPr>
      </w:pPr>
      <w:r>
        <w:rPr>
          <w:rFonts w:hint="eastAsia" w:ascii="楷体_GB2312" w:hAnsi="黑体" w:eastAsia="楷体_GB2312"/>
          <w:sz w:val="32"/>
          <w:szCs w:val="32"/>
        </w:rPr>
        <w:t>（一）防雷安全重点单位</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w:t>
      </w:r>
      <w:r>
        <w:rPr>
          <w:rFonts w:ascii="Times New Roman" w:hAnsi="Times New Roman" w:eastAsia="仿宋_GB2312"/>
          <w:sz w:val="32"/>
          <w:szCs w:val="32"/>
        </w:rPr>
        <w:t>《</w:t>
      </w:r>
      <w:r>
        <w:rPr>
          <w:rFonts w:hint="eastAsia" w:ascii="Times New Roman" w:hAnsi="Times New Roman" w:eastAsia="仿宋_GB2312"/>
          <w:sz w:val="32"/>
          <w:szCs w:val="32"/>
        </w:rPr>
        <w:t>防雷安全</w:t>
      </w:r>
      <w:r>
        <w:rPr>
          <w:rFonts w:ascii="Times New Roman" w:hAnsi="Times New Roman" w:eastAsia="仿宋_GB2312"/>
          <w:sz w:val="32"/>
          <w:szCs w:val="32"/>
        </w:rPr>
        <w:t>检查</w:t>
      </w:r>
      <w:r>
        <w:rPr>
          <w:rFonts w:hint="eastAsia" w:ascii="Times New Roman" w:hAnsi="Times New Roman" w:eastAsia="仿宋_GB2312"/>
          <w:sz w:val="32"/>
          <w:szCs w:val="32"/>
        </w:rPr>
        <w:t>规程</w:t>
      </w:r>
      <w:r>
        <w:rPr>
          <w:rFonts w:ascii="Times New Roman" w:hAnsi="Times New Roman" w:eastAsia="仿宋_GB2312"/>
          <w:sz w:val="32"/>
          <w:szCs w:val="32"/>
        </w:rPr>
        <w:t>》</w:t>
      </w:r>
      <w:r>
        <w:rPr>
          <w:rFonts w:hint="eastAsia" w:ascii="Times New Roman" w:hAnsi="Times New Roman" w:eastAsia="仿宋_GB2312"/>
          <w:sz w:val="32"/>
          <w:szCs w:val="32"/>
        </w:rPr>
        <w:t>（QX/T40</w:t>
      </w:r>
      <w:r>
        <w:rPr>
          <w:rFonts w:ascii="Times New Roman" w:hAnsi="Times New Roman" w:eastAsia="仿宋_GB2312"/>
          <w:sz w:val="32"/>
          <w:szCs w:val="32"/>
        </w:rPr>
        <w:t>0</w:t>
      </w:r>
      <w:r>
        <w:rPr>
          <w:rFonts w:hint="eastAsia" w:ascii="Times New Roman" w:hAnsi="Times New Roman" w:eastAsia="仿宋_GB2312"/>
          <w:sz w:val="32"/>
          <w:szCs w:val="32"/>
        </w:rPr>
        <w:t xml:space="preserve"> -2017），并结合我省易燃易爆重点行业和区域气象灾害防御重点单位防雷安全生产隐患排查治理体系，对</w:t>
      </w:r>
      <w:r>
        <w:rPr>
          <w:rFonts w:ascii="Times New Roman" w:hAnsi="Times New Roman" w:eastAsia="仿宋_GB2312"/>
          <w:sz w:val="32"/>
          <w:szCs w:val="32"/>
        </w:rPr>
        <w:t>防雷安全</w:t>
      </w:r>
      <w:r>
        <w:rPr>
          <w:rFonts w:hint="eastAsia" w:ascii="Times New Roman" w:hAnsi="Times New Roman" w:eastAsia="仿宋_GB2312"/>
          <w:sz w:val="32"/>
          <w:szCs w:val="32"/>
        </w:rPr>
        <w:t>重点单位的主体责任落实及</w:t>
      </w:r>
      <w:r>
        <w:rPr>
          <w:rFonts w:ascii="Times New Roman" w:hAnsi="Times New Roman" w:eastAsia="仿宋_GB2312"/>
          <w:sz w:val="32"/>
          <w:szCs w:val="32"/>
        </w:rPr>
        <w:t>现场防雷设施</w:t>
      </w:r>
      <w:r>
        <w:rPr>
          <w:rFonts w:hint="eastAsia" w:ascii="Times New Roman" w:hAnsi="Times New Roman" w:eastAsia="仿宋_GB2312"/>
          <w:sz w:val="32"/>
          <w:szCs w:val="32"/>
        </w:rPr>
        <w:t>情况进行</w:t>
      </w:r>
      <w:r>
        <w:rPr>
          <w:rFonts w:ascii="Times New Roman" w:hAnsi="Times New Roman" w:eastAsia="仿宋_GB2312"/>
          <w:sz w:val="32"/>
          <w:szCs w:val="32"/>
        </w:rPr>
        <w:t>检查，</w:t>
      </w:r>
      <w:r>
        <w:rPr>
          <w:rFonts w:hint="eastAsia" w:ascii="Times New Roman" w:hAnsi="Times New Roman" w:eastAsia="仿宋_GB2312"/>
          <w:sz w:val="32"/>
          <w:szCs w:val="32"/>
        </w:rPr>
        <w:t>检查</w:t>
      </w:r>
      <w:r>
        <w:rPr>
          <w:rFonts w:ascii="Times New Roman" w:hAnsi="Times New Roman" w:eastAsia="仿宋_GB2312"/>
          <w:sz w:val="32"/>
          <w:szCs w:val="32"/>
        </w:rPr>
        <w:t>方式包括</w:t>
      </w:r>
      <w:r>
        <w:rPr>
          <w:rFonts w:hint="eastAsia" w:ascii="Times New Roman" w:hAnsi="Times New Roman" w:eastAsia="仿宋_GB2312"/>
          <w:sz w:val="32"/>
          <w:szCs w:val="32"/>
        </w:rPr>
        <w:t>现场问询、生产</w:t>
      </w:r>
      <w:r>
        <w:rPr>
          <w:rFonts w:hint="eastAsia" w:ascii="Times New Roman" w:hAnsi="Times New Roman" w:eastAsia="仿宋_GB2312"/>
          <w:sz w:val="32"/>
          <w:szCs w:val="32"/>
          <w:lang w:eastAsia="zh-CN"/>
        </w:rPr>
        <w:t>经营区域</w:t>
      </w:r>
      <w:r>
        <w:rPr>
          <w:rFonts w:hint="eastAsia" w:ascii="Times New Roman" w:hAnsi="Times New Roman" w:eastAsia="仿宋_GB2312"/>
          <w:sz w:val="32"/>
          <w:szCs w:val="32"/>
        </w:rPr>
        <w:t>抽查、</w:t>
      </w:r>
      <w:r>
        <w:rPr>
          <w:rFonts w:ascii="Times New Roman" w:hAnsi="Times New Roman" w:eastAsia="仿宋_GB2312"/>
          <w:sz w:val="32"/>
          <w:szCs w:val="32"/>
        </w:rPr>
        <w:t>翻阅档案</w:t>
      </w:r>
      <w:r>
        <w:rPr>
          <w:rFonts w:hint="eastAsia" w:ascii="Times New Roman" w:hAnsi="Times New Roman" w:eastAsia="仿宋_GB2312"/>
          <w:sz w:val="32"/>
          <w:szCs w:val="32"/>
        </w:rPr>
        <w:t>材料等。</w:t>
      </w:r>
    </w:p>
    <w:p>
      <w:pPr>
        <w:spacing w:line="580" w:lineRule="exact"/>
        <w:ind w:firstLine="645"/>
        <w:rPr>
          <w:rFonts w:ascii="楷体_GB2312" w:hAnsi="黑体" w:eastAsia="楷体_GB2312"/>
          <w:sz w:val="32"/>
          <w:szCs w:val="32"/>
        </w:rPr>
      </w:pPr>
      <w:r>
        <w:rPr>
          <w:rFonts w:hint="eastAsia" w:ascii="楷体_GB2312" w:hAnsi="黑体" w:eastAsia="楷体_GB2312"/>
          <w:sz w:val="32"/>
          <w:szCs w:val="32"/>
        </w:rPr>
        <w:t>（二）</w:t>
      </w:r>
      <w:r>
        <w:rPr>
          <w:rFonts w:hint="eastAsia" w:ascii="楷体_GB2312" w:hAnsi="黑体" w:eastAsia="楷体_GB2312"/>
          <w:sz w:val="32"/>
          <w:szCs w:val="32"/>
          <w:lang w:eastAsia="zh-CN"/>
        </w:rPr>
        <w:t>雷电防护装置</w:t>
      </w:r>
      <w:r>
        <w:rPr>
          <w:rFonts w:hint="eastAsia" w:ascii="楷体_GB2312" w:hAnsi="黑体" w:eastAsia="楷体_GB2312"/>
          <w:sz w:val="32"/>
          <w:szCs w:val="32"/>
        </w:rPr>
        <w:t>检测单位</w:t>
      </w:r>
    </w:p>
    <w:p>
      <w:pPr>
        <w:spacing w:line="580" w:lineRule="exact"/>
        <w:ind w:firstLine="645"/>
        <w:rPr>
          <w:rFonts w:ascii="楷体_GB2312" w:hAnsi="黑体" w:eastAsia="楷体_GB2312"/>
          <w:sz w:val="32"/>
          <w:szCs w:val="32"/>
        </w:rPr>
      </w:pPr>
      <w:r>
        <w:rPr>
          <w:rFonts w:hint="eastAsia" w:ascii="仿宋_GB2312" w:hAnsi="Helvetica" w:eastAsia="仿宋_GB2312" w:cs="Helvetica"/>
          <w:color w:val="000000"/>
          <w:kern w:val="0"/>
          <w:sz w:val="32"/>
        </w:rPr>
        <w:t>1.法定责任执行情况检查。按照《广东省防雷装置检测单位年度报告检查抽查规程》对雷电防护检测单位年度报告的基本信息、人员信息、分支机构信息、仪器信息、检测项目等进行检查。</w:t>
      </w:r>
    </w:p>
    <w:p>
      <w:pPr>
        <w:spacing w:line="580" w:lineRule="exact"/>
        <w:ind w:firstLine="645"/>
        <w:rPr>
          <w:rFonts w:ascii="楷体_GB2312" w:hAnsi="黑体" w:eastAsia="楷体_GB2312"/>
          <w:sz w:val="32"/>
          <w:szCs w:val="32"/>
        </w:rPr>
      </w:pPr>
      <w:r>
        <w:rPr>
          <w:rFonts w:hint="eastAsia" w:ascii="仿宋_GB2312" w:hAnsi="Helvetica" w:eastAsia="仿宋_GB2312" w:cs="Helvetica"/>
          <w:color w:val="000000"/>
          <w:kern w:val="0"/>
          <w:sz w:val="32"/>
        </w:rPr>
        <w:t>2.检测能力实地查验。</w:t>
      </w:r>
      <w:r>
        <w:rPr>
          <w:rFonts w:hint="eastAsia" w:ascii="仿宋_GB2312" w:hAnsi="Helvetica" w:eastAsia="仿宋_GB2312" w:cs="Helvetica"/>
          <w:color w:val="000000"/>
          <w:kern w:val="0"/>
          <w:sz w:val="32"/>
          <w:lang w:eastAsia="zh-CN"/>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广东省雷电防护装置检测单位执法检查工作手册</w:t>
      </w:r>
      <w:r>
        <w:rPr>
          <w:rFonts w:hint="eastAsia" w:ascii="仿宋_GB2312" w:hAnsi="仿宋_GB2312" w:eastAsia="仿宋_GB2312" w:cs="仿宋_GB2312"/>
          <w:sz w:val="32"/>
          <w:szCs w:val="32"/>
          <w:lang w:eastAsia="zh-CN"/>
        </w:rPr>
        <w:t>》，</w:t>
      </w:r>
      <w:r>
        <w:rPr>
          <w:rFonts w:hint="eastAsia" w:ascii="仿宋_GB2312" w:hAnsi="Helvetica" w:eastAsia="仿宋_GB2312" w:cs="Helvetica"/>
          <w:color w:val="000000"/>
          <w:kern w:val="0"/>
          <w:sz w:val="32"/>
        </w:rPr>
        <w:t>采取查阅资料档案、调查询问和实地查看</w:t>
      </w:r>
      <w:r>
        <w:rPr>
          <w:rFonts w:hint="eastAsia" w:ascii="仿宋_GB2312" w:hAnsi="Helvetica" w:eastAsia="仿宋_GB2312" w:cs="Helvetica"/>
          <w:color w:val="000000"/>
          <w:kern w:val="0"/>
          <w:sz w:val="32"/>
          <w:lang w:eastAsia="zh-CN"/>
        </w:rPr>
        <w:t>等</w:t>
      </w:r>
      <w:r>
        <w:rPr>
          <w:rFonts w:hint="eastAsia" w:ascii="仿宋_GB2312" w:hAnsi="Helvetica" w:eastAsia="仿宋_GB2312" w:cs="Helvetica"/>
          <w:color w:val="000000"/>
          <w:kern w:val="0"/>
          <w:sz w:val="32"/>
        </w:rPr>
        <w:t>形式对检测单位线上登记情况真实性进行检查。</w:t>
      </w:r>
    </w:p>
    <w:p>
      <w:pPr>
        <w:spacing w:line="580" w:lineRule="exact"/>
        <w:ind w:firstLine="645"/>
        <w:rPr>
          <w:rFonts w:ascii="楷体_GB2312" w:hAnsi="黑体" w:eastAsia="仿宋_GB2312"/>
          <w:sz w:val="32"/>
          <w:szCs w:val="32"/>
        </w:rPr>
      </w:pPr>
      <w:r>
        <w:rPr>
          <w:rFonts w:hint="eastAsia" w:ascii="仿宋_GB2312" w:hAnsi="仿宋" w:eastAsia="仿宋_GB2312"/>
          <w:sz w:val="32"/>
          <w:szCs w:val="32"/>
        </w:rPr>
        <w:t>3.检测质量</w:t>
      </w:r>
      <w:r>
        <w:rPr>
          <w:rFonts w:hint="eastAsia" w:ascii="仿宋_GB2312" w:hAnsi="仿宋" w:eastAsia="仿宋_GB2312"/>
          <w:sz w:val="32"/>
          <w:szCs w:val="32"/>
          <w:lang w:val="en-US" w:eastAsia="zh-CN"/>
        </w:rPr>
        <w:t>体系实施情况和检测报告质量检查</w:t>
      </w:r>
      <w:r>
        <w:rPr>
          <w:rFonts w:hint="eastAsia" w:ascii="仿宋_GB2312" w:hAnsi="仿宋" w:eastAsia="仿宋_GB2312"/>
          <w:sz w:val="32"/>
          <w:szCs w:val="32"/>
        </w:rPr>
        <w:t>。</w:t>
      </w:r>
      <w:r>
        <w:rPr>
          <w:rFonts w:hint="eastAsia" w:ascii="仿宋_GB2312" w:hAnsi="Helvetica" w:eastAsia="仿宋_GB2312" w:cs="Helvetica"/>
          <w:color w:val="000000"/>
          <w:kern w:val="0"/>
          <w:sz w:val="32"/>
        </w:rPr>
        <w:t>对检测单位出具的防雷装置检测报告上传情况进行检查；抽取1～2份完整的防雷装置检测项目档案委托第三方进行质量评价</w:t>
      </w:r>
      <w:r>
        <w:rPr>
          <w:rFonts w:hint="eastAsia" w:ascii="仿宋_GB2312" w:hAnsi="Helvetica" w:eastAsia="仿宋_GB2312" w:cs="Helvetica"/>
          <w:color w:val="000000"/>
          <w:kern w:val="0"/>
          <w:sz w:val="32"/>
          <w:lang w:eastAsia="zh-CN"/>
        </w:rPr>
        <w:t>；</w:t>
      </w:r>
      <w:r>
        <w:rPr>
          <w:rFonts w:hint="eastAsia" w:ascii="仿宋_GB2312" w:hAnsi="Helvetica" w:eastAsia="仿宋_GB2312" w:cs="Helvetica"/>
          <w:color w:val="000000"/>
          <w:kern w:val="0"/>
          <w:sz w:val="32"/>
        </w:rPr>
        <w:t>检测单位</w:t>
      </w:r>
      <w:r>
        <w:rPr>
          <w:rFonts w:hint="eastAsia" w:ascii="仿宋_GB2312" w:hAnsi="Helvetica" w:eastAsia="仿宋_GB2312" w:cs="Helvetica"/>
          <w:color w:val="000000"/>
          <w:kern w:val="0"/>
          <w:sz w:val="32"/>
          <w:lang w:eastAsia="zh-CN"/>
        </w:rPr>
        <w:t>质量体系实施</w:t>
      </w:r>
      <w:r>
        <w:rPr>
          <w:rFonts w:hint="eastAsia" w:ascii="仿宋_GB2312" w:hAnsi="Helvetica" w:eastAsia="仿宋_GB2312" w:cs="Helvetica"/>
          <w:color w:val="000000"/>
          <w:kern w:val="0"/>
          <w:sz w:val="32"/>
        </w:rPr>
        <w:t>情况。</w:t>
      </w:r>
    </w:p>
    <w:p>
      <w:pPr>
        <w:spacing w:line="580" w:lineRule="exact"/>
        <w:ind w:firstLine="645"/>
        <w:rPr>
          <w:rFonts w:ascii="仿宋_GB2312" w:hAnsi="黑体" w:eastAsia="仿宋_GB2312"/>
          <w:sz w:val="32"/>
          <w:szCs w:val="32"/>
        </w:rPr>
      </w:pPr>
      <w:r>
        <w:rPr>
          <w:rFonts w:hint="eastAsia" w:ascii="仿宋_GB2312" w:hAnsi="黑体" w:eastAsia="仿宋_GB2312"/>
          <w:sz w:val="32"/>
          <w:szCs w:val="32"/>
        </w:rPr>
        <w:t>检查结束后5个工作日内在</w:t>
      </w:r>
      <w:r>
        <w:rPr>
          <w:rFonts w:hint="eastAsia" w:ascii="仿宋_GB2312" w:hAnsi="黑体" w:eastAsia="仿宋_GB2312"/>
          <w:sz w:val="32"/>
          <w:szCs w:val="32"/>
          <w:lang w:eastAsia="zh-CN"/>
        </w:rPr>
        <w:t>监察</w:t>
      </w:r>
      <w:r>
        <w:rPr>
          <w:rFonts w:hint="eastAsia" w:ascii="仿宋_GB2312" w:hAnsi="黑体" w:eastAsia="仿宋_GB2312"/>
          <w:sz w:val="32"/>
          <w:szCs w:val="32"/>
        </w:rPr>
        <w:t>平台录入检查情况。对存在隐患的单位由属地</w:t>
      </w:r>
      <w:r>
        <w:rPr>
          <w:rFonts w:hint="eastAsia" w:ascii="仿宋_GB2312" w:hAnsi="黑体" w:eastAsia="仿宋_GB2312"/>
          <w:sz w:val="32"/>
          <w:szCs w:val="32"/>
          <w:lang w:eastAsia="zh-CN"/>
        </w:rPr>
        <w:t>气象主管机构</w:t>
      </w:r>
      <w:r>
        <w:rPr>
          <w:rFonts w:hint="eastAsia" w:ascii="仿宋_GB2312" w:hAnsi="黑体" w:eastAsia="仿宋_GB2312"/>
          <w:sz w:val="32"/>
          <w:szCs w:val="32"/>
        </w:rPr>
        <w:t>做好隐患整改督促和复查工作，对存在违法行为的要及时立案查处，复查和督办情况及时录入平台。</w:t>
      </w:r>
    </w:p>
    <w:p>
      <w:pPr>
        <w:spacing w:line="580" w:lineRule="exact"/>
        <w:ind w:firstLine="645"/>
        <w:rPr>
          <w:rFonts w:ascii="黑体" w:hAnsi="黑体" w:eastAsia="黑体"/>
          <w:sz w:val="32"/>
          <w:szCs w:val="32"/>
        </w:rPr>
      </w:pPr>
      <w:r>
        <w:rPr>
          <w:rFonts w:hint="eastAsia" w:ascii="黑体" w:hAnsi="黑体" w:eastAsia="黑体"/>
          <w:sz w:val="32"/>
          <w:szCs w:val="32"/>
        </w:rPr>
        <w:t>四、保障措施</w:t>
      </w:r>
    </w:p>
    <w:p>
      <w:pPr>
        <w:spacing w:line="580" w:lineRule="exact"/>
        <w:ind w:firstLine="645"/>
        <w:rPr>
          <w:rFonts w:ascii="仿宋_GB2312" w:hAnsi="黑体" w:eastAsia="仿宋_GB2312"/>
          <w:sz w:val="32"/>
          <w:szCs w:val="32"/>
        </w:rPr>
      </w:pPr>
      <w:r>
        <w:rPr>
          <w:rFonts w:hint="eastAsia" w:ascii="楷体_GB2312" w:hAnsi="黑体" w:eastAsia="楷体_GB2312"/>
          <w:sz w:val="32"/>
          <w:szCs w:val="32"/>
        </w:rPr>
        <w:t>（一）加强组织领导。</w:t>
      </w:r>
      <w:r>
        <w:rPr>
          <w:rFonts w:hint="eastAsia" w:ascii="仿宋_GB2312" w:hAnsi="仿宋_GB2312" w:eastAsia="仿宋_GB2312" w:cs="仿宋_GB2312"/>
          <w:sz w:val="32"/>
          <w:szCs w:val="32"/>
        </w:rPr>
        <w:t>要加强组织领导，提前做好年度监督检查计划实施的各项准备工作，</w:t>
      </w:r>
      <w:r>
        <w:rPr>
          <w:rFonts w:hint="eastAsia" w:ascii="仿宋_GB2312" w:eastAsia="仿宋_GB2312"/>
          <w:sz w:val="32"/>
          <w:szCs w:val="32"/>
        </w:rPr>
        <w:t>完善防雷市场、质量、安全监管，提升防雷安全监管效能</w:t>
      </w:r>
      <w:r>
        <w:rPr>
          <w:rFonts w:hint="eastAsia" w:ascii="仿宋_GB2312" w:hAnsi="黑体" w:eastAsia="仿宋_GB2312"/>
          <w:sz w:val="32"/>
          <w:szCs w:val="32"/>
          <w:lang w:eastAsia="zh-CN"/>
        </w:rPr>
        <w:t>。</w:t>
      </w:r>
      <w:r>
        <w:rPr>
          <w:rFonts w:hint="eastAsia" w:ascii="仿宋_GB2312" w:hAnsi="仿宋_GB2312" w:eastAsia="仿宋_GB2312" w:cs="仿宋_GB2312"/>
          <w:bCs/>
          <w:sz w:val="32"/>
          <w:szCs w:val="32"/>
        </w:rPr>
        <w:t>发现问题必须做好记录和保留佐证资料，确保检查工作顺利开展，结果可溯源。</w:t>
      </w:r>
    </w:p>
    <w:p>
      <w:pPr>
        <w:spacing w:line="580" w:lineRule="exact"/>
        <w:ind w:firstLine="640" w:firstLineChars="200"/>
        <w:rPr>
          <w:rFonts w:ascii="仿宋_GB2312" w:hAnsi="黑体" w:eastAsia="仿宋_GB2312"/>
          <w:sz w:val="32"/>
          <w:szCs w:val="32"/>
        </w:rPr>
      </w:pPr>
      <w:r>
        <w:rPr>
          <w:rFonts w:hint="eastAsia" w:ascii="楷体_GB2312" w:hAnsi="黑体" w:eastAsia="楷体_GB2312"/>
          <w:sz w:val="32"/>
          <w:szCs w:val="32"/>
        </w:rPr>
        <w:t>（二）规范检查行为。</w:t>
      </w:r>
      <w:r>
        <w:rPr>
          <w:rFonts w:hint="eastAsia" w:ascii="仿宋_GB2312" w:hAnsi="黑体" w:eastAsia="仿宋_GB2312"/>
          <w:sz w:val="32"/>
          <w:szCs w:val="32"/>
        </w:rPr>
        <w:t>严格依照</w:t>
      </w:r>
      <w:r>
        <w:rPr>
          <w:rFonts w:hint="eastAsia" w:ascii="仿宋_GB2312" w:hAnsi="黑体" w:eastAsia="仿宋_GB2312"/>
          <w:sz w:val="32"/>
          <w:szCs w:val="32"/>
          <w:lang w:eastAsia="zh-CN"/>
        </w:rPr>
        <w:t>行政执法三项制度和</w:t>
      </w:r>
      <w:r>
        <w:rPr>
          <w:rFonts w:hint="eastAsia" w:ascii="仿宋_GB2312" w:hAnsi="黑体" w:eastAsia="仿宋_GB2312"/>
          <w:sz w:val="32"/>
          <w:szCs w:val="32"/>
        </w:rPr>
        <w:t>现行</w:t>
      </w:r>
      <w:r>
        <w:rPr>
          <w:rFonts w:hint="eastAsia" w:ascii="仿宋_GB2312" w:hAnsi="黑体" w:eastAsia="仿宋_GB2312"/>
          <w:sz w:val="32"/>
          <w:szCs w:val="32"/>
          <w:lang w:eastAsia="zh-CN"/>
        </w:rPr>
        <w:t>法律法规</w:t>
      </w:r>
      <w:r>
        <w:rPr>
          <w:rFonts w:hint="eastAsia" w:ascii="仿宋_GB2312" w:hAnsi="黑体" w:eastAsia="仿宋_GB2312"/>
          <w:sz w:val="32"/>
          <w:szCs w:val="32"/>
        </w:rPr>
        <w:t>和安全生产相关监督检查规定，规范监督检查的各个环节，做到程序合法、操作规范、自由裁量权使用得当、文书填写规范，</w:t>
      </w:r>
      <w:r>
        <w:rPr>
          <w:rFonts w:hint="eastAsia" w:ascii="仿宋_GB2312" w:hAnsi="黑体" w:eastAsia="仿宋_GB2312"/>
          <w:sz w:val="32"/>
          <w:szCs w:val="32"/>
          <w:lang w:eastAsia="zh-CN"/>
        </w:rPr>
        <w:t>保证</w:t>
      </w:r>
      <w:r>
        <w:rPr>
          <w:rFonts w:hint="eastAsia" w:ascii="仿宋_GB2312" w:hAnsi="黑体" w:eastAsia="仿宋_GB2312"/>
          <w:sz w:val="32"/>
          <w:szCs w:val="32"/>
        </w:rPr>
        <w:t>监督检查工作质量。</w:t>
      </w:r>
    </w:p>
    <w:p>
      <w:pPr>
        <w:spacing w:line="580" w:lineRule="exact"/>
        <w:ind w:firstLine="645"/>
        <w:rPr>
          <w:rFonts w:ascii="仿宋_GB2312" w:hAnsi="黑体" w:eastAsia="仿宋_GB2312"/>
          <w:sz w:val="32"/>
          <w:szCs w:val="32"/>
        </w:rPr>
      </w:pPr>
      <w:r>
        <w:rPr>
          <w:rFonts w:hint="eastAsia" w:ascii="楷体_GB2312" w:hAnsi="黑体" w:eastAsia="楷体_GB2312"/>
          <w:sz w:val="32"/>
          <w:szCs w:val="32"/>
        </w:rPr>
        <w:t>（</w:t>
      </w:r>
      <w:r>
        <w:rPr>
          <w:rFonts w:hint="eastAsia" w:ascii="楷体_GB2312" w:hAnsi="黑体" w:eastAsia="楷体_GB2312"/>
          <w:sz w:val="32"/>
          <w:szCs w:val="32"/>
          <w:lang w:eastAsia="zh-CN"/>
        </w:rPr>
        <w:t>三</w:t>
      </w:r>
      <w:r>
        <w:rPr>
          <w:rFonts w:hint="eastAsia" w:ascii="楷体_GB2312" w:hAnsi="黑体" w:eastAsia="楷体_GB2312"/>
          <w:sz w:val="32"/>
          <w:szCs w:val="32"/>
        </w:rPr>
        <w:t>）检查考核指标。</w:t>
      </w:r>
      <w:r>
        <w:rPr>
          <w:rFonts w:hint="eastAsia" w:ascii="仿宋_GB2312" w:hAnsi="黑体" w:eastAsia="仿宋_GB2312"/>
          <w:sz w:val="32"/>
          <w:szCs w:val="32"/>
        </w:rPr>
        <w:t>考核指标为完成检查数量、隐患落实整改率、</w:t>
      </w:r>
      <w:r>
        <w:rPr>
          <w:rFonts w:hint="eastAsia" w:ascii="仿宋_GB2312" w:hAnsi="黑体" w:eastAsia="仿宋_GB2312"/>
          <w:sz w:val="32"/>
          <w:szCs w:val="32"/>
          <w:lang w:eastAsia="zh-CN"/>
        </w:rPr>
        <w:t>监管</w:t>
      </w:r>
      <w:r>
        <w:rPr>
          <w:rFonts w:hint="eastAsia" w:ascii="仿宋_GB2312" w:hAnsi="黑体" w:eastAsia="仿宋_GB2312"/>
          <w:sz w:val="32"/>
          <w:szCs w:val="32"/>
        </w:rPr>
        <w:t>平台录入情况、属地配合情况等，考核指标作为年度考核依据。</w:t>
      </w:r>
    </w:p>
    <w:p>
      <w:pPr>
        <w:widowControl/>
        <w:spacing w:before="156" w:line="440" w:lineRule="exact"/>
        <w:ind w:left="142"/>
        <w:outlineLvl w:val="2"/>
        <w:rPr>
          <w:rFonts w:hint="eastAsia" w:ascii="黑体" w:hAnsi="黑体" w:eastAsia="黑体" w:cs="Times New Roman"/>
          <w:color w:val="000000"/>
          <w:kern w:val="0"/>
          <w:sz w:val="32"/>
          <w:szCs w:val="32"/>
        </w:rPr>
      </w:pPr>
    </w:p>
    <w:p>
      <w:pPr>
        <w:widowControl/>
        <w:spacing w:before="156" w:line="440" w:lineRule="exact"/>
        <w:ind w:left="142"/>
        <w:outlineLvl w:val="2"/>
        <w:rPr>
          <w:rFonts w:hint="eastAsia" w:ascii="黑体" w:hAnsi="黑体" w:eastAsia="黑体" w:cs="Times New Roman"/>
          <w:color w:val="000000"/>
          <w:kern w:val="0"/>
          <w:sz w:val="32"/>
          <w:szCs w:val="32"/>
        </w:rPr>
      </w:pPr>
    </w:p>
    <w:p>
      <w:pPr>
        <w:widowControl/>
        <w:spacing w:before="156" w:line="440" w:lineRule="exact"/>
        <w:ind w:left="142"/>
        <w:outlineLvl w:val="2"/>
        <w:rPr>
          <w:rFonts w:hint="eastAsia" w:ascii="黑体" w:hAnsi="黑体" w:eastAsia="黑体" w:cs="Times New Roman"/>
          <w:color w:val="000000"/>
          <w:kern w:val="0"/>
          <w:sz w:val="32"/>
          <w:szCs w:val="32"/>
        </w:rPr>
      </w:pPr>
    </w:p>
    <w:p>
      <w:pPr>
        <w:widowControl/>
        <w:spacing w:before="156" w:line="440" w:lineRule="exact"/>
        <w:ind w:left="142"/>
        <w:outlineLvl w:val="2"/>
        <w:rPr>
          <w:rFonts w:hint="eastAsia" w:ascii="黑体" w:hAnsi="黑体" w:eastAsia="黑体" w:cs="Times New Roman"/>
          <w:color w:val="000000"/>
          <w:kern w:val="0"/>
          <w:sz w:val="32"/>
          <w:szCs w:val="32"/>
        </w:rPr>
      </w:pPr>
    </w:p>
    <w:p>
      <w:pPr>
        <w:widowControl/>
        <w:spacing w:before="156" w:line="440" w:lineRule="exact"/>
        <w:ind w:left="142"/>
        <w:outlineLvl w:val="2"/>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附件1</w:t>
      </w:r>
    </w:p>
    <w:p>
      <w:pPr>
        <w:widowControl/>
        <w:spacing w:before="156" w:line="700" w:lineRule="exact"/>
        <w:ind w:left="142"/>
        <w:jc w:val="center"/>
        <w:outlineLvl w:val="2"/>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防雷安全重点单位监督检查计划表</w:t>
      </w:r>
    </w:p>
    <w:p/>
    <w:tbl>
      <w:tblPr>
        <w:tblStyle w:val="5"/>
        <w:tblW w:w="5391" w:type="pct"/>
        <w:tblInd w:w="-420" w:type="dxa"/>
        <w:tblLayout w:type="autofit"/>
        <w:tblCellMar>
          <w:top w:w="0" w:type="dxa"/>
          <w:left w:w="108" w:type="dxa"/>
          <w:bottom w:w="0" w:type="dxa"/>
          <w:right w:w="108" w:type="dxa"/>
        </w:tblCellMar>
      </w:tblPr>
      <w:tblGrid>
        <w:gridCol w:w="782"/>
        <w:gridCol w:w="5241"/>
        <w:gridCol w:w="1220"/>
        <w:gridCol w:w="1939"/>
      </w:tblGrid>
      <w:tr>
        <w:tblPrEx>
          <w:tblCellMar>
            <w:top w:w="0" w:type="dxa"/>
            <w:left w:w="108" w:type="dxa"/>
            <w:bottom w:w="0" w:type="dxa"/>
            <w:right w:w="108" w:type="dxa"/>
          </w:tblCellMar>
        </w:tblPrEx>
        <w:trPr>
          <w:trHeight w:val="540" w:hRule="atLeast"/>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28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重点单位名称</w:t>
            </w:r>
          </w:p>
        </w:tc>
        <w:tc>
          <w:tcPr>
            <w:tcW w:w="6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地区</w:t>
            </w:r>
          </w:p>
        </w:tc>
        <w:tc>
          <w:tcPr>
            <w:tcW w:w="10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检查时间</w:t>
            </w:r>
          </w:p>
        </w:tc>
      </w:tr>
      <w:tr>
        <w:tblPrEx>
          <w:tblCellMar>
            <w:top w:w="0" w:type="dxa"/>
            <w:left w:w="108" w:type="dxa"/>
            <w:bottom w:w="0" w:type="dxa"/>
            <w:right w:w="108" w:type="dxa"/>
          </w:tblCellMar>
        </w:tblPrEx>
        <w:trPr>
          <w:trHeight w:val="945" w:hRule="atLeast"/>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1</w:t>
            </w:r>
          </w:p>
        </w:tc>
        <w:tc>
          <w:tcPr>
            <w:tcW w:w="28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 xml:space="preserve">中国石化销售有限公司广东湛江龙安加油站 </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坡头区</w:t>
            </w:r>
          </w:p>
        </w:tc>
        <w:tc>
          <w:tcPr>
            <w:tcW w:w="10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szCs w:val="24"/>
              </w:rPr>
            </w:pPr>
            <w:r>
              <w:rPr>
                <w:rFonts w:hint="eastAsia" w:ascii="仿宋_GB2312" w:eastAsia="仿宋_GB2312"/>
                <w:sz w:val="24"/>
                <w:szCs w:val="24"/>
              </w:rPr>
              <w:t>全年</w:t>
            </w:r>
          </w:p>
        </w:tc>
      </w:tr>
      <w:tr>
        <w:tblPrEx>
          <w:tblCellMar>
            <w:top w:w="0" w:type="dxa"/>
            <w:left w:w="108" w:type="dxa"/>
            <w:bottom w:w="0" w:type="dxa"/>
            <w:right w:w="108" w:type="dxa"/>
          </w:tblCellMar>
        </w:tblPrEx>
        <w:trPr>
          <w:trHeight w:val="945" w:hRule="atLeast"/>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2</w:t>
            </w:r>
          </w:p>
        </w:tc>
        <w:tc>
          <w:tcPr>
            <w:tcW w:w="28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湛江市坡头区田头油料供应站</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坡头区</w:t>
            </w:r>
          </w:p>
        </w:tc>
        <w:tc>
          <w:tcPr>
            <w:tcW w:w="105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p>
        </w:tc>
      </w:tr>
      <w:tr>
        <w:tblPrEx>
          <w:tblCellMar>
            <w:top w:w="0" w:type="dxa"/>
            <w:left w:w="108" w:type="dxa"/>
            <w:bottom w:w="0" w:type="dxa"/>
            <w:right w:w="108" w:type="dxa"/>
          </w:tblCellMar>
        </w:tblPrEx>
        <w:trPr>
          <w:trHeight w:val="945" w:hRule="atLeast"/>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3</w:t>
            </w:r>
          </w:p>
        </w:tc>
        <w:tc>
          <w:tcPr>
            <w:tcW w:w="28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中石油燃料油有限责任公司湛江仓储分公司</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lang w:eastAsia="zh-CN"/>
              </w:rPr>
            </w:pPr>
            <w:r>
              <w:rPr>
                <w:rFonts w:hint="eastAsia" w:ascii="仿宋_GB2312" w:eastAsia="仿宋_GB2312"/>
                <w:sz w:val="24"/>
                <w:szCs w:val="24"/>
                <w:lang w:eastAsia="zh-CN"/>
              </w:rPr>
              <w:t>霞山区</w:t>
            </w:r>
          </w:p>
        </w:tc>
        <w:tc>
          <w:tcPr>
            <w:tcW w:w="10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24"/>
                <w:szCs w:val="24"/>
              </w:rPr>
            </w:pPr>
          </w:p>
        </w:tc>
      </w:tr>
      <w:tr>
        <w:tblPrEx>
          <w:tblCellMar>
            <w:top w:w="0" w:type="dxa"/>
            <w:left w:w="108" w:type="dxa"/>
            <w:bottom w:w="0" w:type="dxa"/>
            <w:right w:w="108" w:type="dxa"/>
          </w:tblCellMar>
        </w:tblPrEx>
        <w:trPr>
          <w:trHeight w:val="945" w:hRule="atLeast"/>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4</w:t>
            </w:r>
          </w:p>
        </w:tc>
        <w:tc>
          <w:tcPr>
            <w:tcW w:w="28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中纺粮油（湛江）有限公司</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lang w:eastAsia="zh-CN"/>
              </w:rPr>
              <w:t>霞山区</w:t>
            </w:r>
          </w:p>
        </w:tc>
        <w:tc>
          <w:tcPr>
            <w:tcW w:w="105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945" w:hRule="atLeast"/>
        </w:trPr>
        <w:tc>
          <w:tcPr>
            <w:tcW w:w="4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5</w:t>
            </w:r>
          </w:p>
        </w:tc>
        <w:tc>
          <w:tcPr>
            <w:tcW w:w="28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rPr>
              <w:t>中国石化销售有限公司广东湛江海头加油站</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_GB2312" w:eastAsia="仿宋_GB2312"/>
                <w:sz w:val="24"/>
                <w:szCs w:val="24"/>
                <w:lang w:eastAsia="zh-CN"/>
              </w:rPr>
              <w:t>霞山区</w:t>
            </w:r>
          </w:p>
        </w:tc>
        <w:tc>
          <w:tcPr>
            <w:tcW w:w="105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rPr>
            </w:pPr>
          </w:p>
        </w:tc>
      </w:tr>
    </w:tbl>
    <w:p>
      <w:pPr>
        <w:jc w:val="center"/>
      </w:pPr>
    </w:p>
    <w:p>
      <w:pPr>
        <w:jc w:val="center"/>
      </w:pPr>
    </w:p>
    <w:p>
      <w:pPr>
        <w:jc w:val="center"/>
      </w:pPr>
    </w:p>
    <w:p>
      <w:pPr>
        <w:jc w:val="center"/>
      </w:pPr>
    </w:p>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0"/>
          <w:szCs w:val="30"/>
        </w:rPr>
      </w:pPr>
    </w:p>
    <w:p>
      <w:pPr>
        <w:widowControl/>
        <w:spacing w:before="156" w:line="440" w:lineRule="exact"/>
        <w:ind w:left="142"/>
        <w:outlineLvl w:val="2"/>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附件2</w:t>
      </w:r>
    </w:p>
    <w:p>
      <w:pPr>
        <w:widowControl/>
        <w:spacing w:before="156" w:line="700" w:lineRule="exact"/>
        <w:ind w:left="142"/>
        <w:jc w:val="center"/>
        <w:outlineLvl w:val="2"/>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防雷检测单位监督检查计划表</w:t>
      </w:r>
    </w:p>
    <w:p/>
    <w:tbl>
      <w:tblPr>
        <w:tblStyle w:val="5"/>
        <w:tblW w:w="4970" w:type="pct"/>
        <w:tblInd w:w="0" w:type="dxa"/>
        <w:tblLayout w:type="autofit"/>
        <w:tblCellMar>
          <w:top w:w="0" w:type="dxa"/>
          <w:left w:w="108" w:type="dxa"/>
          <w:bottom w:w="0" w:type="dxa"/>
          <w:right w:w="108" w:type="dxa"/>
        </w:tblCellMar>
      </w:tblPr>
      <w:tblGrid>
        <w:gridCol w:w="899"/>
        <w:gridCol w:w="5583"/>
        <w:gridCol w:w="1983"/>
      </w:tblGrid>
      <w:tr>
        <w:tblPrEx>
          <w:tblCellMar>
            <w:top w:w="0" w:type="dxa"/>
            <w:left w:w="108" w:type="dxa"/>
            <w:bottom w:w="0" w:type="dxa"/>
            <w:right w:w="108" w:type="dxa"/>
          </w:tblCellMar>
        </w:tblPrEx>
        <w:trPr>
          <w:trHeight w:val="540" w:hRule="atLeast"/>
        </w:trPr>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32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检测单位名称</w:t>
            </w:r>
          </w:p>
        </w:tc>
        <w:tc>
          <w:tcPr>
            <w:tcW w:w="11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检查时间</w:t>
            </w:r>
          </w:p>
        </w:tc>
      </w:tr>
      <w:tr>
        <w:tblPrEx>
          <w:tblCellMar>
            <w:top w:w="0" w:type="dxa"/>
            <w:left w:w="108" w:type="dxa"/>
            <w:bottom w:w="0" w:type="dxa"/>
            <w:right w:w="108" w:type="dxa"/>
          </w:tblCellMar>
        </w:tblPrEx>
        <w:trPr>
          <w:trHeight w:val="945" w:hRule="atLeast"/>
        </w:trPr>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szCs w:val="24"/>
              </w:rPr>
            </w:pPr>
            <w:r>
              <w:rPr>
                <w:rFonts w:hint="eastAsia" w:ascii="仿宋_GB2312" w:eastAsia="仿宋_GB2312"/>
                <w:sz w:val="24"/>
                <w:szCs w:val="24"/>
              </w:rPr>
              <w:t>1</w:t>
            </w:r>
          </w:p>
        </w:tc>
        <w:tc>
          <w:tcPr>
            <w:tcW w:w="32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szCs w:val="24"/>
              </w:rPr>
            </w:pPr>
            <w:r>
              <w:rPr>
                <w:rFonts w:hint="eastAsia" w:ascii="仿宋" w:hAnsi="仿宋" w:eastAsia="仿宋" w:cs="仿宋"/>
                <w:sz w:val="24"/>
                <w:szCs w:val="24"/>
                <w:vertAlign w:val="baseline"/>
                <w:lang w:val="en-US" w:eastAsia="zh-CN"/>
              </w:rPr>
              <w:t>湖南新中天检测有限公司湛江分公司</w:t>
            </w:r>
          </w:p>
        </w:tc>
        <w:tc>
          <w:tcPr>
            <w:tcW w:w="11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szCs w:val="24"/>
              </w:rPr>
            </w:pPr>
            <w:r>
              <w:rPr>
                <w:rFonts w:hint="eastAsia" w:ascii="仿宋_GB2312" w:eastAsia="仿宋_GB2312"/>
                <w:sz w:val="24"/>
                <w:szCs w:val="24"/>
              </w:rPr>
              <w:t>全年</w:t>
            </w:r>
          </w:p>
        </w:tc>
      </w:tr>
      <w:tr>
        <w:tblPrEx>
          <w:tblCellMar>
            <w:top w:w="0" w:type="dxa"/>
            <w:left w:w="108" w:type="dxa"/>
            <w:bottom w:w="0" w:type="dxa"/>
            <w:right w:w="108" w:type="dxa"/>
          </w:tblCellMar>
        </w:tblPrEx>
        <w:trPr>
          <w:trHeight w:val="945" w:hRule="atLeast"/>
        </w:trPr>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szCs w:val="24"/>
              </w:rPr>
            </w:pPr>
            <w:r>
              <w:rPr>
                <w:rFonts w:hint="eastAsia" w:ascii="仿宋_GB2312" w:eastAsia="仿宋_GB2312"/>
                <w:sz w:val="24"/>
                <w:szCs w:val="24"/>
              </w:rPr>
              <w:t>2</w:t>
            </w:r>
          </w:p>
        </w:tc>
        <w:tc>
          <w:tcPr>
            <w:tcW w:w="32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sz w:val="24"/>
                <w:szCs w:val="24"/>
              </w:rPr>
            </w:pPr>
            <w:r>
              <w:rPr>
                <w:rFonts w:hint="eastAsia" w:ascii="仿宋_GB2312" w:eastAsia="仿宋_GB2312"/>
                <w:sz w:val="24"/>
                <w:szCs w:val="24"/>
              </w:rPr>
              <w:t>沧州天祥防雷检测有限公司湛江分公司</w:t>
            </w:r>
          </w:p>
        </w:tc>
        <w:tc>
          <w:tcPr>
            <w:tcW w:w="1171" w:type="pct"/>
            <w:vMerge w:val="continue"/>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945" w:hRule="atLeast"/>
        </w:trPr>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3297"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eastAsia="仿宋_GB2312"/>
                <w:sz w:val="24"/>
                <w:szCs w:val="24"/>
              </w:rPr>
            </w:pPr>
            <w:r>
              <w:rPr>
                <w:rFonts w:hint="eastAsia" w:ascii="仿宋" w:hAnsi="仿宋" w:eastAsia="仿宋" w:cs="仿宋"/>
                <w:sz w:val="24"/>
                <w:szCs w:val="24"/>
                <w:vertAlign w:val="baseline"/>
                <w:lang w:val="en-US" w:eastAsia="zh-CN"/>
              </w:rPr>
              <w:t>徐州市防雷设施检测有限公司湛江分公司</w:t>
            </w:r>
          </w:p>
        </w:tc>
        <w:tc>
          <w:tcPr>
            <w:tcW w:w="1171" w:type="pct"/>
            <w:vMerge w:val="continue"/>
            <w:tcBorders>
              <w:left w:val="single" w:color="auto" w:sz="4" w:space="0"/>
              <w:bottom w:val="single" w:color="000000" w:sz="4" w:space="0"/>
              <w:right w:val="single" w:color="auto" w:sz="4" w:space="0"/>
            </w:tcBorders>
            <w:vAlign w:val="center"/>
          </w:tcPr>
          <w:p>
            <w:pPr>
              <w:jc w:val="center"/>
              <w:rPr>
                <w:rFonts w:ascii="仿宋_GB2312" w:eastAsia="仿宋_GB2312"/>
                <w:sz w:val="24"/>
                <w:szCs w:val="24"/>
              </w:rPr>
            </w:pPr>
          </w:p>
        </w:tc>
      </w:tr>
    </w:tbl>
    <w:p>
      <w:pPr>
        <w:spacing w:line="600" w:lineRule="exact"/>
      </w:pPr>
    </w:p>
    <w:p>
      <w:pPr>
        <w:spacing w:line="600" w:lineRule="exact"/>
      </w:pPr>
    </w:p>
    <w:p>
      <w:pPr>
        <w:spacing w:line="600" w:lineRule="exact"/>
      </w:pPr>
    </w:p>
    <w:p>
      <w:pPr>
        <w:spacing w:line="600" w:lineRule="exact"/>
      </w:pPr>
    </w:p>
    <w:sectPr>
      <w:pgSz w:w="11906" w:h="16838"/>
      <w:pgMar w:top="1440" w:right="1803" w:bottom="1440" w:left="180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attachedTemplate r:id="rId1"/>
  <w:revisionView w:markup="0"/>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3135F"/>
    <w:rsid w:val="00327D93"/>
    <w:rsid w:val="0033135F"/>
    <w:rsid w:val="00382D40"/>
    <w:rsid w:val="003D65AC"/>
    <w:rsid w:val="005C1F4A"/>
    <w:rsid w:val="007E73AE"/>
    <w:rsid w:val="00D05A3E"/>
    <w:rsid w:val="00E67B99"/>
    <w:rsid w:val="00EA4F1E"/>
    <w:rsid w:val="00F41CB3"/>
    <w:rsid w:val="09443870"/>
    <w:rsid w:val="0956439C"/>
    <w:rsid w:val="0E325D1B"/>
    <w:rsid w:val="0E770126"/>
    <w:rsid w:val="13504E70"/>
    <w:rsid w:val="140E413A"/>
    <w:rsid w:val="15B814E4"/>
    <w:rsid w:val="1A8F3A0E"/>
    <w:rsid w:val="2867262D"/>
    <w:rsid w:val="2A4D4911"/>
    <w:rsid w:val="2D934A8B"/>
    <w:rsid w:val="2FEF1EAB"/>
    <w:rsid w:val="32127A3F"/>
    <w:rsid w:val="33F33B14"/>
    <w:rsid w:val="36E16322"/>
    <w:rsid w:val="3DFB6F80"/>
    <w:rsid w:val="4A61574F"/>
    <w:rsid w:val="57091E22"/>
    <w:rsid w:val="579806EA"/>
    <w:rsid w:val="57A26556"/>
    <w:rsid w:val="59780529"/>
    <w:rsid w:val="5B2815BA"/>
    <w:rsid w:val="5BF75105"/>
    <w:rsid w:val="5CA45284"/>
    <w:rsid w:val="5DE5772B"/>
    <w:rsid w:val="5EB86749"/>
    <w:rsid w:val="61694A82"/>
    <w:rsid w:val="619631A1"/>
    <w:rsid w:val="6342224A"/>
    <w:rsid w:val="66B4624D"/>
    <w:rsid w:val="68D55054"/>
    <w:rsid w:val="68DE5934"/>
    <w:rsid w:val="6D9A6093"/>
    <w:rsid w:val="70F43478"/>
    <w:rsid w:val="7487492E"/>
    <w:rsid w:val="74AA2372"/>
    <w:rsid w:val="74C52223"/>
    <w:rsid w:val="763942F6"/>
    <w:rsid w:val="76803414"/>
    <w:rsid w:val="79C040FA"/>
    <w:rsid w:val="7F54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附录表标题"/>
    <w:basedOn w:val="1"/>
    <w:next w:val="1"/>
    <w:qFormat/>
    <w:uiPriority w:val="0"/>
    <w:pPr>
      <w:tabs>
        <w:tab w:val="left" w:pos="180"/>
      </w:tabs>
      <w:spacing w:before="156" w:after="156"/>
      <w:ind w:left="6096" w:hanging="567"/>
      <w:jc w:val="center"/>
    </w:pPr>
    <w:rPr>
      <w:rFonts w:ascii="黑体" w:hAnsi="黑体" w:eastAsia="黑体" w:cs="Times New Roman"/>
      <w:color w:val="000000"/>
      <w:kern w:val="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5</Pages>
  <Words>1653</Words>
  <Characters>112</Characters>
  <Lines>1</Lines>
  <Paragraphs>3</Paragraphs>
  <TotalTime>33</TotalTime>
  <ScaleCrop>false</ScaleCrop>
  <LinksUpToDate>false</LinksUpToDate>
  <CharactersWithSpaces>1762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2021-03-15T08:36:00Z</dcterms:created>
  <dc:creator>省防雷管理中心管理</dc:creator>
  <cp:lastModifiedBy>GHX</cp:lastModifiedBy>
  <dcterms:modified xsi:type="dcterms:W3CDTF">2022-04-28T10:27:37Z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8ABAF5816F514B6D9BCB63CB7E29D7BE</vt:lpwstr>
  </property>
</Properties>
</file>