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11.0.0 -->
  <w:body>
    <w:p>
      <w:pPr>
        <w:keepNext w:val="0"/>
        <w:keepLines w:val="0"/>
        <w:pageBreakBefore w:val="0"/>
        <w:kinsoku/>
        <w:wordWrap/>
        <w:overflowPunct/>
        <w:topLinePunct w:val="0"/>
        <w:bidi w:val="0"/>
        <w:adjustRightInd/>
        <w:snapToGrid/>
        <w:spacing w:line="240" w:lineRule="auto"/>
        <w:textAlignment w:val="auto"/>
        <w:rPr>
          <w:rFonts w:ascii="黑体" w:eastAsia="黑体" w:hAnsi="黑体"/>
          <w:sz w:val="32"/>
          <w:szCs w:val="32"/>
        </w:rPr>
      </w:pPr>
      <w:r>
        <w:rPr>
          <w:rFonts w:ascii="黑体" w:eastAsia="黑体" w:hAnsi="黑体" w:hint="eastAsia"/>
          <w:sz w:val="32"/>
          <w:szCs w:val="32"/>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国家气象中心农业气象业务改革实施方案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0"/>
        <w:rPr>
          <w:rFonts w:ascii="黑体" w:eastAsia="黑体" w:hAnsi="黑体"/>
          <w:sz w:val="32"/>
          <w:szCs w:val="32"/>
        </w:rPr>
      </w:pPr>
      <w:r>
        <w:rPr>
          <w:rFonts w:ascii="黑体" w:eastAsia="黑体" w:hAnsi="黑体" w:hint="eastAsia"/>
          <w:sz w:val="32"/>
          <w:szCs w:val="32"/>
        </w:rPr>
        <w:t>一、现状及问题分析</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近年来，随着国家气象中心气象现代化建设的持续推进及技术研发成果在业务中的应用，智能网格预报、作物模型模拟、农业气象指数等在业务服务中的支撑作用越来越明显，农业气象服务能力明显提升。此外，通过推动农业气象服务供给侧改革，逐步优化农业气象服务产品体系和业务流程，弥补制约服务效益发挥的短板，面向国家粮食安全和防灾减灾决策管理、涉农部门专业用户和公众的农业气象服务效益越来越好。</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但是，随着国家现代农业发展和乡村振兴战略的实施，面向国家粮食安全、农业防灾减灾和农业现代化发展更加精细化、精准化气象服务的需求，当前农业气象服务还存在着诸多问题和不足。主要表现在：</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传统的农业气象产品体系难以满足农业生产方式变化、农业决策管理和专业用户的新需求，服务产品的针对性、精细化、精准性不足；</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业务流程和规范不健全，现代化科研成果支撑业务不足，制约服务效益的发挥；</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现有业务平台与智慧农业气象业务需求有差距，面向自动化、智慧化的系统支撑能力有待提升。</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结合农业气象业务整体布局，具体问题如下：</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农业气象情报</w:t>
      </w:r>
      <w:r>
        <w:rPr>
          <w:rFonts w:ascii="仿宋_GB2312" w:eastAsia="仿宋_GB2312" w:hAnsi="仿宋_GB2312" w:cs="仿宋_GB2312" w:hint="eastAsia"/>
          <w:sz w:val="32"/>
          <w:szCs w:val="32"/>
        </w:rPr>
        <w:t>，主要包括每日农业天气提示、全国农业气象周报、全国农业气象与作物产量月报、国外农业气象监测与作物产量展望。</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存在的主要问题：1）农业气象情报多手工制作分析和主观判断，客观产品研发支撑不足，缺乏相关的制作流程与规范，产品制作和签发耗时偏长；2）面向作物的针对性、定量化评价分析不足，影响对专业用户服务效果；3）国外月报产品基础数据支撑缺乏，监测预报业务技术模型不成熟。</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作物产量预报</w:t>
      </w:r>
      <w:r>
        <w:rPr>
          <w:rFonts w:ascii="仿宋_GB2312" w:eastAsia="仿宋_GB2312" w:hAnsi="仿宋_GB2312" w:cs="仿宋_GB2312" w:hint="eastAsia"/>
          <w:sz w:val="32"/>
          <w:szCs w:val="32"/>
        </w:rPr>
        <w:t>，包括早稻、晚稻、夏收粮油、秋收作物和全年粮食产量预报，以及8大粮棉油作物分省指导预报。</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存在的主要问题：1）产品制作平台运算速度慢，人机交互多；2）产量预报业务缺乏相关制作流程与规范，对值班员经验要求较高，新值班员值班难度较大；3）各省产量预报技术方法和水平参差不齐，由于站点选择不同，可能导致国家级和省级基于同一方法但预报结果不一致，需进一步加强对下技术指导作用；4）作物产量预报专题产品与其他业务产品有效衔接不够。</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关键农时农事</w:t>
      </w:r>
      <w:r>
        <w:rPr>
          <w:rFonts w:ascii="仿宋_GB2312" w:eastAsia="仿宋_GB2312" w:hAnsi="仿宋_GB2312" w:cs="仿宋_GB2312" w:hint="eastAsia"/>
          <w:sz w:val="32"/>
          <w:szCs w:val="32"/>
        </w:rPr>
        <w:t>，包括春耕春播、夏收夏种和秋收秋种服务专报。目前，初步实现了客观产品自动化和值班员主观预判相结合、国省一体化的业务流程。</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存在的主要问题：</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）C</w:t>
      </w:r>
      <w:r>
        <w:rPr>
          <w:rFonts w:ascii="仿宋_GB2312" w:eastAsia="仿宋_GB2312" w:hAnsi="仿宋_GB2312" w:cs="仿宋_GB2312"/>
          <w:sz w:val="32"/>
          <w:szCs w:val="32"/>
        </w:rPr>
        <w:t>AgMSS</w:t>
      </w:r>
      <w:r>
        <w:rPr>
          <w:rFonts w:ascii="仿宋_GB2312" w:eastAsia="仿宋_GB2312" w:hAnsi="仿宋_GB2312" w:cs="仿宋_GB2312" w:hint="eastAsia"/>
          <w:sz w:val="32"/>
          <w:szCs w:val="32"/>
        </w:rPr>
        <w:t>农时产品制作模块效率不高，无法同时加载农时客观产品、未来预报要素，供值班员分析和绘图的功能效率低；2）客观产品准确度和可用性差，需值班员主观订正较多。</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农业气象专题</w:t>
      </w:r>
      <w:r>
        <w:rPr>
          <w:rFonts w:ascii="仿宋_GB2312" w:eastAsia="仿宋_GB2312" w:hAnsi="仿宋_GB2312" w:cs="仿宋_GB2312" w:hint="eastAsia"/>
          <w:sz w:val="32"/>
          <w:szCs w:val="32"/>
        </w:rPr>
        <w:t>，包括农业高影响天气及农业气象灾害预警评估、农林病虫害发生发展和防治气象条件预报、农业气候年景评估预报等。</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存在的主要问题：1）农业高影响天气监测和预警客观产品应用不足，农业气象灾害评估技术需要进一步完善；</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）病虫害发生发展及防治气象条件预报产品未形成固定流程，自动化程度低，农林病虫害基础数据和农业</w:t>
      </w:r>
      <w:r>
        <w:rPr>
          <w:rFonts w:ascii="仿宋_GB2312" w:eastAsia="仿宋_GB2312" w:hAnsi="仿宋_GB2312" w:cs="仿宋_GB2312" w:hint="eastAsia"/>
          <w:sz w:val="32"/>
          <w:szCs w:val="32"/>
          <w:lang w:eastAsia="zh-CN"/>
        </w:rPr>
        <w:t>农村</w:t>
      </w:r>
      <w:r>
        <w:rPr>
          <w:rFonts w:ascii="仿宋_GB2312" w:eastAsia="仿宋_GB2312" w:hAnsi="仿宋_GB2312" w:cs="仿宋_GB2312" w:hint="eastAsia"/>
          <w:sz w:val="32"/>
          <w:szCs w:val="32"/>
        </w:rPr>
        <w:t>部沟通未形成固定的交流渠道，缺少专门的农林病虫害气象服务产品专报；</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）农业气候年景评估和预报主要依靠值班员手动分析和主观判断，客观产品研发支撑滞后，难以满足服务需求。</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农业气象决策材料</w:t>
      </w:r>
      <w:r>
        <w:rPr>
          <w:rFonts w:ascii="仿宋_GB2312" w:eastAsia="仿宋_GB2312" w:hAnsi="仿宋_GB2312" w:cs="仿宋_GB2312" w:hint="eastAsia"/>
          <w:sz w:val="32"/>
          <w:szCs w:val="32"/>
        </w:rPr>
        <w:t>，主要包括面向决策层的非定期决策服务材料、局领导参会材料，以及涉农部委约稿、会商，各类任务单等。</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存在的主要问题：1）决策服务材料定量化和客观化分析不足；2）决策服务的主动性、前瞻性不足；3）决策服务材料撰写技巧偏弱、用语过于专业，材料往往面面俱到，内容不够凝练、重点不够突出。</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业务流程与规范</w:t>
      </w:r>
      <w:r>
        <w:rPr>
          <w:rFonts w:ascii="仿宋_GB2312" w:eastAsia="仿宋_GB2312" w:hAnsi="仿宋_GB2312" w:cs="仿宋_GB2312" w:hint="eastAsia"/>
          <w:sz w:val="32"/>
          <w:szCs w:val="32"/>
        </w:rPr>
        <w:t>，存在的主要问题：1）农业气象服务产品制作主观性较大，制作过程口传面授为主，缺乏相应的流程规范与标准，不利于业务衔接；2）由于每年服务对象变动导致发送流程不规范不及时，存在漏发、错发、重复发送等情况。</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7</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业务支撑系统</w:t>
      </w:r>
      <w:r>
        <w:rPr>
          <w:rFonts w:ascii="仿宋_GB2312" w:eastAsia="仿宋_GB2312" w:hAnsi="仿宋_GB2312" w:cs="仿宋_GB2312" w:hint="eastAsia"/>
          <w:b/>
          <w:sz w:val="32"/>
          <w:szCs w:val="32"/>
          <w:lang w:eastAsia="zh-CN"/>
        </w:rPr>
        <w:t>，</w:t>
      </w:r>
      <w:r>
        <w:rPr>
          <w:rFonts w:ascii="仿宋_GB2312" w:eastAsia="仿宋_GB2312" w:hAnsi="仿宋_GB2312" w:cs="仿宋_GB2312" w:hint="eastAsia"/>
          <w:sz w:val="32"/>
          <w:szCs w:val="32"/>
        </w:rPr>
        <w:t>农业气象业务系统专业化程度高、模块多、算法复杂，系统自动化程度低、工作效率与业务需求有较大差距，原有系统架构不适应国省一体化业务要求；农业气象知识库建设严重滞后，国外数据业务支撑能力薄弱。</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0"/>
        <w:rPr>
          <w:rFonts w:ascii="黑体" w:eastAsia="黑体" w:hAnsi="黑体"/>
          <w:sz w:val="32"/>
          <w:szCs w:val="32"/>
        </w:rPr>
      </w:pPr>
      <w:r>
        <w:rPr>
          <w:rFonts w:ascii="黑体" w:eastAsia="黑体" w:hAnsi="黑体" w:hint="eastAsia"/>
          <w:sz w:val="32"/>
          <w:szCs w:val="32"/>
        </w:rPr>
        <w:t>二、改革思路与目标</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outlineLvl w:val="1"/>
        <w:rPr>
          <w:rFonts w:ascii="楷体" w:eastAsia="楷体" w:hAnsi="楷体" w:cs="仿宋_GB2312"/>
          <w:b/>
          <w:sz w:val="32"/>
          <w:szCs w:val="32"/>
        </w:rPr>
      </w:pPr>
      <w:r>
        <w:rPr>
          <w:rFonts w:ascii="楷体" w:eastAsia="楷体" w:hAnsi="楷体" w:cs="仿宋_GB2312" w:hint="eastAsia"/>
          <w:b/>
          <w:sz w:val="32"/>
          <w:szCs w:val="32"/>
          <w:lang w:eastAsia="zh-CN"/>
        </w:rPr>
        <w:t>（一）</w:t>
      </w:r>
      <w:r>
        <w:rPr>
          <w:rFonts w:ascii="楷体" w:eastAsia="楷体" w:hAnsi="楷体" w:cs="仿宋_GB2312" w:hint="eastAsia"/>
          <w:b/>
          <w:sz w:val="32"/>
          <w:szCs w:val="32"/>
        </w:rPr>
        <w:t>改革思路</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以服务用户需求为引领，坚持问题导向，分类施策，优化、改进“智能网格预报和实况监测气象要素驱动—农业气象模型模拟或指标判识—全国‘一张网’农业气象业务客观产品生成”业务流程，围绕“作物+气象”目标，提升客观产品支撑应用，提高农业气象服务产品的定量化、可用性、针对性和自动化水平，促进业务服务能力的更大提升。</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outlineLvl w:val="1"/>
        <w:rPr>
          <w:rFonts w:ascii="楷体" w:eastAsia="楷体" w:hAnsi="楷体" w:cs="仿宋_GB2312"/>
          <w:b/>
          <w:sz w:val="32"/>
          <w:szCs w:val="32"/>
        </w:rPr>
      </w:pPr>
      <w:r>
        <w:rPr>
          <w:rFonts w:ascii="楷体" w:eastAsia="楷体" w:hAnsi="楷体" w:cs="仿宋_GB2312" w:hint="eastAsia"/>
          <w:b/>
          <w:sz w:val="32"/>
          <w:szCs w:val="32"/>
          <w:lang w:eastAsia="zh-CN"/>
        </w:rPr>
        <w:t>（二）</w:t>
      </w:r>
      <w:r>
        <w:rPr>
          <w:rFonts w:ascii="楷体" w:eastAsia="楷体" w:hAnsi="楷体" w:cs="仿宋_GB2312" w:hint="eastAsia"/>
          <w:b/>
          <w:sz w:val="32"/>
          <w:szCs w:val="32"/>
        </w:rPr>
        <w:t>工作目标</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提升业务产品的专业化水平，增强服务的针对性；</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提升格点客观产品的业务支撑水平；</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加强决策服务，提升决策服务材料质量；</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健全完善业务流程与规范体系，提高组织效率和联动合力；</w:t>
      </w: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提升业务支撑系统的效率和自动化水平。</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outlineLvl w:val="1"/>
        <w:rPr>
          <w:rFonts w:ascii="楷体" w:eastAsia="楷体" w:hAnsi="楷体" w:cs="仿宋_GB2312"/>
          <w:b/>
          <w:sz w:val="32"/>
          <w:szCs w:val="32"/>
        </w:rPr>
      </w:pPr>
      <w:r>
        <w:rPr>
          <w:rFonts w:ascii="楷体" w:eastAsia="楷体" w:hAnsi="楷体" w:cs="仿宋_GB2312" w:hint="eastAsia"/>
          <w:b/>
          <w:sz w:val="32"/>
          <w:szCs w:val="32"/>
          <w:lang w:eastAsia="zh-CN"/>
        </w:rPr>
        <w:t>（三）</w:t>
      </w:r>
      <w:r>
        <w:rPr>
          <w:rFonts w:ascii="楷体" w:eastAsia="楷体" w:hAnsi="楷体" w:cs="仿宋_GB2312" w:hint="eastAsia"/>
          <w:b/>
          <w:sz w:val="32"/>
          <w:szCs w:val="32"/>
        </w:rPr>
        <w:t>基本原则</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以需求为牵引，着眼于国家乡村振兴战略和现代农业发展需求，推进农业气象服务供给侧改革，有针对性调整优化业务产品体系、开展业务支撑技术研发和业务系统建设。</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着眼于业务现代化水平提升，强支撑、补短板，加强定量评估技术、大数据+机器学习、多源遥感、作物模型、现代天气预报等对业务服务的支撑能力和相关业务技术研究应用。</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加强业务服务各环节互动，形成合力。改革任务复杂繁多，涉及管理、业务和服务各环节，需要与各部门做好互动沟通，也需要各环节的配合和大力支持。</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有序推进、力求成效。目前农业气象业务发展面临的问题多、难度大，不可能一蹴而就，要科学合理设定时间表、路线图，一个问题一个问题去解决突破。</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outlineLvl w:val="1"/>
        <w:rPr>
          <w:rFonts w:ascii="楷体" w:eastAsia="楷体" w:hAnsi="楷体" w:cs="仿宋_GB2312"/>
          <w:b/>
          <w:sz w:val="32"/>
          <w:szCs w:val="32"/>
        </w:rPr>
      </w:pPr>
      <w:r>
        <w:rPr>
          <w:rFonts w:ascii="楷体" w:eastAsia="楷体" w:hAnsi="楷体" w:cs="仿宋_GB2312" w:hint="eastAsia"/>
          <w:b/>
          <w:sz w:val="32"/>
          <w:szCs w:val="32"/>
          <w:lang w:eastAsia="zh-CN"/>
        </w:rPr>
        <w:t>（四）</w:t>
      </w:r>
      <w:r>
        <w:rPr>
          <w:rFonts w:ascii="楷体" w:eastAsia="楷体" w:hAnsi="楷体" w:cs="仿宋_GB2312" w:hint="eastAsia"/>
          <w:b/>
          <w:sz w:val="32"/>
          <w:szCs w:val="32"/>
        </w:rPr>
        <w:t>工作重点</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主要业务领域的改革工作重点如下：</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lang w:val="en-US" w:eastAsia="zh-CN"/>
        </w:rPr>
        <w:t>1.</w:t>
      </w:r>
      <w:r>
        <w:rPr>
          <w:rFonts w:ascii="仿宋_GB2312" w:eastAsia="仿宋_GB2312" w:hAnsi="仿宋_GB2312" w:cs="仿宋_GB2312" w:hint="eastAsia"/>
          <w:b/>
          <w:sz w:val="32"/>
          <w:szCs w:val="32"/>
        </w:rPr>
        <w:t>农业气象情报：</w:t>
      </w:r>
      <w:r>
        <w:rPr>
          <w:rFonts w:ascii="仿宋_GB2312" w:eastAsia="仿宋_GB2312" w:hAnsi="仿宋_GB2312" w:cs="仿宋_GB2312" w:hint="eastAsia"/>
          <w:sz w:val="32"/>
          <w:szCs w:val="32"/>
        </w:rPr>
        <w:t>围绕“作物+气象”，发展“每日农业天气提示”产品，重点打造“全国农业气象周报”产品品牌，提升农业气象服务针对性与专业化水平。此外，改善国外农业气象监测预报的基础数据支撑能力，优化产品内容。</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lang w:val="en-US" w:eastAsia="zh-CN"/>
        </w:rPr>
        <w:t>2.</w:t>
      </w:r>
      <w:r>
        <w:rPr>
          <w:rFonts w:ascii="仿宋_GB2312" w:eastAsia="仿宋_GB2312" w:hAnsi="仿宋_GB2312" w:cs="仿宋_GB2312" w:hint="eastAsia"/>
          <w:b/>
          <w:sz w:val="32"/>
          <w:szCs w:val="32"/>
        </w:rPr>
        <w:t>作物产量预报：</w:t>
      </w:r>
      <w:r>
        <w:rPr>
          <w:rFonts w:ascii="仿宋_GB2312" w:eastAsia="仿宋_GB2312" w:hAnsi="仿宋_GB2312" w:cs="仿宋_GB2312" w:hint="eastAsia"/>
          <w:sz w:val="32"/>
          <w:szCs w:val="32"/>
        </w:rPr>
        <w:t>提升产量预报业务制作流程规范化水平，改善当前产量预报系统人机交互多的问题，提升产品自动化水平。重点推进作物产量动态预报业务化，提升产品的时效性、精细化、机理性。加强国家级产量预报客观产品对省级的指导作用。</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lang w:val="en-US" w:eastAsia="zh-CN"/>
        </w:rPr>
        <w:t>3.</w:t>
      </w:r>
      <w:r>
        <w:rPr>
          <w:rFonts w:ascii="仿宋_GB2312" w:eastAsia="仿宋_GB2312" w:hAnsi="仿宋_GB2312" w:cs="仿宋_GB2312" w:hint="eastAsia"/>
          <w:b/>
          <w:sz w:val="32"/>
          <w:szCs w:val="32"/>
        </w:rPr>
        <w:t>关键农时农事：</w:t>
      </w:r>
      <w:r>
        <w:rPr>
          <w:rFonts w:ascii="仿宋_GB2312" w:eastAsia="仿宋_GB2312" w:hAnsi="仿宋_GB2312" w:cs="仿宋_GB2312" w:hint="eastAsia"/>
          <w:sz w:val="32"/>
          <w:szCs w:val="32"/>
        </w:rPr>
        <w:t>进一步增强客观产品的可用性与自动化程度，提升服务效果。继续打造关键农时农事气象服务国省“一张网”体系，推动服务规范化水平。</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lang w:val="en-US" w:eastAsia="zh-CN"/>
        </w:rPr>
        <w:t>4.</w:t>
      </w:r>
      <w:r>
        <w:rPr>
          <w:rFonts w:ascii="仿宋_GB2312" w:eastAsia="仿宋_GB2312" w:hAnsi="仿宋_GB2312" w:cs="仿宋_GB2312" w:hint="eastAsia"/>
          <w:b/>
          <w:sz w:val="32"/>
          <w:szCs w:val="32"/>
        </w:rPr>
        <w:t>农业气象专题：</w:t>
      </w:r>
      <w:r>
        <w:rPr>
          <w:rFonts w:ascii="仿宋_GB2312" w:eastAsia="仿宋_GB2312" w:hAnsi="仿宋_GB2312" w:cs="仿宋_GB2312" w:hint="eastAsia"/>
          <w:sz w:val="32"/>
          <w:szCs w:val="32"/>
        </w:rPr>
        <w:t>增强农业高影响天气、农业气象灾害监测预警服务针对性，进一步改进预警评估技术方法，加强客观产品应用。规范农林病虫害发生发展及防治气象条件预报流程，加强与农业农村部沟通互动。开展农业气候年景服务产品的研发与服务。</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决策服务：</w:t>
      </w:r>
      <w:r>
        <w:rPr>
          <w:rFonts w:ascii="仿宋_GB2312" w:eastAsia="仿宋_GB2312" w:hAnsi="仿宋_GB2312" w:cs="仿宋_GB2312" w:hint="eastAsia"/>
          <w:sz w:val="32"/>
          <w:szCs w:val="32"/>
        </w:rPr>
        <w:t>加强客观产品在决策服务材料中的应用，提升科技内涵与定量化水平，强化服务敏感性，提升业务人员决策服务材料的策划能力。</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业务流程与规范：</w:t>
      </w:r>
      <w:r>
        <w:rPr>
          <w:rFonts w:ascii="仿宋_GB2312" w:eastAsia="仿宋_GB2312" w:hAnsi="仿宋_GB2312" w:cs="仿宋_GB2312" w:hint="eastAsia"/>
          <w:sz w:val="32"/>
          <w:szCs w:val="32"/>
        </w:rPr>
        <w:t>制定或优化调整农业气象业务产品制作发布流程和相应的服务规范。健全国-省农业气象联合会商机制，规范部门会商流程机制。加强农业气象服务体系规范，强化现行业务规范和技术指南的应用。</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7</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业务支撑系统：</w:t>
      </w:r>
      <w:r>
        <w:rPr>
          <w:rFonts w:ascii="仿宋_GB2312" w:eastAsia="仿宋_GB2312" w:hAnsi="仿宋_GB2312" w:cs="仿宋_GB2312" w:hint="eastAsia"/>
          <w:sz w:val="32"/>
          <w:szCs w:val="32"/>
        </w:rPr>
        <w:t>加快业务系统架构转化升级，提升业务平台工作效率，优化客观产品供给能力，实现业务产品自动分析和制作功能；加快农业气象知识库和国外基础数据支撑能力建设。</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基于本方案改革思路和工作重点，将贯通前端数据支撑－客观产品加工－业务产品制作－服务全链条各环节，构建智能网格预报和实况监测气象要素驱动－农业气象模型模拟或指标判识－农业气象主客观产品业务流程（见图1）。</w:t>
      </w:r>
    </w:p>
    <w:p>
      <w:pPr>
        <w:keepNext w:val="0"/>
        <w:keepLines w:val="0"/>
        <w:pageBreakBefore w:val="0"/>
        <w:kinsoku/>
        <w:wordWrap/>
        <w:overflowPunct/>
        <w:topLinePunct w:val="0"/>
        <w:autoSpaceDE w:val="0"/>
        <w:autoSpaceDN w:val="0"/>
        <w:bidi w:val="0"/>
        <w:adjustRightInd/>
        <w:snapToGrid/>
        <w:spacing w:line="240" w:lineRule="auto"/>
        <w:textAlignment w:val="auto"/>
        <w:rPr>
          <w:rFonts w:ascii="仿宋_GB2312" w:eastAsia="仿宋_GB2312" w:hAnsi="仿宋_GB2312" w:cs="仿宋_GB2312"/>
          <w:sz w:val="32"/>
          <w:szCs w:val="32"/>
        </w:rPr>
      </w:pPr>
      <w:r>
        <w:rPr>
          <w:rFonts w:ascii="仿宋_GB2312" w:eastAsia="仿宋_GB2312" w:hAnsi="仿宋_GB2312" w:cs="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6" o:spid="_x0000_i1025" type="#_x0000_t75" style="height:285.59pt;mso-wrap-distance-left:0;mso-wrap-distance-right:0;width:439.36pt" o:preferrelative="t" filled="f" stroked="f">
            <v:fill o:detectmouseclick="t"/>
            <v:imagedata r:id="rId4" o:title=""/>
            <v:path o:extrusionok="f"/>
            <o:lock v:ext="edit" aspectratio="t"/>
          </v:shape>
        </w:pict>
      </w: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ascii="仿宋_GB2312" w:eastAsia="仿宋_GB2312" w:hAnsi="仿宋_GB2312" w:cs="仿宋_GB2312"/>
          <w:b w:val="0"/>
          <w:bCs/>
          <w:sz w:val="28"/>
          <w:szCs w:val="28"/>
        </w:rPr>
      </w:pPr>
      <w:r>
        <w:rPr>
          <w:rFonts w:ascii="仿宋_GB2312" w:eastAsia="仿宋_GB2312" w:hAnsi="仿宋_GB2312" w:cs="仿宋_GB2312" w:hint="eastAsia"/>
          <w:b w:val="0"/>
          <w:bCs/>
          <w:sz w:val="28"/>
          <w:szCs w:val="28"/>
        </w:rPr>
        <w:t>图1  基于多源信息和农业气象模式的主客观产品业务流程</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420" w:firstLineChars="200"/>
        <w:textAlignment w:val="auto"/>
        <w:outlineLvl w:val="0"/>
        <w:rPr>
          <w:rFonts w:ascii="黑体" w:eastAsia="黑体" w:hAnsi="黑体"/>
          <w:sz w:val="32"/>
          <w:szCs w:val="32"/>
        </w:rPr>
      </w:pPr>
      <w:r>
        <w:rPr>
          <w:rFonts w:ascii="黑体" w:eastAsia="黑体" w:hAnsi="黑体" w:hint="eastAsia"/>
          <w:sz w:val="32"/>
          <w:szCs w:val="32"/>
        </w:rPr>
        <w:t>三、具体措施</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基于上述改革思路和工作目标，提出以下具体措施：</w:t>
      </w:r>
    </w:p>
    <w:p>
      <w:pPr>
        <w:keepNext w:val="0"/>
        <w:keepLines w:val="0"/>
        <w:pageBreakBefore w:val="0"/>
        <w:kinsoku/>
        <w:wordWrap/>
        <w:overflowPunct/>
        <w:topLinePunct w:val="0"/>
        <w:autoSpaceDE w:val="0"/>
        <w:autoSpaceDN w:val="0"/>
        <w:bidi w:val="0"/>
        <w:adjustRightInd/>
        <w:snapToGrid/>
        <w:spacing w:line="240" w:lineRule="auto"/>
        <w:ind w:left="420"/>
        <w:textAlignment w:val="auto"/>
        <w:outlineLvl w:val="1"/>
        <w:rPr>
          <w:rFonts w:ascii="楷体" w:eastAsia="楷体" w:hAnsi="楷体" w:cs="仿宋_GB2312"/>
          <w:b/>
          <w:sz w:val="32"/>
          <w:szCs w:val="32"/>
        </w:rPr>
      </w:pPr>
      <w:r>
        <w:rPr>
          <w:rFonts w:ascii="楷体" w:eastAsia="楷体" w:hAnsi="楷体" w:cs="仿宋_GB2312" w:hint="eastAsia"/>
          <w:b/>
          <w:sz w:val="32"/>
          <w:szCs w:val="32"/>
        </w:rPr>
        <w:t>（一）业务产品改进</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改版全国农业气象周报</w:t>
      </w:r>
      <w:r>
        <w:rPr>
          <w:rFonts w:ascii="仿宋_GB2312" w:eastAsia="仿宋_GB2312" w:hAnsi="仿宋_GB2312" w:cs="仿宋_GB2312" w:hint="eastAsia"/>
          <w:sz w:val="32"/>
          <w:szCs w:val="32"/>
        </w:rPr>
        <w:t>。改版后，突出产品的信息供给功能，方便不同用户根据各自关注重点获取相应信息。</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改版后</w:t>
      </w:r>
      <w:r>
        <w:rPr>
          <w:rFonts w:ascii="仿宋_GB2312" w:eastAsia="仿宋_GB2312" w:hAnsi="仿宋_GB2312" w:cs="仿宋_GB2312" w:hint="eastAsia"/>
          <w:sz w:val="32"/>
          <w:szCs w:val="32"/>
        </w:rPr>
        <w:t>，周报由本周天气特点及其对农业生产影响分析、未来天气对农业生产影响预估及建议、附表</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rPr>
        <w:t>等内容构成。改版后天气特点、影响分析和趋势建议等篇幅缩减，文字描述更为凝练，便于决策用户和农业生产管理部门宏观决策管理。附表</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rPr>
        <w:t>主要包括作物生长本周状况监测评估、土壤墒情监测、作物生长适宜指数、农业气象灾害等农业气象监测评价信息，可以向专业用户提供更丰富具体的情报信息。</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改革国内农业气象月报和产量预报产品，打造“全国农作物气象监测评估与产量展望”产品</w:t>
      </w:r>
      <w:r>
        <w:rPr>
          <w:rFonts w:ascii="仿宋_GB2312" w:eastAsia="仿宋_GB2312" w:hAnsi="仿宋_GB2312" w:cs="仿宋_GB2312" w:hint="eastAsia"/>
          <w:sz w:val="32"/>
          <w:szCs w:val="32"/>
        </w:rPr>
        <w:t>。突出保障国家粮食安全服务定位，针对小麦、玉米、水稻、油菜、棉花、大豆等大宗粮棉油作物，动态评估气象条件对作物播种、生长发育、产量形成、收获全过程的影响，逐月动态发布大宗作物产量展望。着力打通农业气象监测与影响评估-作物长势定量评估-作物产量动态预报服务链条，逐步形成以作物产量为目标的农业气象条件定量评价、作物长势定量评估、农业气象灾害影响定量评估与作物产量预报相互融合业务技术体系，进一步提升国家粮食安全保障服务能力。</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改版后</w:t>
      </w:r>
      <w:r>
        <w:rPr>
          <w:rFonts w:ascii="仿宋_GB2312" w:eastAsia="仿宋_GB2312" w:hAnsi="仿宋_GB2312" w:cs="仿宋_GB2312" w:hint="eastAsia"/>
          <w:sz w:val="32"/>
          <w:szCs w:val="32"/>
        </w:rPr>
        <w:t>，分作物开展气象条件监测评估和产量预测展望。主要内容包括概要、播种以来气象条件分析、作物长势综合评估、本月重点农业天气与影响、作物产量展望或预测、下月天气影响预估及建议。其中，作物播种以来气象条件分析板块，主要针对作物播种以来总体气象条件（光、温、水）进行评述，并结合作物生长气候适宜度、灾害指数开展时间序列对比分析；作物长势综合评估模块主要包括作物发育进程对分析、作物长势卫星遥感监测对比分析、作物长势模拟综合评估等；本月重点农业天气与影响板块主要简述本月气象条件对作物生长或产量形成的影响；作物产量预报或展望板块主要基于作物产量预报模型预报结果，综合分析研判确定分省作物单产；下月天气对作物影响预估及建议主要是基于月度气候趋势预报信息，分析对作物生产可能影响及关注重点，提出相应生产建议。</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完善国外月报基础数据和技术支撑</w:t>
      </w:r>
      <w:r>
        <w:rPr>
          <w:rFonts w:ascii="仿宋_GB2312" w:eastAsia="仿宋_GB2312" w:hAnsi="仿宋_GB2312" w:cs="仿宋_GB2312" w:hint="eastAsia"/>
          <w:sz w:val="32"/>
          <w:szCs w:val="32"/>
        </w:rPr>
        <w:t>。聚集于改善支撑能力和优化产品内容。进一步完善国外农业气象基础数据库、遥感产品库与应用分析模块，改善基础数据支撑能力; 完善国外产量预报技术与平台支撑;编制产品业务流程方案和周年关注重点。</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outlineLvl w:val="2"/>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优化关键农时农事客观产品和服务规范。</w:t>
      </w:r>
      <w:r>
        <w:rPr>
          <w:rFonts w:ascii="仿宋_GB2312" w:eastAsia="仿宋_GB2312" w:hAnsi="仿宋_GB2312" w:cs="仿宋_GB2312" w:hint="eastAsia"/>
          <w:sz w:val="32"/>
          <w:szCs w:val="32"/>
        </w:rPr>
        <w:t>优化关键农时客观产品，提高客观产品准确度与可用性；完善Web</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sz w:val="32"/>
          <w:szCs w:val="32"/>
        </w:rPr>
        <w:t>AgMSS</w:t>
      </w:r>
      <w:r>
        <w:rPr>
          <w:rFonts w:ascii="仿宋_GB2312" w:eastAsia="仿宋_GB2312" w:hAnsi="仿宋_GB2312" w:cs="仿宋_GB2312" w:hint="eastAsia"/>
          <w:sz w:val="32"/>
          <w:szCs w:val="32"/>
        </w:rPr>
        <w:t>关键农时农事相关功能模块，提高农时产品制作效率。按照减灾司下发的全国春耕春播、夏收夏种、秋收秋种气象服务方案，继续推动国省服务“一张网”和规范化建设，不断提升服务产品的针对性、指导性。</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outlineLvl w:val="2"/>
        <w:rPr>
          <w:rFonts w:ascii="仿宋_GB2312" w:eastAsia="仿宋_GB2312" w:hAnsi="仿宋_GB2312" w:cs="仿宋_GB2312"/>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优化农业气象专报产品，加强客观产品应用。</w:t>
      </w:r>
      <w:r>
        <w:rPr>
          <w:rFonts w:ascii="仿宋_GB2312" w:eastAsia="仿宋_GB2312" w:hAnsi="仿宋_GB2312" w:cs="仿宋_GB2312" w:hint="eastAsia"/>
          <w:sz w:val="32"/>
          <w:szCs w:val="32"/>
        </w:rPr>
        <w:t>优化农业气象专报体系，主要是关注农业生产高影响、转折性和灾害性天气过程服务，包括农用天气预报、农业气象灾害预警、农林病虫害气象服务等。进一步改进优化农业高影响天气和灾害预警评估业务技术方法，基于致灾因子、脆弱性等综合因子改进灾害格点预报客观化产品，增强客观产品（灾害格点监测预报、遥感长势、作物模型、适宜度指数、灾害历史指数等）在服务中的应用，逐步形成天气预报驱动的、基于农业气象指数和模型的农业气象灾害预警评估产品支撑，提升业务产品的专业化内涵。</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outlineLvl w:val="2"/>
        <w:rPr>
          <w:rFonts w:ascii="仿宋_GB2312" w:eastAsia="仿宋_GB2312" w:hAnsi="仿宋_GB2312" w:cs="仿宋_GB2312"/>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强化农业气象决策服务。</w:t>
      </w:r>
      <w:r>
        <w:rPr>
          <w:rFonts w:ascii="仿宋_GB2312" w:eastAsia="仿宋_GB2312" w:hAnsi="仿宋_GB2312" w:cs="仿宋_GB2312" w:hint="eastAsia"/>
          <w:sz w:val="32"/>
          <w:szCs w:val="32"/>
        </w:rPr>
        <w:t>增强服务意识，加强客观产品在决策服务材料中的应用，提高农业气象决策材料的科技内涵与前瞻性，提高农业气象决策产品的定量化水平。加强与职能司、涉农部委等对接，做好重大农业气象决策材料策划、选题和服务，更好服务于农业防灾减灾、粮食安全和乡村振兴。加强决策服务材料撰写培训和交流，不断提升业务人员决策服务能力。</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7</w:t>
      </w:r>
      <w:r>
        <w:rPr>
          <w:rFonts w:ascii="仿宋_GB2312" w:eastAsia="仿宋_GB2312" w:hAnsi="仿宋_GB2312" w:cs="仿宋_GB2312" w:hint="eastAsia"/>
          <w:b/>
          <w:sz w:val="32"/>
          <w:szCs w:val="32"/>
          <w:lang w:val="en-US" w:eastAsia="zh-CN"/>
        </w:rPr>
        <w:t>.</w:t>
      </w:r>
      <w:r>
        <w:rPr>
          <w:rFonts w:ascii="仿宋_GB2312" w:eastAsia="仿宋_GB2312" w:hAnsi="仿宋_GB2312" w:cs="仿宋_GB2312" w:hint="eastAsia"/>
          <w:b/>
          <w:sz w:val="32"/>
          <w:szCs w:val="32"/>
        </w:rPr>
        <w:t>打造“每日农业天气提示”公众服务品牌。</w:t>
      </w:r>
      <w:r>
        <w:rPr>
          <w:rFonts w:ascii="仿宋_GB2312" w:eastAsia="仿宋_GB2312" w:hAnsi="仿宋_GB2312" w:cs="仿宋_GB2312" w:hint="eastAsia"/>
          <w:sz w:val="32"/>
          <w:szCs w:val="32"/>
        </w:rPr>
        <w:t>该产品面向CCTV-17农业农村频道农业气象栏目需求，为公众和农业生产者提供及时有效的农用天气信息。要发挥该产品服务时效性、生产指导性强的特点，更好地将格点客观产品、农业气象灾害（病虫害）预警信息、关键农时农用天气预报信息、农情监测信息以及特色农业气象信息等融合到服务中。加强与农业农村频道形成常态化技术和工作互动。</w:t>
      </w:r>
    </w:p>
    <w:p>
      <w:pPr>
        <w:keepNext w:val="0"/>
        <w:keepLines w:val="0"/>
        <w:pageBreakBefore w:val="0"/>
        <w:kinsoku/>
        <w:wordWrap/>
        <w:overflowPunct/>
        <w:topLinePunct w:val="0"/>
        <w:autoSpaceDE w:val="0"/>
        <w:autoSpaceDN w:val="0"/>
        <w:bidi w:val="0"/>
        <w:adjustRightInd/>
        <w:snapToGrid/>
        <w:spacing w:line="240" w:lineRule="auto"/>
        <w:ind w:left="420"/>
        <w:textAlignment w:val="auto"/>
        <w:outlineLvl w:val="1"/>
        <w:rPr>
          <w:rFonts w:ascii="楷体" w:eastAsia="楷体" w:hAnsi="楷体" w:cs="仿宋_GB2312"/>
          <w:b/>
          <w:sz w:val="32"/>
          <w:szCs w:val="32"/>
        </w:rPr>
      </w:pPr>
      <w:r>
        <w:rPr>
          <w:rFonts w:ascii="楷体" w:eastAsia="楷体" w:hAnsi="楷体" w:cs="仿宋_GB2312" w:hint="eastAsia"/>
          <w:b/>
          <w:sz w:val="32"/>
          <w:szCs w:val="32"/>
        </w:rPr>
        <w:t>（二）业务流程与规范</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配合减灾司落实农业气象服务体系规范优化重点工作任务，结合当前农业气象服务技术和需求现状，分析规范、指南的适用性，分类沿袭、修订、废止或新编业务规范和技术指南。强化需求分析，重点分析乡村振兴和现代农业发展对业务服务的新需求。</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强化农业气象会商服务，针对重大天气过程和关键农事季节，制作全国天气早会商素材，提供天气预报首席，必要时由农业气象首席/领班发言；健全国-省农业气象联合会商机制。加强重大农业气象灾害、关键农事季节田间调查国省、区域协同工作。建立与农业农村部门农业气象防灾减灾联合会商工作机制。</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制定或优化调整农业气象客观指导产品、业务产品制作与发布流程和周年工作方案。</w:t>
      </w:r>
    </w:p>
    <w:p>
      <w:pPr>
        <w:keepNext w:val="0"/>
        <w:keepLines w:val="0"/>
        <w:pageBreakBefore w:val="0"/>
        <w:kinsoku/>
        <w:wordWrap/>
        <w:overflowPunct/>
        <w:topLinePunct w:val="0"/>
        <w:autoSpaceDE w:val="0"/>
        <w:autoSpaceDN w:val="0"/>
        <w:bidi w:val="0"/>
        <w:adjustRightInd/>
        <w:snapToGrid/>
        <w:spacing w:line="240" w:lineRule="auto"/>
        <w:ind w:left="420"/>
        <w:textAlignment w:val="auto"/>
        <w:outlineLvl w:val="1"/>
        <w:rPr>
          <w:rFonts w:ascii="楷体" w:eastAsia="楷体" w:hAnsi="楷体" w:cs="仿宋_GB2312"/>
          <w:b/>
          <w:sz w:val="32"/>
          <w:szCs w:val="32"/>
        </w:rPr>
      </w:pPr>
      <w:r>
        <w:rPr>
          <w:rFonts w:ascii="楷体" w:eastAsia="楷体" w:hAnsi="楷体" w:cs="仿宋_GB2312" w:hint="eastAsia"/>
          <w:b/>
          <w:sz w:val="32"/>
          <w:szCs w:val="32"/>
        </w:rPr>
        <w:t>（三）业务系统、支撑技术和保障机制</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hint="eastAsia"/>
          <w:b/>
          <w:sz w:val="32"/>
          <w:szCs w:val="32"/>
        </w:rPr>
        <w:t>业务系统支撑</w:t>
      </w:r>
      <w:r>
        <w:rPr>
          <w:rFonts w:ascii="仿宋_GB2312" w:eastAsia="仿宋_GB2312" w:hAnsi="仿宋_GB2312" w:cs="仿宋_GB2312" w:hint="eastAsia"/>
          <w:sz w:val="32"/>
          <w:szCs w:val="32"/>
        </w:rPr>
        <w:t>方面，形成面向农业气象业务应用的气象条件分析和灾害监测预报格点化产品制作能力，优化客观产品业务供给流程，有序实现农业气象产品的自动化制作和管理。优化基于智能网格预报的农业气象灾害预警评估、农用天气预报、作物定量评价等精细化农业气象业务预报服务客观支撑能力。面向农业气象业务系统全面现代化的要求，基于气象大数据云平台“天擎”系统，开展CAgMSS业务系统网络化改造，实现业务平台的集约化运行，提升农业气象业务系统的效率和安全性。优化业务产品和数据管理，加强全国农业气象数据、产品、模型算法的共建、共享、共用，为构建国省“一张网”业务提供支撑。</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hint="eastAsia"/>
          <w:b/>
          <w:sz w:val="32"/>
          <w:szCs w:val="32"/>
        </w:rPr>
        <w:t>业务支撑技术</w:t>
      </w:r>
      <w:r>
        <w:rPr>
          <w:rFonts w:ascii="仿宋_GB2312" w:eastAsia="仿宋_GB2312" w:hAnsi="仿宋_GB2312" w:cs="仿宋_GB2312" w:hint="eastAsia"/>
          <w:sz w:val="32"/>
          <w:szCs w:val="32"/>
        </w:rPr>
        <w:t>方面，一是加强重大农业气象灾害风险与影响评估技术研发，开展重大农业病虫害发生发展和防治气象条件监测预报模型和指标研究，规范农林病虫害发生发展及防治气象条件预报流程，编制相应的技术指南、业务规范等，加强对省级业务的指导。二是持续推进作物模型业务化应用，发展基于过程的精细化大宗粮油作物生长定量评估与产量预报多模型、多数据综合集成技术体系。三是开展大宗粮油作物种植精细化区划和农业气候年景预估技术研发，提升产前气象服务能力。四是强化卫星遥感在农业气象业务中的应用力度，利用多源遥感资料，改进发展国内外作物长势和重要农业气象灾害监测、作物种植面积估算、作物产量预报业务技术。五是扩充、优化农业气象基础知识库，重点是农作物与气象条件关系、农时与天气、不同天气条件的农业影响、典型农业年型和灾害个例库等，为业务产品制作和开展服务提供支撑；进一步完善国外农业气象基础数据库建设、提升全球农业气象服务能力。</w:t>
      </w:r>
    </w:p>
    <w:p>
      <w:pPr>
        <w:keepNext w:val="0"/>
        <w:keepLines w:val="0"/>
        <w:pageBreakBefore w:val="0"/>
        <w:kinsoku/>
        <w:wordWrap/>
        <w:overflowPunct/>
        <w:topLinePunct w:val="0"/>
        <w:autoSpaceDE w:val="0"/>
        <w:autoSpaceDN w:val="0"/>
        <w:bidi w:val="0"/>
        <w:adjustRightInd/>
        <w:snapToGrid/>
        <w:spacing w:line="240" w:lineRule="auto"/>
        <w:ind w:firstLine="42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hint="eastAsia"/>
          <w:b/>
          <w:sz w:val="32"/>
          <w:szCs w:val="32"/>
        </w:rPr>
        <w:t>保障机制</w:t>
      </w:r>
      <w:r>
        <w:rPr>
          <w:rFonts w:ascii="仿宋_GB2312" w:eastAsia="仿宋_GB2312" w:hAnsi="仿宋_GB2312" w:cs="仿宋_GB2312" w:hint="eastAsia"/>
          <w:sz w:val="32"/>
          <w:szCs w:val="32"/>
        </w:rPr>
        <w:t>方面，统筹考虑业务值班和业务技术研发工作，在工作量总体平衡的原则下，值班领域和研究方向有所侧重和差异，打造“专科”、“全科”兼顾的人才体系，推动研究型业务体系建设。根据调整后的业务产品体系，优化调整业务值班岗位和业务值班组织方式，完善业务岗位人才发展和管理配套办法，为全面提升业务服务效益和促进人才发展创造有力条件。面向“十四五”国家粮食安全和乡村振兴需求，规划农业气象现代化建设任务，统筹技术研发力量，组建关键技术研发攻关团队/小组。与中心上下游单位形成合力，推进前端预报到农业气象服务各环节深度融合，加强智能网格预报、天气业务平台等培训交流，根据业务服务和技术研发需求，选派业务技术人员到相关台室交流。坚持开放合作，加强与相关科研院所、高校、省级业务单位合作，引进应用成熟的农业气象技术，开展重大业务支撑技术联合攻关。</w:t>
      </w:r>
    </w:p>
    <w:p>
      <w:pPr>
        <w:keepNext w:val="0"/>
        <w:keepLines w:val="0"/>
        <w:pageBreakBefore w:val="0"/>
        <w:kinsoku/>
        <w:wordWrap/>
        <w:overflowPunct/>
        <w:topLinePunct w:val="0"/>
        <w:autoSpaceDE w:val="0"/>
        <w:autoSpaceDN w:val="0"/>
        <w:bidi w:val="0"/>
        <w:adjustRightInd/>
        <w:snapToGrid/>
        <w:spacing w:line="240" w:lineRule="auto"/>
        <w:ind w:left="56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改革前后主要业务产品和系统支撑对比见图2。</w:t>
      </w:r>
    </w:p>
    <w:p>
      <w:pPr>
        <w:keepNext w:val="0"/>
        <w:keepLines w:val="0"/>
        <w:pageBreakBefore w:val="0"/>
        <w:kinsoku/>
        <w:wordWrap/>
        <w:overflowPunct/>
        <w:topLinePunct w:val="0"/>
        <w:autoSpaceDE w:val="0"/>
        <w:autoSpaceDN w:val="0"/>
        <w:bidi w:val="0"/>
        <w:adjustRightInd/>
        <w:snapToGrid/>
        <w:spacing w:line="240" w:lineRule="auto"/>
        <w:textAlignment w:val="auto"/>
        <w:rPr>
          <w:rFonts w:ascii="仿宋_GB2312" w:eastAsia="仿宋_GB2312" w:hAnsi="仿宋_GB2312" w:cs="仿宋_GB2312"/>
          <w:sz w:val="28"/>
          <w:szCs w:val="28"/>
        </w:rPr>
      </w:pPr>
      <w:r>
        <w:pict>
          <v:group id="组合 3" o:spid="_x0000_i1026" style="height:582.25pt;mso-wrap-distance-left:0;mso-wrap-distance-right:0;width:421.8pt" coordorigin="-16188,0" coordsize="5356796,6258496">
            <o:lock v:ext="edit" aspectratio="f"/>
            <v:shapetype id="_x0000_t202" coordsize="21600,21600" o:spt="202" path="m,l,21600r21600,l21600,xe">
              <v:stroke joinstyle="miter"/>
              <v:path gradientshapeok="t" o:connecttype="rect"/>
            </v:shapetype>
            <v:shape id="文本框 3" o:spid="_x0000_s1027" type="#_x0000_t202" style="height:289560;left:3501332;mso-wrap-style:square;position:absolute;top:1;v-text-anchor:middle;width:876935" filled="t" fillcolor="#b3a2c7" stroked="t">
              <v:stroke joinstyle="miter"/>
              <o:lock v:ext="edit" aspectratio="f"/>
              <v:textbox style="layout-flow:horizontal">
                <w:txbxContent>
                  <w:p>
                    <w:pPr>
                      <w:pStyle w:val="NormalWeb"/>
                      <w:spacing w:before="0" w:beforeAutospacing="0" w:after="0" w:afterAutospacing="0"/>
                      <w:jc w:val="center"/>
                    </w:pPr>
                    <w:r>
                      <w:rPr>
                        <w:rFonts w:cs="Times New Roman" w:hint="eastAsia"/>
                        <w:b/>
                        <w:bCs/>
                        <w:color w:val="000000"/>
                        <w:kern w:val="24"/>
                        <w:sz w:val="21"/>
                        <w:szCs w:val="21"/>
                      </w:rPr>
                      <w:t>改革后</w:t>
                    </w:r>
                  </w:p>
                </w:txbxContent>
              </v:textbox>
            </v:shape>
            <v:shape id="文本框 7" o:spid="_x0000_s1028" type="#_x0000_t202" style="height:744088;left:2;mso-wrap-style:square;position:absolute;top:401377;v-text-anchor:top;width:2412908" filled="f" stroked="t" strokecolor="#4bacc6">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农业气象周报</w:t>
                    </w:r>
                  </w:p>
                  <w:p>
                    <w:pPr>
                      <w:pStyle w:val="NormalWeb"/>
                      <w:spacing w:before="0" w:beforeAutospacing="0" w:after="0" w:afterAutospacing="0"/>
                      <w:jc w:val="both"/>
                    </w:pPr>
                    <w:r>
                      <w:rPr>
                        <w:rFonts w:cs="Times New Roman" w:hint="eastAsia"/>
                        <w:color w:val="000000"/>
                        <w:kern w:val="24"/>
                        <w:sz w:val="18"/>
                        <w:szCs w:val="18"/>
                      </w:rPr>
                      <w:t>* 手工制作分析和主观判断为主，客观支撑不足，智能化程度低</w:t>
                    </w:r>
                  </w:p>
                  <w:p>
                    <w:pPr>
                      <w:pStyle w:val="NormalWeb"/>
                      <w:spacing w:before="0" w:beforeAutospacing="0" w:after="0" w:afterAutospacing="0"/>
                      <w:jc w:val="both"/>
                    </w:pPr>
                    <w:r>
                      <w:rPr>
                        <w:rFonts w:cs="Times New Roman" w:hint="eastAsia"/>
                        <w:color w:val="000000"/>
                        <w:kern w:val="24"/>
                        <w:sz w:val="18"/>
                        <w:szCs w:val="18"/>
                      </w:rPr>
                      <w:t>* 篇幅长，值班周期长</w:t>
                    </w:r>
                  </w:p>
                </w:txbxContent>
              </v:textbox>
            </v:shape>
            <v:shape id="文本框 8" o:spid="_x0000_s1029" type="#_x0000_t202" style="height:744057;left:2670036;mso-wrap-style:square;position:absolute;top:401384;v-text-anchor:top;width:2670572" filled="f" stroked="t" strokecolor="#c0504d">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农业气象周报</w:t>
                    </w:r>
                  </w:p>
                  <w:p>
                    <w:pPr>
                      <w:pStyle w:val="NormalWeb"/>
                      <w:spacing w:before="0" w:beforeAutospacing="0" w:after="0" w:afterAutospacing="0"/>
                      <w:jc w:val="both"/>
                    </w:pPr>
                    <w:r>
                      <w:rPr>
                        <w:rFonts w:cs="Times New Roman" w:hint="eastAsia"/>
                        <w:color w:val="000000"/>
                        <w:kern w:val="24"/>
                        <w:sz w:val="18"/>
                        <w:szCs w:val="18"/>
                      </w:rPr>
                      <w:t>* 提升制作自动化和智能化，加强灾害指数、适宜指数等客观产品应用</w:t>
                    </w:r>
                  </w:p>
                  <w:p>
                    <w:pPr>
                      <w:pStyle w:val="NormalWeb"/>
                      <w:spacing w:before="0" w:beforeAutospacing="0" w:after="0" w:afterAutospacing="0"/>
                      <w:jc w:val="both"/>
                    </w:pPr>
                    <w:r>
                      <w:rPr>
                        <w:rFonts w:cs="Times New Roman" w:hint="eastAsia"/>
                        <w:color w:val="000000"/>
                        <w:kern w:val="24"/>
                        <w:sz w:val="18"/>
                        <w:szCs w:val="18"/>
                      </w:rPr>
                      <w:t>* 简化文字描述，增强可读性，缩短值班周期</w:t>
                    </w:r>
                  </w:p>
                </w:txbxContent>
              </v:textbox>
            </v:shape>
            <v:shape id="文本框 9" o:spid="_x0000_s1030" type="#_x0000_t202" style="height:714938;left:-16188;mso-wrap-style:square;position:absolute;top:1218392;v-text-anchor:top;width:2412910" filled="f" stroked="t" strokecolor="#4bacc6">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农业气象月报</w:t>
                    </w:r>
                  </w:p>
                  <w:p>
                    <w:pPr>
                      <w:pStyle w:val="NormalWeb"/>
                      <w:spacing w:before="0" w:beforeAutospacing="0" w:after="0" w:afterAutospacing="0"/>
                      <w:jc w:val="both"/>
                    </w:pPr>
                    <w:r>
                      <w:rPr>
                        <w:rFonts w:cs="Times New Roman" w:hint="eastAsia"/>
                        <w:color w:val="000000"/>
                        <w:kern w:val="24"/>
                        <w:sz w:val="18"/>
                        <w:szCs w:val="18"/>
                      </w:rPr>
                      <w:t>* 客观产品支撑不足，智能化程度低，动态评估欠缺</w:t>
                    </w:r>
                  </w:p>
                  <w:p>
                    <w:pPr>
                      <w:pStyle w:val="NormalWeb"/>
                      <w:spacing w:before="0" w:beforeAutospacing="0" w:after="0" w:afterAutospacing="0"/>
                      <w:jc w:val="both"/>
                    </w:pPr>
                    <w:r>
                      <w:rPr>
                        <w:rFonts w:cs="Times New Roman" w:hint="eastAsia"/>
                        <w:color w:val="000000"/>
                        <w:kern w:val="24"/>
                        <w:sz w:val="18"/>
                        <w:szCs w:val="18"/>
                      </w:rPr>
                      <w:t>* 针对作物的评估分析不足</w:t>
                    </w:r>
                  </w:p>
                </w:txbxContent>
              </v:textbox>
            </v:shape>
            <v:shape id="文本框 10" o:spid="_x0000_s1031" type="#_x0000_t202" style="height:1301290;left:2653629;mso-wrap-style:square;position:absolute;top:1218303;v-text-anchor:top;width:2670570" filled="f" stroked="t" strokecolor="#c0504d">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作物气象评价与产量展望</w:t>
                    </w:r>
                  </w:p>
                  <w:p>
                    <w:pPr>
                      <w:pStyle w:val="NormalWeb"/>
                      <w:spacing w:before="0" w:beforeAutospacing="0" w:after="0" w:afterAutospacing="0"/>
                      <w:jc w:val="both"/>
                    </w:pPr>
                    <w:r>
                      <w:rPr>
                        <w:rFonts w:cs="Times New Roman" w:hint="eastAsia"/>
                        <w:color w:val="000000"/>
                        <w:kern w:val="24"/>
                        <w:sz w:val="18"/>
                        <w:szCs w:val="18"/>
                      </w:rPr>
                      <w:t>* 强化分作物的动态评估和预报，开展逐月动态产量预报服务</w:t>
                    </w:r>
                  </w:p>
                  <w:p>
                    <w:pPr>
                      <w:pStyle w:val="NormalWeb"/>
                      <w:spacing w:before="0" w:beforeAutospacing="0" w:after="0" w:afterAutospacing="0"/>
                      <w:jc w:val="both"/>
                    </w:pPr>
                    <w:r>
                      <w:rPr>
                        <w:rFonts w:cs="Times New Roman" w:hint="eastAsia"/>
                        <w:color w:val="000000"/>
                        <w:kern w:val="24"/>
                        <w:sz w:val="18"/>
                        <w:szCs w:val="18"/>
                      </w:rPr>
                      <w:t>* 提升自动化水平，加强灾害指数、适宜指数客观产品应用</w:t>
                    </w:r>
                  </w:p>
                  <w:p>
                    <w:pPr>
                      <w:pStyle w:val="NormalWeb"/>
                      <w:spacing w:before="0" w:beforeAutospacing="0" w:after="0" w:afterAutospacing="0"/>
                      <w:jc w:val="both"/>
                    </w:pPr>
                    <w:r>
                      <w:rPr>
                        <w:rFonts w:cs="Times New Roman" w:hint="eastAsia"/>
                        <w:color w:val="000000"/>
                        <w:kern w:val="24"/>
                        <w:sz w:val="18"/>
                        <w:szCs w:val="18"/>
                      </w:rPr>
                      <w:t>* 改善产量预报系统人机交互多的问题，提升产品自动化水平</w:t>
                    </w:r>
                  </w:p>
                </w:txbxContent>
              </v:textbox>
            </v:shape>
            <v:shape id="文本框 11" o:spid="_x0000_s1032" type="#_x0000_t202" style="height:289560;left:652610;mso-wrap-style:square;position:absolute;v-text-anchor:middle;width:1066800" filled="t" fillcolor="#b7dee8" stroked="t">
              <v:stroke joinstyle="miter"/>
              <o:lock v:ext="edit" aspectratio="f"/>
              <v:textbox style="layout-flow:horizontal">
                <w:txbxContent>
                  <w:p>
                    <w:pPr>
                      <w:pStyle w:val="NormalWeb"/>
                      <w:spacing w:before="0" w:beforeAutospacing="0" w:after="0" w:afterAutospacing="0"/>
                      <w:jc w:val="center"/>
                    </w:pPr>
                    <w:r>
                      <w:rPr>
                        <w:rFonts w:cs="Times New Roman" w:hint="eastAsia"/>
                        <w:b/>
                        <w:bCs/>
                        <w:color w:val="000000"/>
                        <w:kern w:val="24"/>
                        <w:sz w:val="21"/>
                        <w:szCs w:val="21"/>
                      </w:rPr>
                      <w:t>改革前</w:t>
                    </w:r>
                  </w:p>
                </w:txbxContent>
              </v:textbox>
            </v:shape>
            <v:shape id="文本框 12" o:spid="_x0000_s1033" type="#_x0000_t202" style="height:1087765;left:-2176;mso-wrap-style:square;position:absolute;top:2585911;v-text-anchor:top;width:2412899" filled="f" stroked="t" strokecolor="#4bacc6">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农业气象专报</w:t>
                    </w:r>
                  </w:p>
                  <w:p>
                    <w:pPr>
                      <w:pStyle w:val="NormalWeb"/>
                      <w:spacing w:before="0" w:beforeAutospacing="0" w:after="0" w:afterAutospacing="0"/>
                      <w:jc w:val="both"/>
                    </w:pPr>
                    <w:r>
                      <w:rPr>
                        <w:rFonts w:cs="Times New Roman" w:hint="eastAsia"/>
                        <w:color w:val="000000"/>
                        <w:kern w:val="24"/>
                        <w:sz w:val="18"/>
                        <w:szCs w:val="18"/>
                      </w:rPr>
                      <w:t>* 农业高影响天气监测预警，基于农业气象影响的客观分析产品应用不足</w:t>
                    </w:r>
                  </w:p>
                  <w:p>
                    <w:pPr>
                      <w:pStyle w:val="NormalWeb"/>
                      <w:spacing w:before="0" w:beforeAutospacing="0" w:after="0" w:afterAutospacing="0"/>
                      <w:jc w:val="both"/>
                    </w:pPr>
                    <w:r>
                      <w:rPr>
                        <w:rFonts w:cs="Times New Roman" w:hint="eastAsia"/>
                        <w:color w:val="000000"/>
                        <w:kern w:val="24"/>
                        <w:sz w:val="18"/>
                        <w:szCs w:val="18"/>
                      </w:rPr>
                      <w:t>* 病虫害发生防治气象预报未形成规范流程</w:t>
                    </w:r>
                  </w:p>
                </w:txbxContent>
              </v:textbox>
            </v:shape>
            <v:shape id="文本框 13" o:spid="_x0000_s1034" type="#_x0000_t202" style="height:1088057;left:2652881;mso-wrap-style:square;position:absolute;top:2585699;v-text-anchor:top;width:2670570" filled="f" stroked="t" strokecolor="#c0504d">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农业气象专报</w:t>
                    </w:r>
                  </w:p>
                  <w:p>
                    <w:pPr>
                      <w:pStyle w:val="NormalWeb"/>
                      <w:spacing w:before="0" w:beforeAutospacing="0" w:after="0" w:afterAutospacing="0"/>
                      <w:jc w:val="both"/>
                    </w:pPr>
                    <w:r>
                      <w:rPr>
                        <w:rFonts w:cs="Times New Roman" w:hint="eastAsia"/>
                        <w:color w:val="000000"/>
                        <w:kern w:val="24"/>
                        <w:sz w:val="18"/>
                        <w:szCs w:val="18"/>
                      </w:rPr>
                      <w:t>* 改进优化农业高影响天气和灾害预警评估业务技术方法，形成天气预报驱动的、基于农业气象指数和模型的农业气象灾害预警评估产品</w:t>
                    </w:r>
                  </w:p>
                  <w:p>
                    <w:pPr>
                      <w:pStyle w:val="NormalWeb"/>
                      <w:spacing w:before="0" w:beforeAutospacing="0" w:after="0" w:afterAutospacing="0"/>
                      <w:jc w:val="both"/>
                    </w:pPr>
                    <w:r>
                      <w:rPr>
                        <w:rFonts w:cs="Times New Roman" w:hint="eastAsia"/>
                        <w:color w:val="000000"/>
                        <w:kern w:val="24"/>
                        <w:sz w:val="18"/>
                        <w:szCs w:val="18"/>
                      </w:rPr>
                      <w:t>* 形成病虫害发生防治气象预报业务技术指南和规范，完善业务系统</w:t>
                    </w:r>
                  </w:p>
                </w:txbxContent>
              </v:textbox>
            </v:shape>
            <v:shape id="文本框 14" o:spid="_x0000_s1035" type="#_x0000_t202" style="height:739525;left:-2218;mso-wrap-style:square;position:absolute;top:4358444;v-text-anchor:top;width:2400271" filled="f" stroked="t" strokecolor="#4bacc6">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决策服务</w:t>
                    </w:r>
                  </w:p>
                  <w:p>
                    <w:pPr>
                      <w:pStyle w:val="NormalWeb"/>
                      <w:spacing w:before="0" w:beforeAutospacing="0" w:after="0" w:afterAutospacing="0"/>
                      <w:jc w:val="both"/>
                    </w:pPr>
                    <w:r>
                      <w:rPr>
                        <w:rFonts w:cs="Times New Roman" w:hint="eastAsia"/>
                        <w:color w:val="000000"/>
                        <w:kern w:val="24"/>
                        <w:sz w:val="18"/>
                        <w:szCs w:val="18"/>
                      </w:rPr>
                      <w:t>* 决策服务的主动性、前瞻性不足</w:t>
                    </w:r>
                  </w:p>
                  <w:p>
                    <w:pPr>
                      <w:pStyle w:val="NormalWeb"/>
                      <w:spacing w:before="0" w:beforeAutospacing="0" w:after="0" w:afterAutospacing="0"/>
                      <w:jc w:val="both"/>
                    </w:pPr>
                    <w:r>
                      <w:rPr>
                        <w:rFonts w:cs="Times New Roman" w:hint="eastAsia"/>
                        <w:color w:val="000000"/>
                        <w:kern w:val="24"/>
                        <w:sz w:val="18"/>
                        <w:szCs w:val="18"/>
                      </w:rPr>
                      <w:t>* 决策服务材料撰写技巧偏弱，内容不够凝练、重点不够突出</w:t>
                    </w:r>
                  </w:p>
                </w:txbxContent>
              </v:textbox>
            </v:shape>
            <v:shape id="文本框 15" o:spid="_x0000_s1036" type="#_x0000_t202" style="height:739525;left:2641255;mso-wrap-style:square;position:absolute;top:4358444;v-text-anchor:top;width:2670778" filled="f" stroked="t" strokecolor="#c0504d">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决策服务</w:t>
                    </w:r>
                  </w:p>
                  <w:p>
                    <w:pPr>
                      <w:pStyle w:val="NormalWeb"/>
                      <w:spacing w:before="0" w:beforeAutospacing="0" w:after="0" w:afterAutospacing="0"/>
                      <w:jc w:val="both"/>
                    </w:pPr>
                    <w:r>
                      <w:rPr>
                        <w:rFonts w:cs="Times New Roman" w:hint="eastAsia"/>
                        <w:color w:val="000000"/>
                        <w:kern w:val="24"/>
                        <w:sz w:val="18"/>
                        <w:szCs w:val="18"/>
                      </w:rPr>
                      <w:t>* 强化服务意识，加强与职能司对接，做好重大决策材料策划和服务</w:t>
                    </w:r>
                  </w:p>
                  <w:p>
                    <w:pPr>
                      <w:pStyle w:val="NormalWeb"/>
                      <w:spacing w:before="0" w:beforeAutospacing="0" w:after="0" w:afterAutospacing="0"/>
                      <w:jc w:val="both"/>
                    </w:pPr>
                    <w:r>
                      <w:rPr>
                        <w:rFonts w:cs="Times New Roman" w:hint="eastAsia"/>
                        <w:color w:val="000000"/>
                        <w:kern w:val="24"/>
                        <w:sz w:val="18"/>
                        <w:szCs w:val="18"/>
                      </w:rPr>
                      <w:t>* 加强培训和交流，提升业务人员决策服务能力</w:t>
                    </w:r>
                  </w:p>
                </w:txbxContent>
              </v:textbox>
            </v:shape>
            <v:shape id="文本框 16" o:spid="_x0000_s1037" type="#_x0000_t202" style="height:564696;left:4503;mso-wrap-style:square;position:absolute;top:3733869;v-text-anchor:top;width:2400343" filled="f" stroked="t" strokecolor="#4bacc6">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关键农时农事</w:t>
                    </w:r>
                  </w:p>
                  <w:p>
                    <w:pPr>
                      <w:pStyle w:val="NormalWeb"/>
                      <w:spacing w:before="0" w:beforeAutospacing="0" w:after="0" w:afterAutospacing="0"/>
                      <w:jc w:val="both"/>
                    </w:pPr>
                    <w:r>
                      <w:rPr>
                        <w:rFonts w:cs="Times New Roman" w:hint="eastAsia"/>
                        <w:color w:val="000000"/>
                        <w:kern w:val="24"/>
                        <w:sz w:val="18"/>
                        <w:szCs w:val="18"/>
                      </w:rPr>
                      <w:t>* CAgMSS农时产品制作模块效率不高，数据加载、分析、绘图功能需进一步改进完善</w:t>
                    </w:r>
                  </w:p>
                </w:txbxContent>
              </v:textbox>
            </v:shape>
            <v:shape id="文本框 17" o:spid="_x0000_s1038" type="#_x0000_t202" style="height:564696;left:2660364;mso-wrap-style:square;position:absolute;top:3733866;v-text-anchor:top;width:2670570" filled="f" stroked="t" strokecolor="#c0504d">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关键农时农事</w:t>
                    </w:r>
                  </w:p>
                  <w:p>
                    <w:pPr>
                      <w:pStyle w:val="NormalWeb"/>
                      <w:spacing w:before="0" w:beforeAutospacing="0" w:after="0" w:afterAutospacing="0"/>
                      <w:jc w:val="both"/>
                    </w:pPr>
                    <w:r>
                      <w:rPr>
                        <w:rFonts w:cs="Times New Roman" w:hint="eastAsia"/>
                        <w:color w:val="000000"/>
                        <w:kern w:val="24"/>
                        <w:sz w:val="18"/>
                        <w:szCs w:val="18"/>
                      </w:rPr>
                      <w:t>* 优化关键农时客观产品，完善Web-CAgMSS关键农时农事相关功能模块，提高产品制作效率</w:t>
                    </w:r>
                  </w:p>
                </w:txbxContent>
              </v:textbox>
            </v:shape>
            <v:shape id="文本框 12" o:spid="_x0000_s1039" type="#_x0000_t202" style="height:543036;left:-16103;mso-wrap-style:square;position:absolute;top:1976632;v-text-anchor:top;width:2412832" filled="f" stroked="t" strokecolor="#4bacc6">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产量预报</w:t>
                    </w:r>
                  </w:p>
                  <w:p>
                    <w:pPr>
                      <w:pStyle w:val="NormalWeb"/>
                      <w:spacing w:before="0" w:beforeAutospacing="0" w:after="0" w:afterAutospacing="0"/>
                      <w:jc w:val="both"/>
                    </w:pPr>
                    <w:r>
                      <w:rPr>
                        <w:rFonts w:cs="Times New Roman" w:hint="eastAsia"/>
                        <w:color w:val="000000"/>
                        <w:kern w:val="24"/>
                        <w:sz w:val="18"/>
                        <w:szCs w:val="18"/>
                      </w:rPr>
                      <w:t>* 产量预报系统平台速度偏慢，人机交互多</w:t>
                    </w:r>
                  </w:p>
                  <w:p>
                    <w:pPr>
                      <w:pStyle w:val="NormalWeb"/>
                      <w:spacing w:before="0" w:beforeAutospacing="0" w:after="0" w:afterAutospacing="0"/>
                      <w:jc w:val="both"/>
                    </w:pPr>
                    <w:r>
                      <w:rPr>
                        <w:rFonts w:cs="Times New Roman" w:hint="eastAsia"/>
                        <w:color w:val="000000"/>
                        <w:kern w:val="24"/>
                        <w:sz w:val="18"/>
                        <w:szCs w:val="18"/>
                      </w:rPr>
                      <w:t>* 动态产量预报服务渠道有待拓展</w:t>
                    </w:r>
                  </w:p>
                </w:txbxContent>
              </v:textbox>
            </v:shape>
            <v:shape id="文本框 14" o:spid="_x0000_s1040" type="#_x0000_t202" style="height:1056993;left:10201;mso-wrap-style:square;position:absolute;top:5199918;v-text-anchor:top;width:2400271" filled="f" stroked="t" strokecolor="#4bacc6">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业务支撑系统</w:t>
                    </w:r>
                  </w:p>
                  <w:p>
                    <w:pPr>
                      <w:pStyle w:val="NormalWeb"/>
                      <w:spacing w:before="0" w:beforeAutospacing="0" w:after="0" w:afterAutospacing="0"/>
                      <w:jc w:val="both"/>
                    </w:pPr>
                    <w:r>
                      <w:rPr>
                        <w:rFonts w:cs="Times New Roman" w:hint="eastAsia"/>
                        <w:color w:val="000000"/>
                        <w:kern w:val="24"/>
                        <w:sz w:val="18"/>
                        <w:szCs w:val="18"/>
                      </w:rPr>
                      <w:t>* 专业化程度高、模块多、算法复杂，系统自动化程度低、工作效率与业务需求有较大差距</w:t>
                    </w:r>
                  </w:p>
                  <w:p>
                    <w:pPr>
                      <w:pStyle w:val="NormalWeb"/>
                      <w:spacing w:before="0" w:beforeAutospacing="0" w:after="0" w:afterAutospacing="0"/>
                      <w:jc w:val="both"/>
                    </w:pPr>
                    <w:r>
                      <w:rPr>
                        <w:rFonts w:cs="Times New Roman" w:hint="eastAsia"/>
                        <w:color w:val="000000"/>
                        <w:kern w:val="24"/>
                        <w:sz w:val="18"/>
                        <w:szCs w:val="18"/>
                      </w:rPr>
                      <w:t>* 原有系统架构不适应国省一体化业务要求</w:t>
                    </w:r>
                  </w:p>
                </w:txbxContent>
              </v:textbox>
            </v:shape>
            <v:shape id="文本框 15" o:spid="_x0000_s1041" type="#_x0000_t202" style="height:1056992;left:2641255;mso-wrap-style:square;position:absolute;top:5201504;v-text-anchor:top;width:2670143" filled="f" stroked="t" strokecolor="#c0504d">
              <v:fill o:detectmouseclick="t"/>
              <v:stroke joinstyle="miter"/>
              <o:lock v:ext="edit" aspectratio="f"/>
              <v:textbox style="layout-flow:horizontal">
                <w:txbxContent>
                  <w:p>
                    <w:pPr>
                      <w:pStyle w:val="NormalWeb"/>
                      <w:spacing w:before="0" w:beforeAutospacing="0" w:after="0" w:afterAutospacing="0"/>
                      <w:jc w:val="both"/>
                    </w:pPr>
                    <w:r>
                      <w:rPr>
                        <w:rFonts w:cs="Times New Roman" w:hint="eastAsia"/>
                        <w:b/>
                        <w:bCs/>
                        <w:color w:val="000000"/>
                        <w:kern w:val="24"/>
                        <w:sz w:val="18"/>
                        <w:szCs w:val="18"/>
                      </w:rPr>
                      <w:t>业务支撑系统</w:t>
                    </w:r>
                  </w:p>
                  <w:p>
                    <w:pPr>
                      <w:pStyle w:val="NormalWeb"/>
                      <w:spacing w:before="0" w:beforeAutospacing="0" w:after="0" w:afterAutospacing="0"/>
                      <w:jc w:val="both"/>
                    </w:pPr>
                    <w:r>
                      <w:rPr>
                        <w:rFonts w:cs="Times New Roman" w:hint="eastAsia"/>
                        <w:color w:val="000000"/>
                        <w:kern w:val="24"/>
                        <w:sz w:val="18"/>
                        <w:szCs w:val="18"/>
                      </w:rPr>
                      <w:t>* 开展CAgMSS业务系统网络化改造，实现业务平台的集约化运行，提升农业气象业务系统的效率和安全性</w:t>
                    </w:r>
                  </w:p>
                  <w:p>
                    <w:pPr>
                      <w:pStyle w:val="NormalWeb"/>
                      <w:spacing w:before="0" w:beforeAutospacing="0" w:after="0" w:afterAutospacing="0"/>
                      <w:jc w:val="both"/>
                    </w:pPr>
                    <w:r>
                      <w:rPr>
                        <w:rFonts w:cs="Times New Roman" w:hint="eastAsia"/>
                        <w:color w:val="000000"/>
                        <w:kern w:val="24"/>
                        <w:sz w:val="18"/>
                        <w:szCs w:val="18"/>
                      </w:rPr>
                      <w:t>* 优化客观产品业务供给流程，有序实现客观产品的自动化制作和管理</w:t>
                    </w:r>
                  </w:p>
                </w:txbxContent>
              </v:textbox>
            </v:shape>
            <v:shapetype id="_x0000_t32" coordsize="21600,21600" o:spt="32" o:oned="t" path="m,l21600,21600e" filled="f">
              <v:path arrowok="t" fillok="f" o:connecttype="none"/>
              <o:lock v:ext="edit" shapetype="t"/>
            </v:shapetype>
            <v:shape id="直接箭头连接符 18" o:spid="_x0000_s1042" type="#_x0000_t32" style="flip:y;height:9;left:2412910;position:absolute;top:773412;width:257127" filled="f" stroked="t" strokecolor="#4a7ebb">
              <v:fill o:detectmouseclick="t"/>
              <v:stroke joinstyle="round" endarrow="open"/>
              <v:path arrowok="t" fillok="f"/>
              <o:lock v:ext="edit" aspectratio="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9" o:spid="_x0000_s1043" type="#_x0000_t34" style="height:293087;left:2396722;position:absolute;top:1575861;width:256908" adj="10800" filled="f" stroked="t" strokecolor="#4a7ebb">
              <v:fill o:detectmouseclick="t"/>
              <v:stroke joinstyle="miter" endarrow="open"/>
              <v:path arrowok="t" fillok="f"/>
              <o:lock v:ext="edit" aspectratio="f"/>
            </v:shape>
            <v:shape id="肘形连接符 20" o:spid="_x0000_s1044" type="#_x0000_t34" style="flip:y;height:379202;left:2396729;position:absolute;top:1868949;width:256901" adj="10800" filled="f" stroked="t" strokecolor="#4a7ebb">
              <v:fill o:detectmouseclick="t"/>
              <v:stroke joinstyle="miter" endarrow="open"/>
              <v:path arrowok="t" fillok="f"/>
              <o:lock v:ext="edit" aspectratio="f"/>
            </v:shape>
            <v:shape id="直接箭头连接符 21" o:spid="_x0000_s1045" type="#_x0000_t32" style="flip:y;height:67;left:2410472;position:absolute;top:3129728;width:242410" filled="f" stroked="t" strokecolor="#4a7ebb">
              <v:fill o:detectmouseclick="t"/>
              <v:stroke joinstyle="round" endarrow="open"/>
              <v:path arrowok="t" fillok="f"/>
              <o:lock v:ext="edit" aspectratio="f"/>
            </v:shape>
            <v:shape id="直接箭头连接符 22" o:spid="_x0000_s1046" type="#_x0000_t32" style="flip:y;height:2;left:2404846;position:absolute;top:4016214;width:255519" filled="f" stroked="t" strokecolor="#4a7ebb">
              <v:fill o:detectmouseclick="t"/>
              <v:stroke joinstyle="round" endarrow="open"/>
              <v:path arrowok="t" fillok="f"/>
              <o:lock v:ext="edit" aspectratio="f"/>
            </v:shape>
            <v:shape id="直接箭头连接符 23" o:spid="_x0000_s1047" type="#_x0000_t32" style="height:11;left:2398177;position:absolute;top:4818723;width:242970" filled="f" stroked="t" strokecolor="#4a7ebb">
              <v:fill o:detectmouseclick="t"/>
              <v:stroke joinstyle="round" endarrow="open"/>
              <v:path arrowok="t" fillok="f"/>
              <o:lock v:ext="edit" aspectratio="f"/>
            </v:shape>
            <v:shape id="直接箭头连接符 24" o:spid="_x0000_s1048" type="#_x0000_t32" style="height:1586;left:2410472;position:absolute;top:5728415;width:230783" filled="f" stroked="t" strokecolor="#4a7ebb">
              <v:fill o:detectmouseclick="t"/>
              <v:stroke joinstyle="round" endarrow="open"/>
              <v:path arrowok="t" fillok="f"/>
              <o:lock v:ext="edit" aspectratio="f"/>
            </v:shape>
            <w10:anchorlock/>
          </v:group>
        </w:pict>
      </w: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ascii="仿宋_GB2312" w:eastAsia="仿宋_GB2312" w:hAnsi="仿宋_GB2312" w:cs="仿宋_GB2312"/>
          <w:b w:val="0"/>
          <w:bCs/>
          <w:sz w:val="28"/>
          <w:szCs w:val="28"/>
        </w:rPr>
      </w:pPr>
      <w:r>
        <w:rPr>
          <w:rFonts w:ascii="仿宋_GB2312" w:eastAsia="仿宋_GB2312" w:hAnsi="仿宋_GB2312" w:cs="仿宋_GB2312" w:hint="eastAsia"/>
          <w:b w:val="0"/>
          <w:bCs/>
          <w:sz w:val="28"/>
          <w:szCs w:val="28"/>
        </w:rPr>
        <w:t>图2 改革前后农业气象业务产品、系统支撑变化</w:t>
      </w:r>
    </w:p>
    <w:p>
      <w:pPr>
        <w:keepNext w:val="0"/>
        <w:keepLines w:val="0"/>
        <w:pageBreakBefore w:val="0"/>
        <w:widowControl w:val="0"/>
        <w:kinsoku/>
        <w:wordWrap/>
        <w:overflowPunct/>
        <w:topLinePunct w:val="0"/>
        <w:autoSpaceDE w:val="0"/>
        <w:autoSpaceDN w:val="0"/>
        <w:bidi w:val="0"/>
        <w:adjustRightInd/>
        <w:snapToGrid/>
        <w:spacing w:line="520" w:lineRule="exact"/>
        <w:ind w:left="420"/>
        <w:textAlignment w:val="auto"/>
        <w:outlineLvl w:val="1"/>
        <w:rPr>
          <w:rFonts w:ascii="楷体" w:eastAsia="楷体" w:hAnsi="楷体" w:cs="仿宋_GB2312"/>
          <w:b/>
          <w:sz w:val="32"/>
          <w:szCs w:val="32"/>
        </w:rPr>
      </w:pPr>
      <w:r>
        <w:rPr>
          <w:rFonts w:ascii="楷体" w:eastAsia="楷体" w:hAnsi="楷体" w:cs="仿宋_GB2312" w:hint="eastAsia"/>
          <w:b/>
          <w:sz w:val="32"/>
          <w:szCs w:val="32"/>
        </w:rPr>
        <w:t>（四）值班工作量调整</w:t>
      </w:r>
    </w:p>
    <w:p>
      <w:pPr>
        <w:keepNext w:val="0"/>
        <w:keepLines w:val="0"/>
        <w:pageBreakBefore w:val="0"/>
        <w:widowControl w:val="0"/>
        <w:kinsoku/>
        <w:wordWrap/>
        <w:overflowPunct/>
        <w:topLinePunct w:val="0"/>
        <w:autoSpaceDE w:val="0"/>
        <w:autoSpaceDN w:val="0"/>
        <w:bidi w:val="0"/>
        <w:adjustRightInd/>
        <w:snapToGrid/>
        <w:spacing w:line="520" w:lineRule="exact"/>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按照新的产品改革方案和业务值班思路，拟将农业气象业务值班按照新的值班团队组织运行，各团队主要承担产品类别见表1。基于改革后产品样例试做和估算，预计改革后农业气象业务总值班天数约由改革前的1937人天，减少到1678人天，合计减少259人天，值班岗位和业务流程得到集约与优化，为提升服务质量和研究型业务发展创造条件。</w:t>
      </w:r>
    </w:p>
    <w:p>
      <w:pPr>
        <w:keepNext w:val="0"/>
        <w:keepLines w:val="0"/>
        <w:pageBreakBefore w:val="0"/>
        <w:widowControl/>
        <w:kinsoku/>
        <w:wordWrap/>
        <w:overflowPunct/>
        <w:topLinePunct w:val="0"/>
        <w:bidi w:val="0"/>
        <w:adjustRightInd/>
        <w:snapToGrid/>
        <w:spacing w:before="0" w:line="240" w:lineRule="auto"/>
        <w:jc w:val="center"/>
        <w:textAlignment w:val="auto"/>
        <w:rPr>
          <w:rFonts w:ascii="仿宋_GB2312" w:eastAsia="仿宋_GB2312" w:hAnsi="仿宋_GB2312" w:cs="仿宋_GB2312" w:hint="eastAsia"/>
          <w:b w:val="0"/>
          <w:bCs/>
          <w:sz w:val="28"/>
          <w:szCs w:val="28"/>
        </w:rPr>
      </w:pPr>
      <w:r>
        <w:rPr>
          <w:rFonts w:ascii="仿宋_GB2312" w:eastAsia="仿宋_GB2312" w:hAnsi="仿宋_GB2312" w:cs="仿宋_GB2312" w:hint="eastAsia"/>
          <w:b w:val="0"/>
          <w:bCs/>
          <w:sz w:val="28"/>
          <w:szCs w:val="28"/>
        </w:rPr>
        <w:t>表1 改革前后农业气象业务值班工作量对比（人天）</w:t>
      </w:r>
    </w:p>
    <w:tbl>
      <w:tblPr>
        <w:tblStyle w:val="TableNormal"/>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427"/>
        <w:gridCol w:w="1694"/>
        <w:gridCol w:w="3546"/>
        <w:gridCol w:w="1221"/>
        <w:gridCol w:w="1134"/>
      </w:tblGrid>
      <w:tr>
        <w:tblPrEx>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69"/>
          <w:jc w:val="center"/>
        </w:trPr>
        <w:tc>
          <w:tcPr>
            <w:tcW w:w="427" w:type="dxa"/>
            <w:vMerge w:val="restart"/>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b/>
                <w:kern w:val="0"/>
                <w:szCs w:val="21"/>
              </w:rPr>
              <w:t>改革前</w:t>
            </w:r>
          </w:p>
        </w:tc>
        <w:tc>
          <w:tcPr>
            <w:tcW w:w="1694" w:type="dxa"/>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kern w:val="0"/>
                <w:szCs w:val="21"/>
              </w:rPr>
            </w:pPr>
            <w:r>
              <w:rPr>
                <w:rFonts w:ascii="宋体" w:hAnsi="宋体" w:cs="宋体" w:hint="eastAsia"/>
                <w:b/>
                <w:kern w:val="0"/>
                <w:szCs w:val="21"/>
              </w:rPr>
              <w:t>旧值班团队</w:t>
            </w:r>
          </w:p>
        </w:tc>
        <w:tc>
          <w:tcPr>
            <w:tcW w:w="3546" w:type="dxa"/>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kern w:val="0"/>
                <w:szCs w:val="21"/>
              </w:rPr>
            </w:pPr>
            <w:r>
              <w:rPr>
                <w:rFonts w:ascii="宋体" w:hAnsi="宋体" w:cs="宋体" w:hint="eastAsia"/>
                <w:b/>
                <w:kern w:val="0"/>
                <w:szCs w:val="21"/>
              </w:rPr>
              <w:t>值班任务</w:t>
            </w:r>
          </w:p>
        </w:tc>
        <w:tc>
          <w:tcPr>
            <w:tcW w:w="1221" w:type="dxa"/>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kern w:val="0"/>
                <w:szCs w:val="21"/>
              </w:rPr>
            </w:pPr>
            <w:r>
              <w:rPr>
                <w:rFonts w:ascii="宋体" w:hAnsi="宋体" w:cs="宋体" w:hint="eastAsia"/>
                <w:b/>
                <w:kern w:val="0"/>
                <w:szCs w:val="21"/>
              </w:rPr>
              <w:t>制作</w:t>
            </w:r>
          </w:p>
        </w:tc>
        <w:tc>
          <w:tcPr>
            <w:tcW w:w="1134" w:type="dxa"/>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kern w:val="0"/>
                <w:szCs w:val="21"/>
              </w:rPr>
            </w:pPr>
            <w:r>
              <w:rPr>
                <w:rFonts w:ascii="宋体" w:hAnsi="宋体" w:cs="宋体" w:hint="eastAsia"/>
                <w:b/>
                <w:kern w:val="0"/>
                <w:szCs w:val="21"/>
              </w:rPr>
              <w:t>签发</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FDE9D9"/>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决策</w:t>
            </w:r>
          </w:p>
        </w:tc>
        <w:tc>
          <w:tcPr>
            <w:tcW w:w="3546" w:type="dxa"/>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决策</w:t>
            </w:r>
          </w:p>
        </w:tc>
        <w:tc>
          <w:tcPr>
            <w:tcW w:w="1221" w:type="dxa"/>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365</w:t>
            </w:r>
          </w:p>
        </w:tc>
        <w:tc>
          <w:tcPr>
            <w:tcW w:w="1134" w:type="dxa"/>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365</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B8CCE4"/>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vMerge w:val="restart"/>
            <w:shd w:val="clear" w:color="000000" w:fill="B8CCE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周报</w:t>
            </w:r>
          </w:p>
        </w:tc>
        <w:tc>
          <w:tcPr>
            <w:tcW w:w="3546" w:type="dxa"/>
            <w:shd w:val="clear" w:color="000000" w:fill="B8CCE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周报</w:t>
            </w:r>
          </w:p>
        </w:tc>
        <w:tc>
          <w:tcPr>
            <w:tcW w:w="1221" w:type="dxa"/>
            <w:shd w:val="clear" w:color="000000" w:fill="B8CCE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104</w:t>
            </w:r>
          </w:p>
        </w:tc>
        <w:tc>
          <w:tcPr>
            <w:tcW w:w="1134" w:type="dxa"/>
            <w:shd w:val="clear" w:color="000000" w:fill="B8CCE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52</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auto" w:fill="auto"/>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1694" w:type="dxa"/>
            <w:vMerge/>
            <w:shd w:val="clear" w:color="auto" w:fill="auto"/>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3546" w:type="dxa"/>
            <w:shd w:val="clear" w:color="000000" w:fill="B8CCE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每日天气提示</w:t>
            </w:r>
          </w:p>
        </w:tc>
        <w:tc>
          <w:tcPr>
            <w:tcW w:w="1221" w:type="dxa"/>
            <w:shd w:val="clear" w:color="000000" w:fill="B8CCE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156</w:t>
            </w:r>
          </w:p>
        </w:tc>
        <w:tc>
          <w:tcPr>
            <w:tcW w:w="1134" w:type="dxa"/>
            <w:shd w:val="clear" w:color="000000" w:fill="B8CCE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w:t>
            </w:r>
          </w:p>
        </w:tc>
      </w:tr>
      <w:tr>
        <w:tblPrEx>
          <w:tblW w:w="8022" w:type="dxa"/>
          <w:jc w:val="center"/>
          <w:tblCellMar>
            <w:top w:w="0" w:type="dxa"/>
            <w:left w:w="108" w:type="dxa"/>
            <w:bottom w:w="0" w:type="dxa"/>
            <w:right w:w="108" w:type="dxa"/>
          </w:tblCellMar>
          <w:tblLook w:val="0000"/>
        </w:tblPrEx>
        <w:trPr>
          <w:trHeight w:val="450"/>
          <w:jc w:val="center"/>
        </w:trPr>
        <w:tc>
          <w:tcPr>
            <w:tcW w:w="427" w:type="dxa"/>
            <w:vMerge/>
            <w:shd w:val="clear" w:color="000000" w:fill="D6E3BC"/>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shd w:val="clear" w:color="000000" w:fill="D6E3B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国内月报</w:t>
            </w:r>
          </w:p>
        </w:tc>
        <w:tc>
          <w:tcPr>
            <w:tcW w:w="3546" w:type="dxa"/>
            <w:shd w:val="clear" w:color="000000" w:fill="D6E3B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国内月报、月度会商、新闻发布会</w:t>
            </w:r>
          </w:p>
        </w:tc>
        <w:tc>
          <w:tcPr>
            <w:tcW w:w="1221" w:type="dxa"/>
            <w:shd w:val="clear" w:color="000000" w:fill="D6E3B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96</w:t>
            </w:r>
          </w:p>
        </w:tc>
        <w:tc>
          <w:tcPr>
            <w:tcW w:w="1134" w:type="dxa"/>
            <w:vMerge w:val="restart"/>
            <w:shd w:val="clear" w:color="000000" w:fill="D6E3B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120</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D6E3BC"/>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shd w:val="clear" w:color="000000" w:fill="D6E3B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国外月报</w:t>
            </w:r>
          </w:p>
        </w:tc>
        <w:tc>
          <w:tcPr>
            <w:tcW w:w="3546" w:type="dxa"/>
            <w:shd w:val="clear" w:color="000000" w:fill="D6E3B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国外月报</w:t>
            </w:r>
          </w:p>
        </w:tc>
        <w:tc>
          <w:tcPr>
            <w:tcW w:w="1221" w:type="dxa"/>
            <w:shd w:val="clear" w:color="000000" w:fill="D6E3B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72</w:t>
            </w:r>
          </w:p>
        </w:tc>
        <w:tc>
          <w:tcPr>
            <w:tcW w:w="1134" w:type="dxa"/>
            <w:vMerg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92CDDC"/>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产量预报</w:t>
            </w:r>
          </w:p>
        </w:tc>
        <w:tc>
          <w:tcPr>
            <w:tcW w:w="3546"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产量预报、遥感面积</w:t>
            </w:r>
          </w:p>
        </w:tc>
        <w:tc>
          <w:tcPr>
            <w:tcW w:w="1221"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116</w:t>
            </w:r>
          </w:p>
        </w:tc>
        <w:tc>
          <w:tcPr>
            <w:tcW w:w="1134"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54</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92CDDC"/>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关键农时</w:t>
            </w:r>
          </w:p>
        </w:tc>
        <w:tc>
          <w:tcPr>
            <w:tcW w:w="3546"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关键农时</w:t>
            </w:r>
          </w:p>
        </w:tc>
        <w:tc>
          <w:tcPr>
            <w:tcW w:w="1221"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36</w:t>
            </w:r>
          </w:p>
        </w:tc>
        <w:tc>
          <w:tcPr>
            <w:tcW w:w="1134"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36</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CCC0D9"/>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5240" w:type="dxa"/>
            <w:gridSpan w:val="2"/>
            <w:shd w:val="clear" w:color="000000" w:fill="CCC0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业务运维</w:t>
            </w:r>
          </w:p>
        </w:tc>
        <w:tc>
          <w:tcPr>
            <w:tcW w:w="1221" w:type="dxa"/>
            <w:shd w:val="clear" w:color="000000" w:fill="CCC0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365</w:t>
            </w:r>
          </w:p>
        </w:tc>
        <w:tc>
          <w:tcPr>
            <w:tcW w:w="1134" w:type="dxa"/>
            <w:shd w:val="clear" w:color="000000" w:fill="CCC0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FFC000"/>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bCs/>
                <w:kern w:val="0"/>
                <w:szCs w:val="21"/>
              </w:rPr>
            </w:pPr>
          </w:p>
        </w:tc>
        <w:tc>
          <w:tcPr>
            <w:tcW w:w="5240" w:type="dxa"/>
            <w:gridSpan w:val="2"/>
            <w:shd w:val="clear" w:color="000000" w:fill="FFC00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bCs/>
                <w:kern w:val="0"/>
                <w:szCs w:val="21"/>
              </w:rPr>
            </w:pPr>
            <w:r>
              <w:rPr>
                <w:rFonts w:ascii="宋体" w:hAnsi="宋体" w:cs="宋体" w:hint="eastAsia"/>
                <w:b/>
                <w:bCs/>
                <w:kern w:val="0"/>
                <w:szCs w:val="21"/>
              </w:rPr>
              <w:t>合计</w:t>
            </w:r>
          </w:p>
        </w:tc>
        <w:tc>
          <w:tcPr>
            <w:tcW w:w="1221" w:type="dxa"/>
            <w:shd w:val="clear" w:color="000000" w:fill="FFC00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bCs/>
                <w:kern w:val="0"/>
                <w:szCs w:val="21"/>
              </w:rPr>
            </w:pPr>
            <w:r>
              <w:rPr>
                <w:rFonts w:ascii="宋体" w:hAnsi="宋体" w:cs="宋体" w:hint="eastAsia"/>
                <w:b/>
                <w:bCs/>
                <w:kern w:val="0"/>
                <w:szCs w:val="21"/>
              </w:rPr>
              <w:t>1310</w:t>
            </w:r>
          </w:p>
        </w:tc>
        <w:tc>
          <w:tcPr>
            <w:tcW w:w="1134" w:type="dxa"/>
            <w:shd w:val="clear" w:color="000000" w:fill="FFC00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bCs/>
                <w:kern w:val="0"/>
                <w:szCs w:val="21"/>
              </w:rPr>
            </w:pPr>
            <w:r>
              <w:rPr>
                <w:rFonts w:ascii="宋体" w:hAnsi="宋体" w:cs="宋体" w:hint="eastAsia"/>
                <w:b/>
                <w:bCs/>
                <w:kern w:val="0"/>
                <w:szCs w:val="21"/>
              </w:rPr>
              <w:t>627</w:t>
            </w:r>
          </w:p>
        </w:tc>
      </w:tr>
      <w:tr>
        <w:tblPrEx>
          <w:tblW w:w="8022" w:type="dxa"/>
          <w:jc w:val="center"/>
          <w:tblCellMar>
            <w:top w:w="0" w:type="dxa"/>
            <w:left w:w="108" w:type="dxa"/>
            <w:bottom w:w="0" w:type="dxa"/>
            <w:right w:w="108" w:type="dxa"/>
          </w:tblCellMar>
          <w:tblLook w:val="0000"/>
        </w:tblPrEx>
        <w:trPr>
          <w:trHeight w:val="517"/>
          <w:jc w:val="center"/>
        </w:trPr>
        <w:tc>
          <w:tcPr>
            <w:tcW w:w="427" w:type="dxa"/>
            <w:vMerge w:val="restart"/>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b/>
                <w:kern w:val="0"/>
                <w:szCs w:val="21"/>
              </w:rPr>
              <w:t>改革后</w:t>
            </w:r>
          </w:p>
        </w:tc>
        <w:tc>
          <w:tcPr>
            <w:tcW w:w="1694" w:type="dxa"/>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kern w:val="0"/>
                <w:szCs w:val="21"/>
              </w:rPr>
            </w:pPr>
            <w:r>
              <w:rPr>
                <w:rFonts w:ascii="宋体" w:hAnsi="宋体" w:cs="宋体" w:hint="eastAsia"/>
                <w:b/>
                <w:kern w:val="0"/>
                <w:szCs w:val="21"/>
              </w:rPr>
              <w:t>新值班团队</w:t>
            </w:r>
          </w:p>
        </w:tc>
        <w:tc>
          <w:tcPr>
            <w:tcW w:w="3546" w:type="dxa"/>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kern w:val="0"/>
                <w:szCs w:val="21"/>
              </w:rPr>
            </w:pPr>
            <w:r>
              <w:rPr>
                <w:rFonts w:ascii="宋体" w:hAnsi="宋体" w:cs="宋体" w:hint="eastAsia"/>
                <w:b/>
                <w:kern w:val="0"/>
                <w:szCs w:val="21"/>
              </w:rPr>
              <w:t>值班任务</w:t>
            </w:r>
          </w:p>
        </w:tc>
        <w:tc>
          <w:tcPr>
            <w:tcW w:w="1221" w:type="dxa"/>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kern w:val="0"/>
                <w:szCs w:val="21"/>
              </w:rPr>
            </w:pPr>
            <w:r>
              <w:rPr>
                <w:rFonts w:ascii="宋体" w:hAnsi="宋体" w:cs="宋体" w:hint="eastAsia"/>
                <w:b/>
                <w:kern w:val="0"/>
                <w:szCs w:val="21"/>
              </w:rPr>
              <w:t>制作</w:t>
            </w:r>
          </w:p>
        </w:tc>
        <w:tc>
          <w:tcPr>
            <w:tcW w:w="1134" w:type="dxa"/>
            <w:shd w:val="clear" w:color="000000" w:fill="D9D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kern w:val="0"/>
                <w:szCs w:val="21"/>
              </w:rPr>
            </w:pPr>
            <w:r>
              <w:rPr>
                <w:rFonts w:ascii="宋体" w:hAnsi="宋体" w:cs="宋体" w:hint="eastAsia"/>
                <w:b/>
                <w:kern w:val="0"/>
                <w:szCs w:val="21"/>
              </w:rPr>
              <w:t>签发</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FDE9D9"/>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vMerge w:val="restart"/>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决策周报</w:t>
            </w:r>
          </w:p>
        </w:tc>
        <w:tc>
          <w:tcPr>
            <w:tcW w:w="3546" w:type="dxa"/>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决策（含新闻发布会）</w:t>
            </w:r>
          </w:p>
        </w:tc>
        <w:tc>
          <w:tcPr>
            <w:tcW w:w="1221" w:type="dxa"/>
            <w:vMerge w:val="restart"/>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469</w:t>
            </w:r>
          </w:p>
        </w:tc>
        <w:tc>
          <w:tcPr>
            <w:tcW w:w="1134" w:type="dxa"/>
            <w:vMerge w:val="restart"/>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365</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auto" w:fill="auto"/>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1694" w:type="dxa"/>
            <w:vMerge/>
            <w:shd w:val="clear" w:color="auto" w:fill="auto"/>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3546" w:type="dxa"/>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周报</w:t>
            </w:r>
          </w:p>
        </w:tc>
        <w:tc>
          <w:tcPr>
            <w:tcW w:w="1221" w:type="dxa"/>
            <w:vMerg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1134" w:type="dxa"/>
            <w:vMerg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auto" w:fill="auto"/>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1694" w:type="dxa"/>
            <w:vMerge/>
            <w:shd w:val="clear" w:color="auto" w:fill="auto"/>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3546" w:type="dxa"/>
            <w:shd w:val="clear" w:color="000000" w:fill="FDE9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每日天气</w:t>
            </w:r>
          </w:p>
        </w:tc>
        <w:tc>
          <w:tcPr>
            <w:tcW w:w="1221" w:type="dxa"/>
            <w:vMerg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1134" w:type="dxa"/>
            <w:vMerg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r>
      <w:tr>
        <w:tblPrEx>
          <w:tblW w:w="8022" w:type="dxa"/>
          <w:jc w:val="center"/>
          <w:tblCellMar>
            <w:top w:w="0" w:type="dxa"/>
            <w:left w:w="108" w:type="dxa"/>
            <w:bottom w:w="0" w:type="dxa"/>
            <w:right w:w="108" w:type="dxa"/>
          </w:tblCellMar>
          <w:tblLook w:val="0000"/>
        </w:tblPrEx>
        <w:trPr>
          <w:trHeight w:val="710"/>
          <w:jc w:val="center"/>
        </w:trPr>
        <w:tc>
          <w:tcPr>
            <w:tcW w:w="427" w:type="dxa"/>
            <w:vMerge/>
            <w:shd w:val="clear" w:color="auto" w:fill="8DB3E2"/>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vMerge w:val="restart"/>
            <w:shd w:val="clear" w:color="auto" w:fill="8DB3E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作物气象评价与产量预报</w:t>
            </w:r>
          </w:p>
        </w:tc>
        <w:tc>
          <w:tcPr>
            <w:tcW w:w="3546" w:type="dxa"/>
            <w:shd w:val="clear" w:color="auto" w:fill="8DB3E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作物气象评价与产量展望月报</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（含月度会商）</w:t>
            </w:r>
          </w:p>
        </w:tc>
        <w:tc>
          <w:tcPr>
            <w:tcW w:w="1221" w:type="dxa"/>
            <w:shd w:val="clear" w:color="auto" w:fill="8DB3E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155</w:t>
            </w:r>
          </w:p>
        </w:tc>
        <w:tc>
          <w:tcPr>
            <w:tcW w:w="1134" w:type="dxa"/>
            <w:shd w:val="clear" w:color="auto" w:fill="8DB3E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74</w:t>
            </w:r>
          </w:p>
        </w:tc>
      </w:tr>
      <w:tr>
        <w:tblPrEx>
          <w:tblW w:w="8022" w:type="dxa"/>
          <w:jc w:val="center"/>
          <w:tblCellMar>
            <w:top w:w="0" w:type="dxa"/>
            <w:left w:w="108" w:type="dxa"/>
            <w:bottom w:w="0" w:type="dxa"/>
            <w:right w:w="108" w:type="dxa"/>
          </w:tblCellMar>
          <w:tblLook w:val="0000"/>
        </w:tblPrEx>
        <w:trPr>
          <w:trHeight w:val="450"/>
          <w:jc w:val="center"/>
        </w:trPr>
        <w:tc>
          <w:tcPr>
            <w:tcW w:w="427" w:type="dxa"/>
            <w:vMerge/>
            <w:shd w:val="clear" w:color="auto" w:fill="8DB3E2"/>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1694" w:type="dxa"/>
            <w:vMerge/>
            <w:shd w:val="clear" w:color="auto" w:fill="8DB3E2"/>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cs="宋体"/>
                <w:kern w:val="0"/>
                <w:szCs w:val="21"/>
              </w:rPr>
            </w:pPr>
          </w:p>
        </w:tc>
        <w:tc>
          <w:tcPr>
            <w:tcW w:w="3546" w:type="dxa"/>
            <w:shd w:val="clear" w:color="auto" w:fill="8DB3E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产量预报(会商+报送稿）</w:t>
            </w:r>
          </w:p>
        </w:tc>
        <w:tc>
          <w:tcPr>
            <w:tcW w:w="1221" w:type="dxa"/>
            <w:shd w:val="clear" w:color="auto" w:fill="8DB3E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20</w:t>
            </w:r>
          </w:p>
        </w:tc>
        <w:tc>
          <w:tcPr>
            <w:tcW w:w="1134" w:type="dxa"/>
            <w:shd w:val="clear" w:color="auto" w:fill="8DB3E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14</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auto" w:fill="92CDDC"/>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shd w:val="clear" w:color="auto"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国外月报</w:t>
            </w:r>
          </w:p>
        </w:tc>
        <w:tc>
          <w:tcPr>
            <w:tcW w:w="3546" w:type="dxa"/>
            <w:shd w:val="clear" w:color="auto"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国外月报</w:t>
            </w:r>
          </w:p>
        </w:tc>
        <w:tc>
          <w:tcPr>
            <w:tcW w:w="1221" w:type="dxa"/>
            <w:shd w:val="clear" w:color="auto"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96</w:t>
            </w:r>
          </w:p>
        </w:tc>
        <w:tc>
          <w:tcPr>
            <w:tcW w:w="1134" w:type="dxa"/>
            <w:shd w:val="clear" w:color="auto"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48</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92CDDC"/>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1694"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关键农时</w:t>
            </w:r>
          </w:p>
        </w:tc>
        <w:tc>
          <w:tcPr>
            <w:tcW w:w="3546"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关键农时</w:t>
            </w:r>
          </w:p>
        </w:tc>
        <w:tc>
          <w:tcPr>
            <w:tcW w:w="1221"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36</w:t>
            </w:r>
          </w:p>
        </w:tc>
        <w:tc>
          <w:tcPr>
            <w:tcW w:w="1134" w:type="dxa"/>
            <w:shd w:val="clear" w:color="000000" w:fill="92CDDC"/>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36</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CCC0D9"/>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p>
        </w:tc>
        <w:tc>
          <w:tcPr>
            <w:tcW w:w="5240" w:type="dxa"/>
            <w:gridSpan w:val="2"/>
            <w:shd w:val="clear" w:color="000000" w:fill="CCC0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业务运维</w:t>
            </w:r>
          </w:p>
        </w:tc>
        <w:tc>
          <w:tcPr>
            <w:tcW w:w="1221" w:type="dxa"/>
            <w:shd w:val="clear" w:color="000000" w:fill="CCC0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365</w:t>
            </w:r>
          </w:p>
        </w:tc>
        <w:tc>
          <w:tcPr>
            <w:tcW w:w="1134" w:type="dxa"/>
            <w:shd w:val="clear" w:color="000000" w:fill="CCC0D9"/>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kern w:val="0"/>
                <w:szCs w:val="21"/>
              </w:rPr>
            </w:pPr>
            <w:r>
              <w:rPr>
                <w:rFonts w:ascii="宋体" w:hAnsi="宋体" w:cs="宋体" w:hint="eastAsia"/>
                <w:kern w:val="0"/>
                <w:szCs w:val="21"/>
              </w:rPr>
              <w:t>-</w:t>
            </w:r>
          </w:p>
        </w:tc>
      </w:tr>
      <w:tr>
        <w:tblPrEx>
          <w:tblW w:w="8022" w:type="dxa"/>
          <w:jc w:val="center"/>
          <w:tblCellMar>
            <w:top w:w="0" w:type="dxa"/>
            <w:left w:w="108" w:type="dxa"/>
            <w:bottom w:w="0" w:type="dxa"/>
            <w:right w:w="108" w:type="dxa"/>
          </w:tblCellMar>
          <w:tblLook w:val="0000"/>
        </w:tblPrEx>
        <w:trPr>
          <w:trHeight w:val="270"/>
          <w:jc w:val="center"/>
        </w:trPr>
        <w:tc>
          <w:tcPr>
            <w:tcW w:w="427" w:type="dxa"/>
            <w:vMerge/>
            <w:shd w:val="clear" w:color="000000" w:fill="FFC000"/>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bCs/>
                <w:kern w:val="0"/>
                <w:szCs w:val="21"/>
              </w:rPr>
            </w:pPr>
          </w:p>
        </w:tc>
        <w:tc>
          <w:tcPr>
            <w:tcW w:w="5240" w:type="dxa"/>
            <w:gridSpan w:val="2"/>
            <w:shd w:val="clear" w:color="000000" w:fill="FFC00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bCs/>
                <w:kern w:val="0"/>
                <w:szCs w:val="21"/>
              </w:rPr>
            </w:pPr>
            <w:r>
              <w:rPr>
                <w:rFonts w:ascii="宋体" w:hAnsi="宋体" w:cs="宋体" w:hint="eastAsia"/>
                <w:b/>
                <w:bCs/>
                <w:kern w:val="0"/>
                <w:szCs w:val="21"/>
              </w:rPr>
              <w:t>合计</w:t>
            </w:r>
          </w:p>
        </w:tc>
        <w:tc>
          <w:tcPr>
            <w:tcW w:w="1221" w:type="dxa"/>
            <w:shd w:val="clear" w:color="000000" w:fill="FFC00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bCs/>
                <w:kern w:val="0"/>
                <w:szCs w:val="21"/>
              </w:rPr>
            </w:pPr>
            <w:r>
              <w:rPr>
                <w:rFonts w:ascii="宋体" w:hAnsi="宋体" w:cs="宋体" w:hint="eastAsia"/>
                <w:b/>
                <w:bCs/>
                <w:kern w:val="0"/>
                <w:szCs w:val="21"/>
              </w:rPr>
              <w:t>1141</w:t>
            </w:r>
          </w:p>
        </w:tc>
        <w:tc>
          <w:tcPr>
            <w:tcW w:w="1134" w:type="dxa"/>
            <w:shd w:val="clear" w:color="000000" w:fill="FFC00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cs="宋体"/>
                <w:b/>
                <w:bCs/>
                <w:kern w:val="0"/>
                <w:szCs w:val="21"/>
              </w:rPr>
            </w:pPr>
            <w:r>
              <w:rPr>
                <w:rFonts w:ascii="宋体" w:hAnsi="宋体" w:cs="宋体" w:hint="eastAsia"/>
                <w:b/>
                <w:bCs/>
                <w:kern w:val="0"/>
                <w:szCs w:val="21"/>
              </w:rPr>
              <w:t>537</w:t>
            </w: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0"/>
        <w:rPr>
          <w:rFonts w:ascii="黑体" w:eastAsia="黑体" w:hAnsi="黑体"/>
          <w:sz w:val="32"/>
          <w:szCs w:val="32"/>
        </w:rPr>
      </w:pPr>
      <w:r>
        <w:rPr>
          <w:rFonts w:ascii="黑体" w:eastAsia="黑体" w:hAnsi="黑体" w:hint="eastAsia"/>
          <w:sz w:val="32"/>
          <w:szCs w:val="32"/>
        </w:rPr>
        <w:t>四、进度安排</w:t>
      </w:r>
    </w:p>
    <w:p>
      <w:pPr>
        <w:keepNext w:val="0"/>
        <w:keepLines w:val="0"/>
        <w:pageBreakBefore w:val="0"/>
        <w:widowControl w:val="0"/>
        <w:kinsoku/>
        <w:wordWrap/>
        <w:overflowPunct/>
        <w:topLinePunct w:val="0"/>
        <w:autoSpaceDE w:val="0"/>
        <w:autoSpaceDN w:val="0"/>
        <w:bidi w:val="0"/>
        <w:adjustRightInd/>
        <w:snapToGrid/>
        <w:spacing w:line="520" w:lineRule="exact"/>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2021年</w:t>
      </w:r>
      <w:r>
        <w:rPr>
          <w:rFonts w:ascii="仿宋_GB2312" w:eastAsia="仿宋_GB2312" w:hAnsi="仿宋_GB2312" w:cs="仿宋_GB2312" w:hint="eastAsia"/>
          <w:sz w:val="32"/>
          <w:szCs w:val="32"/>
          <w:lang w:val="en-US" w:eastAsia="zh-CN"/>
        </w:rPr>
        <w:t>9月开始,</w:t>
      </w:r>
      <w:r>
        <w:rPr>
          <w:rFonts w:ascii="仿宋_GB2312" w:eastAsia="仿宋_GB2312" w:hAnsi="仿宋_GB2312" w:cs="仿宋_GB2312" w:hint="eastAsia"/>
          <w:sz w:val="32"/>
          <w:szCs w:val="32"/>
        </w:rPr>
        <w:t>开展为期3-4个月的业务试验，边试验边改进完善。</w:t>
      </w:r>
    </w:p>
    <w:p>
      <w:pPr>
        <w:keepNext w:val="0"/>
        <w:keepLines w:val="0"/>
        <w:pageBreakBefore w:val="0"/>
        <w:widowControl w:val="0"/>
        <w:kinsoku/>
        <w:wordWrap/>
        <w:overflowPunct/>
        <w:topLinePunct w:val="0"/>
        <w:autoSpaceDE w:val="0"/>
        <w:autoSpaceDN w:val="0"/>
        <w:bidi w:val="0"/>
        <w:adjustRightInd/>
        <w:snapToGrid/>
        <w:spacing w:line="520" w:lineRule="exact"/>
        <w:ind w:firstLine="420" w:firstLineChars="20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2022年，按照新的业务体系和业务流程正式实施；结合相关业务支撑建设项目、现代化建设任务持续推进业务支撑技术和系统研发。</w:t>
      </w:r>
    </w:p>
    <w:sectPr>
      <w:headerReference w:type="default" r:id="rId5"/>
      <w:footerReference w:type="default" r:id="rId6"/>
      <w:pgSz w:w="11906" w:h="16838"/>
      <w:pgMar w:top="1440" w:right="1800" w:bottom="1440" w:left="1800" w:header="851" w:footer="992" w:gutter="0"/>
      <w:cols w:space="720"/>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altName w:val="DejaVu Sans"/>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080E0000" w:usb2="00000000" w:usb3="00000000" w:csb0="00040001"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altName w:val="汉仪中等线简"/>
    <w:panose1 w:val="02010600040101010101"/>
    <w:charset w:val="86"/>
    <w:family w:val="auto"/>
    <w:pitch w:val="default"/>
    <w:sig w:usb0="00000000" w:usb1="00000000" w:usb2="00000010" w:usb3="00000000" w:csb0="0004009F" w:csb1="00000000"/>
  </w:font>
  <w:font w:name="Tahoma">
    <w:altName w:val="DejaVu Sans"/>
    <w:panose1 w:val="020B0604030504040204"/>
    <w:charset w:val="00"/>
    <w:family w:val="swiss"/>
    <w:pitch w:val="default"/>
    <w:sig w:usb0="00000000" w:usb1="00000000" w:usb2="00000029" w:usb3="00000000" w:csb0="000101FF"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tabs>
        <w:tab w:val="center" w:pos="4153"/>
        <w:tab w:val="right" w:pos="8306"/>
      </w:tabs>
      <w:rPr>
        <w:rStyle w:val="PageNumber"/>
      </w:rPr>
    </w:pPr>
    <w:r>
      <w:fldChar w:fldCharType="begin"/>
    </w:r>
    <w:r>
      <w:rPr>
        <w:rStyle w:val="PageNumber"/>
      </w:rPr>
      <w:instrText xml:space="preserve">PAGE  </w:instrText>
    </w:r>
    <w:r>
      <w:fldChar w:fldCharType="separate"/>
    </w:r>
    <w:r>
      <w:rPr>
        <w:rStyle w:val="PageNumber"/>
      </w:rPr>
      <w:t>1</w:t>
    </w:r>
    <w:r>
      <w:fldChar w:fldCharType="end"/>
    </w:r>
  </w:p>
  <w:p>
    <w:pPr>
      <w:pStyle w:val="Footer"/>
      <w:tabs>
        <w:tab w:val="center" w:pos="4153"/>
        <w:tab w:val="right" w:pos="8306"/>
      </w:tabs>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bottom w:val="none" w:sz="0" w:space="0" w:color="auto"/>
      </w:pBd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comments="1" w:formatting="1" w:inkAnnotations="1" w:insDel="1" w:markup="0"/>
  <w:defaultTabStop w:val="420"/>
  <w:drawingGridHorizontalSpacing w:val="105"/>
  <w:drawingGridVerticalSpacing w:val="156"/>
  <w:displayHorizontalDrawingGridEvery w:val="0"/>
  <w:displayVerticalDrawingGridEvery w:val="2"/>
  <w:doNotShadeFormData/>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endnote text"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note heading" w:semiHidden="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paragraph" w:styleId="Heading1">
    <w:name w:val="heading 1"/>
    <w:basedOn w:val="Normal"/>
    <w:next w:val="Normal"/>
    <w:link w:val="1"/>
    <w:qFormat/>
    <w:pPr>
      <w:keepNext/>
      <w:keepLines/>
      <w:spacing w:before="340" w:after="330" w:line="578" w:lineRule="auto"/>
      <w:outlineLvl w:val="0"/>
    </w:pPr>
    <w:rPr>
      <w:rFonts w:ascii="Calibri" w:hAnsi="Calibri"/>
      <w:b/>
      <w:bCs/>
      <w:kern w:val="44"/>
      <w:sz w:val="44"/>
      <w:szCs w:val="44"/>
    </w:rPr>
  </w:style>
  <w:style w:type="paragraph" w:styleId="Heading2">
    <w:name w:val="heading 2"/>
    <w:basedOn w:val="Normal"/>
    <w:next w:val="Normal"/>
    <w:link w:val="2"/>
    <w:qFormat/>
    <w:pPr>
      <w:keepNext/>
      <w:keepLines/>
      <w:spacing w:before="260" w:after="260" w:line="416" w:lineRule="auto"/>
      <w:outlineLvl w:val="1"/>
    </w:pPr>
    <w:rPr>
      <w:rFonts w:ascii="Arial" w:eastAsia="黑体" w:hAnsi="Arial"/>
      <w:b/>
      <w:bCs/>
      <w:kern w:val="0"/>
      <w:sz w:val="32"/>
      <w:szCs w:val="32"/>
    </w:rPr>
  </w:style>
  <w:style w:type="paragraph" w:styleId="Heading3">
    <w:name w:val="heading 3"/>
    <w:basedOn w:val="Normal"/>
    <w:next w:val="Normal"/>
    <w:link w:val="3"/>
    <w:qFormat/>
    <w:pPr>
      <w:keepNext/>
      <w:keepLines/>
      <w:spacing w:before="260" w:after="260" w:line="416" w:lineRule="auto"/>
      <w:outlineLvl w:val="2"/>
    </w:pPr>
    <w:rPr>
      <w:rFonts w:ascii="Calibri" w:hAnsi="Calibri"/>
      <w:b/>
      <w:bCs/>
      <w:kern w:val="0"/>
      <w:sz w:val="32"/>
      <w:szCs w:val="32"/>
    </w:rPr>
  </w:style>
  <w:style w:type="paragraph" w:styleId="Heading4">
    <w:name w:val="heading 4"/>
    <w:basedOn w:val="Normal"/>
    <w:next w:val="Normal"/>
    <w:link w:val="4"/>
    <w:qFormat/>
    <w:pPr>
      <w:keepNext/>
      <w:keepLines/>
      <w:spacing w:before="280" w:after="290" w:line="376" w:lineRule="auto"/>
      <w:outlineLvl w:val="3"/>
    </w:pPr>
    <w:rPr>
      <w:rFonts w:ascii="Arial" w:eastAsia="黑体" w:hAnsi="Arial"/>
      <w:b/>
      <w:bCs/>
      <w:kern w:val="0"/>
      <w:sz w:val="28"/>
      <w:szCs w:val="28"/>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character" w:customStyle="1" w:styleId="1">
    <w:name w:val="标题 1 字符"/>
    <w:link w:val="Heading1"/>
    <w:qFormat/>
    <w:rPr>
      <w:rFonts w:ascii="Calibri" w:eastAsia="宋体" w:hAnsi="Calibri" w:cs="Times New Roman"/>
      <w:b/>
      <w:bCs/>
      <w:kern w:val="44"/>
      <w:sz w:val="44"/>
      <w:szCs w:val="44"/>
    </w:rPr>
  </w:style>
  <w:style w:type="character" w:customStyle="1" w:styleId="2">
    <w:name w:val="标题 2 字符"/>
    <w:link w:val="Heading2"/>
    <w:qFormat/>
    <w:rPr>
      <w:rFonts w:ascii="Arial" w:eastAsia="黑体" w:hAnsi="Arial" w:cs="Times New Roman"/>
      <w:b/>
      <w:bCs/>
      <w:sz w:val="32"/>
      <w:szCs w:val="32"/>
    </w:rPr>
  </w:style>
  <w:style w:type="character" w:customStyle="1" w:styleId="3">
    <w:name w:val="标题 3 字符"/>
    <w:link w:val="Heading3"/>
    <w:qFormat/>
    <w:rPr>
      <w:rFonts w:ascii="Calibri" w:eastAsia="宋体" w:hAnsi="Calibri" w:cs="Times New Roman"/>
      <w:b/>
      <w:bCs/>
      <w:sz w:val="32"/>
      <w:szCs w:val="32"/>
    </w:rPr>
  </w:style>
  <w:style w:type="character" w:customStyle="1" w:styleId="4">
    <w:name w:val="标题 4 字符"/>
    <w:link w:val="Heading4"/>
    <w:qFormat/>
    <w:rPr>
      <w:rFonts w:ascii="Arial" w:eastAsia="黑体" w:hAnsi="Arial" w:cs="Times New Roman"/>
      <w:b/>
      <w:bCs/>
      <w:sz w:val="28"/>
      <w:szCs w:val="28"/>
    </w:rPr>
  </w:style>
  <w:style w:type="paragraph" w:styleId="DocumentMap">
    <w:name w:val="Document Map"/>
    <w:basedOn w:val="Normal"/>
    <w:link w:val="a"/>
    <w:qFormat/>
    <w:pPr>
      <w:shd w:val="clear" w:color="auto" w:fill="000080"/>
    </w:pPr>
    <w:rPr>
      <w:kern w:val="0"/>
      <w:sz w:val="20"/>
      <w:szCs w:val="24"/>
    </w:rPr>
  </w:style>
  <w:style w:type="character" w:customStyle="1" w:styleId="a">
    <w:name w:val="文档结构图 字符"/>
    <w:link w:val="DocumentMap"/>
    <w:qFormat/>
    <w:rPr>
      <w:rFonts w:ascii="Times New Roman" w:eastAsia="宋体" w:hAnsi="Times New Roman" w:cs="Times New Roman"/>
      <w:szCs w:val="24"/>
      <w:shd w:val="clear" w:color="auto" w:fill="000080"/>
    </w:rPr>
  </w:style>
  <w:style w:type="paragraph" w:styleId="CommentText">
    <w:name w:val="annotation text"/>
    <w:basedOn w:val="Normal"/>
    <w:link w:val="a0"/>
    <w:qFormat/>
    <w:pPr>
      <w:jc w:val="left"/>
    </w:pPr>
    <w:rPr>
      <w:rFonts w:ascii="Calibri" w:hAnsi="Calibri"/>
      <w:kern w:val="0"/>
      <w:sz w:val="20"/>
      <w:szCs w:val="20"/>
    </w:rPr>
  </w:style>
  <w:style w:type="character" w:customStyle="1" w:styleId="a0">
    <w:name w:val="批注文字 字符"/>
    <w:link w:val="CommentText"/>
    <w:qFormat/>
    <w:rPr>
      <w:rFonts w:ascii="Calibri" w:eastAsia="宋体" w:hAnsi="Calibri" w:cs="Times New Roman"/>
    </w:rPr>
  </w:style>
  <w:style w:type="paragraph" w:styleId="BodyTextIndent">
    <w:name w:val="Body Text Indent"/>
    <w:basedOn w:val="Normal"/>
    <w:link w:val="a1"/>
    <w:qFormat/>
    <w:pPr>
      <w:spacing w:line="400" w:lineRule="exact"/>
      <w:ind w:firstLine="480" w:firstLineChars="200"/>
    </w:pPr>
    <w:rPr>
      <w:rFonts w:ascii="宋体" w:hAnsi="宋体"/>
      <w:kern w:val="0"/>
      <w:sz w:val="24"/>
      <w:szCs w:val="24"/>
    </w:rPr>
  </w:style>
  <w:style w:type="character" w:customStyle="1" w:styleId="a1">
    <w:name w:val="正文文本缩进 字符"/>
    <w:link w:val="BodyTextIndent"/>
    <w:qFormat/>
    <w:rPr>
      <w:rFonts w:ascii="宋体" w:eastAsia="宋体" w:hAnsi="宋体" w:cs="Times New Roman"/>
      <w:sz w:val="24"/>
      <w:szCs w:val="24"/>
    </w:rPr>
  </w:style>
  <w:style w:type="paragraph" w:styleId="TOC3">
    <w:name w:val="toc 3"/>
    <w:basedOn w:val="Normal"/>
    <w:next w:val="Normal"/>
    <w:qFormat/>
    <w:pPr>
      <w:widowControl/>
      <w:tabs>
        <w:tab w:val="left" w:pos="1050"/>
        <w:tab w:val="right" w:leader="dot" w:pos="8296"/>
      </w:tabs>
      <w:spacing w:after="100" w:line="276" w:lineRule="auto"/>
      <w:ind w:left="440"/>
      <w:jc w:val="left"/>
    </w:pPr>
    <w:rPr>
      <w:rFonts w:ascii="Calibri" w:hAnsi="Calibri"/>
      <w:kern w:val="0"/>
      <w:sz w:val="22"/>
    </w:rPr>
  </w:style>
  <w:style w:type="paragraph" w:styleId="Date">
    <w:name w:val="Date"/>
    <w:basedOn w:val="Normal"/>
    <w:next w:val="Normal"/>
    <w:link w:val="a2"/>
    <w:qFormat/>
    <w:rPr>
      <w:rFonts w:ascii="仿宋_GB2312" w:eastAsia="仿宋_GB2312"/>
      <w:kern w:val="0"/>
      <w:sz w:val="32"/>
      <w:szCs w:val="20"/>
    </w:rPr>
  </w:style>
  <w:style w:type="character" w:customStyle="1" w:styleId="a2">
    <w:name w:val="日期 字符"/>
    <w:link w:val="Date"/>
    <w:qFormat/>
    <w:rPr>
      <w:rFonts w:ascii="仿宋_GB2312" w:eastAsia="仿宋_GB2312" w:hAnsi="Times New Roman" w:cs="Times New Roman"/>
      <w:sz w:val="32"/>
      <w:szCs w:val="20"/>
    </w:rPr>
  </w:style>
  <w:style w:type="paragraph" w:styleId="EndnoteText">
    <w:name w:val="endnote text"/>
    <w:basedOn w:val="Normal"/>
    <w:link w:val="a3"/>
    <w:qFormat/>
    <w:pPr>
      <w:snapToGrid w:val="0"/>
      <w:jc w:val="left"/>
    </w:pPr>
    <w:rPr>
      <w:rFonts w:ascii="Calibri" w:hAnsi="Calibri"/>
      <w:kern w:val="0"/>
      <w:sz w:val="20"/>
      <w:szCs w:val="20"/>
    </w:rPr>
  </w:style>
  <w:style w:type="character" w:customStyle="1" w:styleId="a3">
    <w:name w:val="尾注文本 字符"/>
    <w:link w:val="EndnoteText"/>
    <w:qFormat/>
    <w:rPr>
      <w:rFonts w:ascii="Calibri" w:eastAsia="宋体" w:hAnsi="Calibri" w:cs="Times New Roman"/>
    </w:rPr>
  </w:style>
  <w:style w:type="paragraph" w:styleId="BalloonText">
    <w:name w:val="Balloon Text"/>
    <w:basedOn w:val="Normal"/>
    <w:link w:val="a4"/>
    <w:qFormat/>
    <w:rPr>
      <w:kern w:val="0"/>
      <w:sz w:val="18"/>
      <w:szCs w:val="18"/>
    </w:rPr>
  </w:style>
  <w:style w:type="character" w:customStyle="1" w:styleId="a4">
    <w:name w:val="批注框文本 字符"/>
    <w:link w:val="BalloonText"/>
    <w:qFormat/>
    <w:rPr>
      <w:rFonts w:ascii="Times New Roman" w:eastAsia="宋体" w:hAnsi="Times New Roman" w:cs="Times New Roman"/>
      <w:sz w:val="18"/>
      <w:szCs w:val="18"/>
    </w:rPr>
  </w:style>
  <w:style w:type="paragraph" w:styleId="Footer">
    <w:name w:val="footer"/>
    <w:basedOn w:val="Normal"/>
    <w:link w:val="a5"/>
    <w:qFormat/>
    <w:pPr>
      <w:tabs>
        <w:tab w:val="center" w:pos="4153"/>
        <w:tab w:val="right" w:pos="8306"/>
      </w:tabs>
      <w:snapToGrid w:val="0"/>
      <w:jc w:val="left"/>
    </w:pPr>
    <w:rPr>
      <w:kern w:val="0"/>
      <w:sz w:val="18"/>
      <w:szCs w:val="20"/>
    </w:rPr>
  </w:style>
  <w:style w:type="character" w:customStyle="1" w:styleId="a5">
    <w:name w:val="页脚 字符"/>
    <w:link w:val="Footer"/>
    <w:qFormat/>
    <w:rPr>
      <w:rFonts w:ascii="Times New Roman" w:eastAsia="宋体" w:hAnsi="Times New Roman" w:cs="Times New Roman"/>
      <w:sz w:val="18"/>
      <w:szCs w:val="20"/>
    </w:rPr>
  </w:style>
  <w:style w:type="paragraph" w:styleId="Header">
    <w:name w:val="header"/>
    <w:basedOn w:val="Normal"/>
    <w:link w:val="a6"/>
    <w:qFormat/>
    <w:pPr>
      <w:pBdr>
        <w:bottom w:val="single" w:sz="6" w:space="1" w:color="auto"/>
      </w:pBdr>
      <w:tabs>
        <w:tab w:val="center" w:pos="4153"/>
        <w:tab w:val="right" w:pos="8306"/>
      </w:tabs>
      <w:snapToGrid w:val="0"/>
      <w:jc w:val="center"/>
    </w:pPr>
    <w:rPr>
      <w:kern w:val="0"/>
      <w:sz w:val="18"/>
      <w:szCs w:val="20"/>
    </w:rPr>
  </w:style>
  <w:style w:type="character" w:customStyle="1" w:styleId="a6">
    <w:name w:val="页眉 字符"/>
    <w:link w:val="Header"/>
    <w:qFormat/>
    <w:rPr>
      <w:rFonts w:ascii="Times New Roman" w:eastAsia="宋体" w:hAnsi="Times New Roman" w:cs="Times New Roman"/>
      <w:sz w:val="18"/>
      <w:szCs w:val="20"/>
    </w:rPr>
  </w:style>
  <w:style w:type="paragraph" w:styleId="TOC1">
    <w:name w:val="toc 1"/>
    <w:basedOn w:val="Normal"/>
    <w:next w:val="Normal"/>
    <w:qFormat/>
    <w:pPr>
      <w:widowControl/>
      <w:tabs>
        <w:tab w:val="left" w:pos="1260"/>
        <w:tab w:val="right" w:leader="dot" w:pos="8302"/>
      </w:tabs>
      <w:spacing w:after="100" w:line="276" w:lineRule="auto"/>
      <w:jc w:val="left"/>
    </w:pPr>
    <w:rPr>
      <w:rFonts w:ascii="Calibri" w:hAnsi="Calibri"/>
      <w:kern w:val="0"/>
      <w:sz w:val="22"/>
    </w:rPr>
  </w:style>
  <w:style w:type="paragraph" w:styleId="TOC2">
    <w:name w:val="toc 2"/>
    <w:basedOn w:val="Normal"/>
    <w:next w:val="Normal"/>
    <w:qFormat/>
    <w:pPr>
      <w:widowControl/>
      <w:tabs>
        <w:tab w:val="left" w:pos="840"/>
        <w:tab w:val="right" w:leader="dot" w:pos="8296"/>
      </w:tabs>
      <w:spacing w:after="100" w:line="276" w:lineRule="auto"/>
      <w:ind w:left="221"/>
      <w:jc w:val="left"/>
    </w:pPr>
    <w:rPr>
      <w:rFonts w:ascii="华文细黑" w:eastAsia="华文细黑" w:hAnsi="华文细黑"/>
      <w:kern w:val="0"/>
      <w:sz w:val="22"/>
    </w:rPr>
  </w:style>
  <w:style w:type="paragraph" w:styleId="NormalWeb">
    <w:name w:val="Normal (Web)"/>
    <w:basedOn w:val="Normal"/>
    <w:uiPriority w:val="99"/>
    <w:qFormat/>
    <w:pPr>
      <w:widowControl/>
      <w:spacing w:before="100" w:beforeAutospacing="1" w:after="100" w:afterAutospacing="1"/>
      <w:jc w:val="left"/>
    </w:pPr>
    <w:rPr>
      <w:rFonts w:ascii="宋体" w:hAnsi="宋体" w:cs="宋体"/>
      <w:kern w:val="0"/>
      <w:sz w:val="24"/>
      <w:szCs w:val="24"/>
    </w:rPr>
  </w:style>
  <w:style w:type="paragraph" w:styleId="CommentSubject">
    <w:name w:val="annotation subject"/>
    <w:basedOn w:val="CommentText"/>
    <w:next w:val="CommentText"/>
    <w:link w:val="a7"/>
    <w:qFormat/>
    <w:rPr>
      <w:b/>
      <w:bCs/>
    </w:rPr>
  </w:style>
  <w:style w:type="character" w:customStyle="1" w:styleId="a7">
    <w:name w:val="批注主题 字符"/>
    <w:link w:val="CommentSubject"/>
    <w:qFormat/>
    <w:rPr>
      <w:rFonts w:ascii="Calibri" w:eastAsia="宋体" w:hAnsi="Calibri" w:cs="Times New Roman"/>
      <w:b/>
      <w:bCs/>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qFormat/>
    <w:rPr>
      <w:rFonts w:ascii="Calibri" w:eastAsia="宋体" w:hAnsi="Calibri" w:cs="Times New Roman"/>
    </w:rPr>
  </w:style>
  <w:style w:type="character" w:styleId="Hyperlink">
    <w:name w:val="Hyperlink"/>
    <w:qFormat/>
    <w:rPr>
      <w:rFonts w:ascii="Calibri" w:eastAsia="宋体" w:hAnsi="Calibri" w:cs="Times New Roman"/>
      <w:color w:val="0000FF"/>
      <w:u w:val="single"/>
    </w:rPr>
  </w:style>
  <w:style w:type="character" w:styleId="CommentReference">
    <w:name w:val="annotation reference"/>
    <w:qFormat/>
    <w:rPr>
      <w:rFonts w:ascii="Calibri" w:eastAsia="宋体" w:hAnsi="Calibri" w:cs="Times New Roman"/>
      <w:sz w:val="21"/>
      <w:szCs w:val="21"/>
    </w:rPr>
  </w:style>
  <w:style w:type="character" w:customStyle="1" w:styleId="Char1">
    <w:name w:val="日期 Char1"/>
    <w:qFormat/>
    <w:rPr>
      <w:rFonts w:ascii="Calibri" w:eastAsia="宋体" w:hAnsi="Calibri" w:cs="Times New Roman"/>
    </w:rPr>
  </w:style>
  <w:style w:type="paragraph" w:customStyle="1" w:styleId="CharCharCharCharCharCharCharCharChar1CharCharCharCharCharCharCharCharCharCharCharCharCharChar">
    <w:name w:val="Char Char Char Char Char Char Char Char Char1 Char Char Char Char Char Char Char Char Char Char Char Char Char Char"/>
    <w:basedOn w:val="Heading1"/>
    <w:qFormat/>
    <w:pPr>
      <w:snapToGrid w:val="0"/>
      <w:spacing w:before="240" w:after="240" w:line="348" w:lineRule="auto"/>
    </w:pPr>
    <w:rPr>
      <w:rFonts w:ascii="Tahoma" w:hAnsi="Tahoma"/>
      <w:bCs w:val="0"/>
      <w:kern w:val="2"/>
      <w:sz w:val="24"/>
      <w:szCs w:val="20"/>
    </w:rPr>
  </w:style>
  <w:style w:type="paragraph" w:customStyle="1" w:styleId="CharCharCharCharCharCharCharCharChar1Char">
    <w:name w:val="Char Char Char Char Char Char Char Char Char1 Char"/>
    <w:basedOn w:val="Heading1"/>
    <w:qFormat/>
    <w:pPr>
      <w:snapToGrid w:val="0"/>
      <w:spacing w:before="240" w:after="240" w:line="348" w:lineRule="auto"/>
    </w:pPr>
    <w:rPr>
      <w:rFonts w:ascii="Tahoma" w:hAnsi="Tahoma"/>
      <w:bCs w:val="0"/>
      <w:kern w:val="2"/>
      <w:sz w:val="24"/>
      <w:szCs w:val="20"/>
    </w:rPr>
  </w:style>
  <w:style w:type="paragraph" w:customStyle="1" w:styleId="CharCharCharChar">
    <w:name w:val="Char Char Char Char"/>
    <w:basedOn w:val="Heading1"/>
    <w:qFormat/>
    <w:pPr>
      <w:snapToGrid w:val="0"/>
      <w:spacing w:before="240" w:after="240" w:line="348" w:lineRule="auto"/>
    </w:pPr>
    <w:rPr>
      <w:rFonts w:ascii="Tahoma" w:hAnsi="Tahoma"/>
      <w:bCs w:val="0"/>
      <w:kern w:val="2"/>
      <w:sz w:val="24"/>
      <w:szCs w:val="20"/>
    </w:rPr>
  </w:style>
  <w:style w:type="paragraph" w:customStyle="1" w:styleId="p0">
    <w:name w:val="p0"/>
    <w:basedOn w:val="Normal"/>
    <w:qFormat/>
    <w:pPr>
      <w:widowControl/>
    </w:pPr>
    <w:rPr>
      <w:kern w:val="0"/>
      <w:szCs w:val="21"/>
    </w:rPr>
  </w:style>
  <w:style w:type="paragraph" w:customStyle="1" w:styleId="Char">
    <w:name w:val="Char"/>
    <w:basedOn w:val="Normal"/>
    <w:qFormat/>
    <w:pPr>
      <w:widowControl/>
      <w:spacing w:after="160" w:line="240" w:lineRule="exact"/>
      <w:jc w:val="left"/>
    </w:pPr>
    <w:rPr>
      <w:rFonts w:ascii="Calibri" w:hAnsi="Calibri"/>
      <w:szCs w:val="20"/>
    </w:rPr>
  </w:style>
  <w:style w:type="paragraph" w:customStyle="1" w:styleId="CharCharCharCharCharCharChar">
    <w:name w:val="Char Char Char Char Char Char Char"/>
    <w:basedOn w:val="Heading1"/>
    <w:qFormat/>
    <w:pPr>
      <w:snapToGrid w:val="0"/>
      <w:spacing w:before="240" w:after="240" w:line="348" w:lineRule="auto"/>
    </w:pPr>
    <w:rPr>
      <w:rFonts w:ascii="Tahoma" w:hAnsi="Tahoma"/>
      <w:bCs w:val="0"/>
      <w:kern w:val="2"/>
      <w:sz w:val="24"/>
      <w:szCs w:val="20"/>
    </w:rPr>
  </w:style>
  <w:style w:type="paragraph" w:customStyle="1" w:styleId="CharCharCharCharCharCharCharCharChar1CharCharCharCharCharCharCharCharCharCharCharCharCharCharCharCharChar">
    <w:name w:val="Char Char Char Char Char Char Char Char Char1 Char Char Char Char Char Char Char Char Char Char Char Char Char Char Char Char Char"/>
    <w:basedOn w:val="Heading1"/>
    <w:qFormat/>
    <w:pPr>
      <w:snapToGrid w:val="0"/>
      <w:spacing w:before="240" w:after="240" w:line="348" w:lineRule="auto"/>
    </w:pPr>
    <w:rPr>
      <w:rFonts w:ascii="Tahoma" w:hAnsi="Tahoma"/>
      <w:bCs w:val="0"/>
      <w:kern w:val="2"/>
      <w:sz w:val="24"/>
      <w:szCs w:val="20"/>
    </w:rPr>
  </w:style>
  <w:style w:type="paragraph" w:customStyle="1" w:styleId="TOCHeading">
    <w:name w:val="TOC Heading"/>
    <w:basedOn w:val="Heading1"/>
    <w:next w:val="Normal"/>
    <w:qFormat/>
    <w:pPr>
      <w:widowControl/>
      <w:spacing w:before="480" w:after="0" w:line="276" w:lineRule="auto"/>
      <w:jc w:val="left"/>
      <w:outlineLvl w:val="9"/>
    </w:pPr>
    <w:rPr>
      <w:rFonts w:ascii="Cambria" w:hAnsi="Cambria"/>
      <w:color w:val="365F91"/>
      <w:kern w:val="0"/>
      <w:sz w:val="28"/>
      <w:szCs w:val="28"/>
    </w:rPr>
  </w:style>
  <w:style w:type="paragraph" w:styleId="ListParagraph">
    <w:name w:val="List Paragraph"/>
    <w:basedOn w:val="Normal"/>
    <w:uiPriority w:val="34"/>
    <w:qFormat/>
    <w:pPr>
      <w:ind w:firstLine="420" w:firstLineChars="200"/>
    </w:pPr>
    <w:rPr>
      <w:rFonts w:ascii="Calibri" w:hAnsi="Calibri"/>
    </w:rPr>
  </w:style>
  <w:style w:type="paragraph" w:customStyle="1" w:styleId="CharCharCharCharCharCharCharCharChar1">
    <w:name w:val="Char Char Char Char Char Char Char Char Char1"/>
    <w:basedOn w:val="Heading1"/>
    <w:qFormat/>
    <w:pPr>
      <w:snapToGrid w:val="0"/>
      <w:spacing w:before="240" w:after="240" w:line="348" w:lineRule="auto"/>
    </w:pPr>
    <w:rPr>
      <w:rFonts w:ascii="Tahoma" w:hAnsi="Tahoma"/>
      <w:bCs w:val="0"/>
      <w:kern w:val="2"/>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Heading1"/>
    <w:qFormat/>
    <w:pPr>
      <w:snapToGrid w:val="0"/>
      <w:spacing w:before="240" w:after="240" w:line="348" w:lineRule="auto"/>
    </w:pPr>
    <w:rPr>
      <w:rFonts w:ascii="Tahoma" w:hAnsi="Tahoma"/>
      <w:bCs w:val="0"/>
      <w:kern w:val="2"/>
      <w:sz w:val="24"/>
      <w:szCs w:val="20"/>
    </w:rPr>
  </w:style>
  <w:style w:type="paragraph" w:customStyle="1" w:styleId="CharCharCharCharCharCharCharCharChar1CharCharCharChar">
    <w:name w:val="Char Char Char Char Char Char Char Char Char1 Char Char Char Char"/>
    <w:basedOn w:val="Heading1"/>
    <w:qFormat/>
    <w:pPr>
      <w:snapToGrid w:val="0"/>
      <w:spacing w:before="240" w:after="240" w:line="348" w:lineRule="auto"/>
    </w:pPr>
    <w:rPr>
      <w:rFonts w:ascii="Tahoma" w:hAnsi="Tahoma"/>
      <w:bCs w:val="0"/>
      <w:kern w:val="2"/>
      <w:sz w:val="24"/>
      <w:szCs w:val="20"/>
    </w:rPr>
  </w:style>
  <w:style w:type="paragraph" w:customStyle="1" w:styleId="Revision">
    <w:name w:val="Revision"/>
    <w:qFormat/>
    <w:rPr>
      <w:rFonts w:ascii="Times New Roman" w:eastAsia="宋体" w:hAnsi="Times New Roman" w:cs="Times New Roman"/>
      <w:kern w:val="2"/>
      <w:sz w:val="21"/>
      <w:szCs w:val="22"/>
      <w:lang w:val="en-US" w:eastAsia="zh-CN" w:bidi="ar-SA"/>
    </w:rPr>
  </w:style>
  <w:style w:type="paragraph" w:customStyle="1" w:styleId="CharCharCharCharCharCharCharCharChar">
    <w:name w:val="Char Char Char Char Char Char Char Char Char"/>
    <w:basedOn w:val="Heading1"/>
    <w:qFormat/>
    <w:pPr>
      <w:snapToGrid w:val="0"/>
      <w:spacing w:before="240" w:after="240" w:line="348" w:lineRule="auto"/>
    </w:pPr>
    <w:rPr>
      <w:rFonts w:ascii="Tahoma" w:hAnsi="Tahoma"/>
      <w:bCs w:val="0"/>
      <w:kern w:val="2"/>
      <w:sz w:val="24"/>
      <w:szCs w:val="20"/>
    </w:rPr>
  </w:style>
  <w:style w:type="paragraph" w:customStyle="1" w:styleId="CharCharCharCharCharCharCharCharChar1CharCharCharCharCharCharCharCharCharCharCharCharCharCharCharCharChar1Char">
    <w:name w:val="Char Char Char Char Char Char Char Char Char1 Char Char Char Char Char Char Char Char Char Char Char Char Char Char Char Char Char1 Char"/>
    <w:basedOn w:val="Heading1"/>
    <w:qFormat/>
    <w:pPr>
      <w:snapToGrid w:val="0"/>
      <w:spacing w:before="240" w:after="240" w:line="348" w:lineRule="auto"/>
    </w:pPr>
    <w:rPr>
      <w:rFonts w:ascii="Times New Roman" w:hAnsi="Times New Roman"/>
    </w:rPr>
  </w:style>
  <w:style w:type="paragraph" w:customStyle="1" w:styleId="CharCharCharCharCharCharCharCharChar1CharCharCharCharCharCharCharCharCharCharChar">
    <w:name w:val="Char Char Char Char Char Char Char Char Char1 Char Char Char Char Char Char Char Char Char Char Char"/>
    <w:basedOn w:val="Heading1"/>
    <w:qFormat/>
    <w:pPr>
      <w:snapToGrid w:val="0"/>
      <w:spacing w:before="240" w:after="240" w:line="348" w:lineRule="auto"/>
    </w:pPr>
    <w:rPr>
      <w:rFonts w:ascii="Tahoma" w:hAnsi="Tahoma"/>
      <w:bCs w:val="0"/>
      <w:kern w:val="2"/>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157281120</TotalTime>
  <Pages>11</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刘震坤</dc:creator>
  <cp:lastModifiedBy>jiangyan</cp:lastModifiedBy>
  <cp:revision>3</cp:revision>
  <cp:lastPrinted>2021-06-25T15:58:00Z</cp:lastPrinted>
  <dcterms:created xsi:type="dcterms:W3CDTF">2021-08-21T17:11:00Z</dcterms:created>
  <dcterms:modified xsi:type="dcterms:W3CDTF">2021-09-06T16:58:02Z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