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rsidR="00F15E3C">
      <w:pPr>
        <w:jc w:val="left"/>
        <w:rPr>
          <w:rFonts w:ascii="黑体" w:eastAsia="黑体" w:hAnsi="黑体" w:cs="黑体"/>
          <w:color w:val="000000"/>
          <w:sz w:val="32"/>
          <w:szCs w:val="32"/>
        </w:rPr>
      </w:pPr>
      <w:r>
        <w:rPr>
          <w:rFonts w:ascii="黑体" w:eastAsia="黑体" w:hAnsi="黑体" w:cs="黑体" w:hint="eastAsia"/>
          <w:color w:val="000000"/>
          <w:sz w:val="32"/>
          <w:szCs w:val="32"/>
        </w:rPr>
        <w:t>附件2</w:t>
      </w:r>
    </w:p>
    <w:p w:rsidR="00F15E3C" w:rsidRPr="00B70A89">
      <w:pPr>
        <w:jc w:val="center"/>
        <w:rPr>
          <w:rFonts w:ascii="方正小标宋简体" w:eastAsia="方正小标宋简体" w:hAnsi="黑体" w:cs="黑体"/>
          <w:b w:val="0"/>
          <w:bCs/>
          <w:color w:val="000000"/>
          <w:sz w:val="44"/>
          <w:szCs w:val="44"/>
        </w:rPr>
      </w:pPr>
      <w:r w:rsidRPr="00B70A89">
        <w:rPr>
          <w:rFonts w:ascii="方正小标宋简体" w:eastAsia="方正小标宋简体" w:hAnsi="黑体" w:cs="黑体" w:hint="eastAsia"/>
          <w:b w:val="0"/>
          <w:bCs/>
          <w:color w:val="000000"/>
          <w:sz w:val="44"/>
          <w:szCs w:val="44"/>
        </w:rPr>
        <w:t>法人、非法人组织防雷安全主体责任清单</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47"/>
        <w:gridCol w:w="4445"/>
        <w:gridCol w:w="3156"/>
      </w:tblGrid>
      <w:tr>
        <w:tblPrEx>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80"/>
        </w:trPr>
        <w:tc>
          <w:tcPr>
            <w:tcW w:w="2235" w:type="dxa"/>
            <w:vAlign w:val="center"/>
          </w:tcPr>
          <w:p w:rsidR="00F15E3C">
            <w:pPr>
              <w:spacing w:line="340" w:lineRule="exact"/>
              <w:jc w:val="center"/>
              <w:rPr>
                <w:b/>
                <w:bCs/>
                <w:color w:val="000000"/>
                <w:sz w:val="24"/>
                <w:szCs w:val="24"/>
              </w:rPr>
            </w:pPr>
            <w:r>
              <w:rPr>
                <w:rFonts w:hint="eastAsia"/>
                <w:b/>
                <w:bCs/>
                <w:color w:val="000000"/>
                <w:sz w:val="24"/>
                <w:szCs w:val="24"/>
              </w:rPr>
              <w:t>责任主体</w:t>
            </w:r>
          </w:p>
        </w:tc>
        <w:tc>
          <w:tcPr>
            <w:tcW w:w="4447" w:type="dxa"/>
            <w:vAlign w:val="center"/>
          </w:tcPr>
          <w:p w:rsidR="00F15E3C">
            <w:pPr>
              <w:spacing w:line="340" w:lineRule="exact"/>
              <w:jc w:val="center"/>
              <w:rPr>
                <w:b/>
                <w:bCs/>
                <w:color w:val="000000"/>
                <w:sz w:val="24"/>
                <w:szCs w:val="24"/>
              </w:rPr>
            </w:pPr>
            <w:r>
              <w:rPr>
                <w:rFonts w:hint="eastAsia"/>
                <w:b/>
                <w:bCs/>
                <w:color w:val="000000"/>
                <w:sz w:val="24"/>
                <w:szCs w:val="24"/>
              </w:rPr>
              <w:t>事项清单</w:t>
            </w:r>
          </w:p>
        </w:tc>
        <w:tc>
          <w:tcPr>
            <w:tcW w:w="4445" w:type="dxa"/>
            <w:vAlign w:val="center"/>
          </w:tcPr>
          <w:p w:rsidR="00F15E3C">
            <w:pPr>
              <w:spacing w:line="340" w:lineRule="exact"/>
              <w:jc w:val="center"/>
              <w:rPr>
                <w:b/>
                <w:bCs/>
                <w:color w:val="000000"/>
                <w:sz w:val="24"/>
                <w:szCs w:val="24"/>
              </w:rPr>
            </w:pPr>
            <w:r>
              <w:rPr>
                <w:rFonts w:hint="eastAsia"/>
                <w:b/>
                <w:bCs/>
                <w:color w:val="000000"/>
                <w:sz w:val="24"/>
                <w:szCs w:val="24"/>
              </w:rPr>
              <w:t>依据</w:t>
            </w:r>
          </w:p>
        </w:tc>
        <w:tc>
          <w:tcPr>
            <w:tcW w:w="3156" w:type="dxa"/>
            <w:vAlign w:val="center"/>
          </w:tcPr>
          <w:p w:rsidR="00F15E3C">
            <w:pPr>
              <w:spacing w:line="340" w:lineRule="exact"/>
              <w:jc w:val="center"/>
              <w:rPr>
                <w:b/>
                <w:bCs/>
                <w:color w:val="000000"/>
                <w:sz w:val="24"/>
                <w:szCs w:val="24"/>
              </w:rPr>
            </w:pPr>
            <w:r>
              <w:rPr>
                <w:rFonts w:hint="eastAsia"/>
                <w:b/>
                <w:bCs/>
                <w:color w:val="000000"/>
                <w:sz w:val="24"/>
                <w:szCs w:val="24"/>
              </w:rPr>
              <w:t>备注</w:t>
            </w:r>
          </w:p>
        </w:tc>
      </w:tr>
      <w:tr>
        <w:tblPrEx>
          <w:tblW w:w="14283" w:type="dxa"/>
          <w:tblLayout w:type="fixed"/>
          <w:tblLook w:val="04A0"/>
        </w:tblPrEx>
        <w:tc>
          <w:tcPr>
            <w:tcW w:w="2235" w:type="dxa"/>
            <w:vMerge w:val="restart"/>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新建、改建、扩建</w:t>
            </w:r>
            <w:r>
              <w:rPr>
                <w:rFonts w:ascii="宋体" w:hAnsi="宋体" w:cs="宋体" w:hint="eastAsia"/>
                <w:bCs/>
                <w:color w:val="000000"/>
                <w:kern w:val="0"/>
                <w:sz w:val="18"/>
                <w:szCs w:val="18"/>
                <w:lang w:bidi="ar"/>
              </w:rPr>
              <w:t>建</w:t>
            </w:r>
            <w:r>
              <w:rPr>
                <w:rFonts w:ascii="宋体" w:hAnsi="宋体" w:cs="宋体" w:hint="eastAsia"/>
                <w:bCs/>
                <w:color w:val="000000"/>
                <w:kern w:val="0"/>
                <w:sz w:val="18"/>
                <w:szCs w:val="18"/>
                <w:lang w:bidi="ar"/>
              </w:rPr>
              <w:t>（构）筑物、场所和设施建设工程业主单位或个人</w:t>
            </w:r>
          </w:p>
        </w:tc>
        <w:tc>
          <w:tcPr>
            <w:tcW w:w="4447"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1</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大型建设工程、重点工程、爆炸和火灾危险环境、人员密集场所等项目应当进行雷电灾害风险评估</w:t>
            </w:r>
          </w:p>
        </w:tc>
        <w:tc>
          <w:tcPr>
            <w:tcW w:w="444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《气象灾害防御条例》第二十七条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《广东省气象灾害防御条例》第二十一条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《防雷减灾管理办法（修订）》（中国气象局令第24号）第二十七条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《广东省防御雷电灾害管理规定》（广东省人民政府令第284号）第十一条第一款</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2</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新建、改建、扩建</w:t>
            </w:r>
            <w:r>
              <w:rPr>
                <w:rFonts w:ascii="宋体" w:hAnsi="宋体" w:cs="宋体" w:hint="eastAsia"/>
                <w:bCs/>
                <w:color w:val="000000"/>
                <w:kern w:val="0"/>
                <w:sz w:val="18"/>
                <w:szCs w:val="18"/>
                <w:lang w:bidi="ar"/>
              </w:rPr>
              <w:t>建</w:t>
            </w:r>
            <w:r>
              <w:rPr>
                <w:rFonts w:ascii="宋体" w:hAnsi="宋体" w:cs="宋体" w:hint="eastAsia"/>
                <w:bCs/>
                <w:color w:val="000000"/>
                <w:kern w:val="0"/>
                <w:sz w:val="18"/>
                <w:szCs w:val="18"/>
                <w:lang w:bidi="ar"/>
              </w:rPr>
              <w:t>（构）筑物、场所和设施应当按照有关标准和规定安装雷电防护装置，并与主体工程同时设计、同时施工、同时投入使用</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《中华人民共和国气象法》第三十一条第二款</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《气象灾害防御条例》第二十三条第一款</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《广东省气象灾害防御条例》第二十六条第二款</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《防雷减灾管理办法（修订）》（中国气象局令第24号）第十一条、第二十八条、第三十条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《广东省防御雷电灾害管理规定》（广东省人民政府令第284号）第十五条第一款</w:t>
            </w:r>
          </w:p>
          <w:p w:rsidR="00F15E3C">
            <w:pPr>
              <w:widowControl/>
              <w:spacing w:line="340" w:lineRule="exact"/>
              <w:jc w:val="left"/>
              <w:textAlignment w:val="center"/>
              <w:rPr>
                <w:rFonts w:ascii="宋体" w:hAnsi="宋体" w:cs="宋体"/>
                <w:bCs/>
                <w:color w:val="000000"/>
                <w:kern w:val="0"/>
                <w:sz w:val="18"/>
                <w:szCs w:val="18"/>
                <w:lang w:bidi="ar"/>
              </w:rPr>
            </w:pP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气象部门负责油库、气库、弹药库、化学品仓库和烟花爆竹、石化等易燃易爆建设工程和场所；雷电易发区内的矿区、旅游景点或者投入使用的建（构）筑物、设施等需要单独安装雷电防护装置的场所；雷电风险高且没有防雷标准规范、需要进行特殊论证的大型项目的雷电防护装置，应当通过气象主管机构设计审核和竣工验收</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房屋建筑、市政基础设施、公路、水路、铁路、民航、水利、电力、核电、通信等建设工程的防御雷电灾害管理工作，由相应领域内的主管部门负责</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安装的雷电灾害防护装置符合国务院气象主管机构规定的使用要求</w:t>
            </w:r>
          </w:p>
        </w:tc>
      </w:tr>
      <w:tr>
        <w:tblPrEx>
          <w:tblW w:w="14283" w:type="dxa"/>
          <w:tblLayout w:type="fixed"/>
          <w:tblLook w:val="04A0"/>
        </w:tblPrEx>
        <w:tc>
          <w:tcPr>
            <w:tcW w:w="2235" w:type="dxa"/>
            <w:vMerge/>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3</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委托具有相应资质的雷电防护装置设计、施工、监理、检测单位开展技术服务</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《广东省建设工程质量管理条例》第七条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雷电防护装置建设工程设计单位</w:t>
            </w: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应当在编制项目设计文件时，同步编制雷电防护装置的设计文件，执行工程建设强制性标准，并对建设项目雷电防护装置设计全面负责</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《广东省防御雷电灾害管理规定》（广东省人民政府令第284号）第十七条第二款</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雷电防护装置建设工程监理单位</w:t>
            </w: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应当根据施工进度对雷电防护装置施工质量实施监理，并对施工质量承担监理责任</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《广东省防御雷电灾害管理规定》（广东省人民政府令第284号）第十七条第五款</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雷电防护装置施工单位</w:t>
            </w: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应当按照通过审查的设计文件和施工技术标准进行施工。</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《防雷减灾管理办法（修订）》（中国气象局令第24号）第十六条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《广东省防御雷电灾害管理规定》（广东省人民政府令第284号）第十七条第三款</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restart"/>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雷电防护装置检测单位及其人员</w:t>
            </w:r>
          </w:p>
        </w:tc>
        <w:tc>
          <w:tcPr>
            <w:tcW w:w="4447"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1</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依法取得检测资质，并按资质等级承担相应的雷电防护装置检测工作。依法开展雷电防护装置检测</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《气象灾害防御条例》第二十四条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《防雷减灾管理办法（修订）》（中国气象局令第24号）第二十条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第三条、第二十四条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《广东省防御雷电灾害管理规定》（广东省人民政府令第284号）第十九条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　</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2</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从事雷电防护装置检测活动，应当遵守国家有关技术规范和标准</w:t>
            </w:r>
          </w:p>
        </w:tc>
        <w:tc>
          <w:tcPr>
            <w:tcW w:w="4445" w:type="dxa"/>
          </w:tcPr>
          <w:p w:rsidR="00F15E3C">
            <w:pPr>
              <w:widowControl/>
              <w:spacing w:line="340" w:lineRule="exact"/>
              <w:jc w:val="left"/>
              <w:textAlignment w:val="center"/>
              <w:rPr>
                <w:rFonts w:ascii="宋体" w:hAnsi="宋体" w:cs="宋体"/>
                <w:bCs/>
                <w:color w:val="000000"/>
                <w:sz w:val="18"/>
                <w:szCs w:val="18"/>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第十七条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rPr>
          <w:trHeight w:val="2159"/>
        </w:trPr>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3</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出具的雷电防护装置检测数据、结果应当真实、客观、准确，并对雷电防护装置检测数据、结果负责</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第十八条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《防雷减灾管理办法（修订）》（中国气象局令第24号）第十八条、第二十一条第二款</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《广东省防御雷电灾害管理规定》（广东省人民政府令第284号）第十七条第四款</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4</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不得与检测项目的设计、施工、监理单位以及防雷产品生产、销售单位有隶属关系或者其他利害关系</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第十九条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5</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从取得资质证后次年起，在每年的第二季度向资质认定机构报送年度报告</w:t>
            </w:r>
          </w:p>
        </w:tc>
        <w:tc>
          <w:tcPr>
            <w:tcW w:w="4445" w:type="dxa"/>
          </w:tcPr>
          <w:p w:rsidR="00F15E3C">
            <w:pPr>
              <w:widowControl/>
              <w:spacing w:line="340" w:lineRule="exact"/>
              <w:jc w:val="left"/>
              <w:textAlignment w:val="center"/>
              <w:rPr>
                <w:rFonts w:ascii="宋体" w:hAnsi="宋体" w:cs="宋体"/>
                <w:bCs/>
                <w:color w:val="000000"/>
                <w:sz w:val="18"/>
                <w:szCs w:val="18"/>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第二十条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6</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检测人员具备雷电防护装置检测能力，且不得同时在两个以上雷电防护装置检测资质单位兼职从业</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第七条第（三）项、第二十四条第二款</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7</w:t>
            </w:r>
            <w:r>
              <w:rPr>
                <w:rFonts w:ascii="宋体" w:hAnsi="宋体" w:cs="宋体" w:hint="eastAsia"/>
                <w:bCs/>
                <w:color w:val="000000"/>
                <w:kern w:val="0"/>
                <w:sz w:val="18"/>
                <w:szCs w:val="18"/>
                <w:lang w:bidi="ar"/>
              </w:rPr>
              <w:t>.</w:t>
            </w:r>
            <w:r>
              <w:rPr>
                <w:rFonts w:ascii="宋体" w:hAnsi="宋体" w:cs="宋体" w:hint="eastAsia"/>
                <w:bCs/>
                <w:color w:val="000000"/>
                <w:sz w:val="18"/>
                <w:szCs w:val="18"/>
              </w:rPr>
              <w:t>检测仪器仪表在计量有效期内</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第七条第（六）项</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8</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雷电防护装置检测单位应对检测合格的雷电防护装置出具检测报告和检测标识</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《广东省防御雷电灾害管理规定》（广东省人民政府令第284号）第十八条第二款</w:t>
            </w:r>
          </w:p>
        </w:tc>
        <w:tc>
          <w:tcPr>
            <w:tcW w:w="3156"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对检测不合格的雷电防护装置，应当提出整改意见；拒不整改或者整改不合格的，雷电防护装置检测单位应当报告当地气象主管机构</w:t>
            </w: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9</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设立分支机构或跨省、自治区、直辖市从事检测业务的，接受当地气象主管机构监管</w:t>
            </w:r>
          </w:p>
        </w:tc>
        <w:tc>
          <w:tcPr>
            <w:tcW w:w="4445" w:type="dxa"/>
          </w:tcPr>
          <w:p w:rsidR="00F15E3C">
            <w:pPr>
              <w:widowControl/>
              <w:spacing w:line="340" w:lineRule="exact"/>
              <w:jc w:val="left"/>
              <w:textAlignment w:val="center"/>
              <w:rPr>
                <w:rFonts w:ascii="宋体" w:hAnsi="宋体" w:cs="宋体"/>
                <w:bCs/>
                <w:color w:val="000000"/>
                <w:sz w:val="18"/>
                <w:szCs w:val="18"/>
              </w:rPr>
            </w:pPr>
            <w:r>
              <w:rPr>
                <w:rFonts w:ascii="宋体" w:hAnsi="宋体" w:cs="宋体" w:hint="eastAsia"/>
                <w:bCs/>
                <w:color w:val="000000"/>
                <w:sz w:val="18"/>
                <w:szCs w:val="18"/>
              </w:rPr>
              <w:t>《雷电防护装置检测资质管理办法》</w:t>
            </w:r>
            <w:r>
              <w:rPr>
                <w:rFonts w:hint="eastAsia"/>
                <w:color w:val="000000"/>
                <w:sz w:val="18"/>
                <w:szCs w:val="18"/>
              </w:rPr>
              <w:t>（中国气象局令第</w:t>
            </w:r>
            <w:r>
              <w:rPr>
                <w:rFonts w:hint="eastAsia"/>
                <w:color w:val="000000"/>
                <w:sz w:val="18"/>
                <w:szCs w:val="18"/>
              </w:rPr>
              <w:t>38</w:t>
            </w:r>
            <w:r>
              <w:rPr>
                <w:rFonts w:hint="eastAsia"/>
                <w:color w:val="000000"/>
                <w:sz w:val="18"/>
                <w:szCs w:val="18"/>
              </w:rPr>
              <w:t>号）</w:t>
            </w:r>
            <w:r>
              <w:rPr>
                <w:rFonts w:ascii="宋体" w:hAnsi="宋体" w:cs="宋体" w:hint="eastAsia"/>
                <w:bCs/>
                <w:color w:val="000000"/>
                <w:kern w:val="0"/>
                <w:sz w:val="18"/>
                <w:szCs w:val="18"/>
                <w:lang w:bidi="ar"/>
              </w:rPr>
              <w:t>第二十三条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Merge/>
            <w:vAlign w:val="center"/>
          </w:tcPr>
          <w:p w:rsidR="00F15E3C">
            <w:pPr>
              <w:widowControl/>
              <w:spacing w:line="340" w:lineRule="exact"/>
              <w:jc w:val="left"/>
              <w:textAlignment w:val="center"/>
              <w:rPr>
                <w:rFonts w:ascii="宋体" w:hAnsi="宋体" w:cs="宋体"/>
                <w:bCs/>
                <w:color w:val="000000"/>
                <w:kern w:val="0"/>
                <w:sz w:val="18"/>
                <w:szCs w:val="18"/>
                <w:lang w:bidi="ar"/>
              </w:rPr>
            </w:pP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10</w:t>
            </w:r>
            <w:r>
              <w:rPr>
                <w:rFonts w:ascii="宋体" w:hAnsi="宋体" w:cs="宋体" w:hint="eastAsia"/>
                <w:bCs/>
                <w:color w:val="000000"/>
                <w:kern w:val="0"/>
                <w:sz w:val="18"/>
                <w:szCs w:val="18"/>
                <w:lang w:bidi="ar"/>
              </w:rPr>
              <w:t>.</w:t>
            </w:r>
            <w:r>
              <w:rPr>
                <w:rFonts w:ascii="宋体" w:hAnsi="宋体" w:cs="宋体" w:hint="eastAsia"/>
                <w:bCs/>
                <w:color w:val="000000"/>
                <w:kern w:val="0"/>
                <w:sz w:val="18"/>
                <w:szCs w:val="18"/>
                <w:lang w:bidi="ar"/>
              </w:rPr>
              <w:t>按期办理资质延续、资质变更</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sz w:val="18"/>
                <w:szCs w:val="18"/>
              </w:rPr>
              <w:t>《雷电防护装置检测资质管理办法》（中国气象局令第38号）第二十一、第二十二条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从事生产经营活动的单位及主要负责人</w:t>
            </w:r>
          </w:p>
        </w:tc>
        <w:tc>
          <w:tcPr>
            <w:tcW w:w="4447" w:type="dxa"/>
          </w:tcPr>
          <w:p w:rsidR="00F15E3C">
            <w:pPr>
              <w:widowControl/>
              <w:spacing w:line="340" w:lineRule="exact"/>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建立实施雷电灾害重大危险源辨识、监控和隐患排查、登记、治理制度，并相应做好雷电灾害重大危险源辨识、监控和隐患排查、登记、治理工作</w:t>
            </w:r>
          </w:p>
        </w:tc>
        <w:tc>
          <w:tcPr>
            <w:tcW w:w="4445" w:type="dxa"/>
          </w:tcPr>
          <w:p w:rsidR="00F15E3C">
            <w:pPr>
              <w:widowControl/>
              <w:spacing w:line="340" w:lineRule="exact"/>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《广东省安全生产条例》第十条第（三）项、第十一条第（二）项</w:t>
            </w:r>
          </w:p>
          <w:p w:rsidR="00F15E3C" w:rsidP="004C6ED2">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w:t>
            </w:r>
            <w:r>
              <w:rPr>
                <w:rFonts w:ascii="宋体" w:hAnsi="宋体" w:cs="宋体"/>
                <w:bCs/>
                <w:color w:val="000000"/>
                <w:kern w:val="0"/>
                <w:sz w:val="18"/>
                <w:szCs w:val="18"/>
                <w:lang w:bidi="ar"/>
              </w:rPr>
              <w:fldChar w:fldCharType="begin"/>
            </w:r>
            <w:r>
              <w:rPr>
                <w:rFonts w:ascii="宋体" w:hAnsi="宋体" w:cs="宋体"/>
                <w:bCs/>
                <w:color w:val="000000"/>
                <w:kern w:val="0"/>
                <w:sz w:val="18"/>
                <w:szCs w:val="18"/>
                <w:lang w:bidi="ar"/>
              </w:rPr>
              <w:instrText xml:space="preserve"> HYPERLINK "file:///C:\\新建文件夹\\防雷监管体系\\气象工作相关法律法规规章选辑（2021版）.docx" \l "广东省气象灾害防御重点单位气象安全管理办法" </w:instrText>
            </w:r>
            <w:r>
              <w:rPr>
                <w:rFonts w:ascii="宋体" w:hAnsi="宋体" w:cs="宋体"/>
                <w:bCs/>
                <w:color w:val="000000"/>
                <w:kern w:val="0"/>
                <w:sz w:val="18"/>
                <w:szCs w:val="18"/>
                <w:lang w:bidi="ar"/>
              </w:rPr>
              <w:fldChar w:fldCharType="separate"/>
            </w:r>
            <w:r>
              <w:rPr>
                <w:rFonts w:ascii="宋体" w:hAnsi="宋体" w:cs="宋体" w:hint="eastAsia"/>
                <w:bCs/>
                <w:color w:val="000000"/>
                <w:kern w:val="0"/>
                <w:sz w:val="18"/>
                <w:szCs w:val="18"/>
                <w:lang w:bidi="ar"/>
              </w:rPr>
              <w:t>广东省气象灾害防御重点单位气象安全管理办法</w:t>
            </w:r>
            <w:r>
              <w:rPr>
                <w:rFonts w:ascii="宋体" w:hAnsi="宋体" w:cs="宋体"/>
                <w:bCs/>
                <w:color w:val="000000"/>
                <w:kern w:val="0"/>
                <w:sz w:val="18"/>
                <w:szCs w:val="18"/>
                <w:lang w:bidi="ar"/>
              </w:rPr>
              <w:fldChar w:fldCharType="end"/>
            </w:r>
            <w:r>
              <w:rPr>
                <w:rFonts w:ascii="宋体" w:hAnsi="宋体" w:cs="宋体" w:hint="eastAsia"/>
                <w:bCs/>
                <w:color w:val="000000"/>
                <w:kern w:val="0"/>
                <w:sz w:val="18"/>
                <w:szCs w:val="18"/>
                <w:lang w:bidi="ar"/>
              </w:rPr>
              <w:t>》（广东省人民政府令第254号）第十九条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已安装雷电防护装置的单位或者个人</w:t>
            </w:r>
          </w:p>
        </w:tc>
        <w:tc>
          <w:tcPr>
            <w:tcW w:w="4447"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做好雷电防护装置的日常维护，并委托有相应资质的雷电防护装置检测单</w:t>
            </w:r>
            <w:bookmarkStart w:id="0" w:name="_GoBack"/>
            <w:bookmarkEnd w:id="0"/>
            <w:r>
              <w:rPr>
                <w:rFonts w:ascii="宋体" w:hAnsi="宋体" w:cs="宋体" w:hint="eastAsia"/>
                <w:bCs/>
                <w:color w:val="000000"/>
                <w:kern w:val="0"/>
                <w:sz w:val="18"/>
                <w:szCs w:val="18"/>
                <w:lang w:bidi="ar"/>
              </w:rPr>
              <w:t>位进行定期检测</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《防雷减灾管理办法（修订）》（中国气象局令第24号）第十九条、第二十二条、第二十三条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w:t>
            </w:r>
            <w:r>
              <w:rPr>
                <w:rFonts w:ascii="宋体" w:hAnsi="宋体" w:cs="宋体"/>
                <w:bCs/>
                <w:color w:val="000000"/>
                <w:kern w:val="0"/>
                <w:sz w:val="18"/>
                <w:szCs w:val="18"/>
                <w:lang w:bidi="ar"/>
              </w:rPr>
              <w:fldChar w:fldCharType="begin"/>
            </w:r>
            <w:r>
              <w:rPr>
                <w:rFonts w:ascii="宋体" w:hAnsi="宋体" w:cs="宋体"/>
                <w:bCs/>
                <w:color w:val="000000"/>
                <w:kern w:val="0"/>
                <w:sz w:val="18"/>
                <w:szCs w:val="18"/>
                <w:lang w:bidi="ar"/>
              </w:rPr>
              <w:instrText xml:space="preserve"> HYPERLINK "file:///C:\\新建文件夹\\防雷监管体系\\气象工作相关法律法规规章选辑（2021版）.docx" \l "广东省气象灾害防御重点单位气象安全管理办法" </w:instrText>
            </w:r>
            <w:r>
              <w:rPr>
                <w:rFonts w:ascii="宋体" w:hAnsi="宋体" w:cs="宋体"/>
                <w:bCs/>
                <w:color w:val="000000"/>
                <w:kern w:val="0"/>
                <w:sz w:val="18"/>
                <w:szCs w:val="18"/>
                <w:lang w:bidi="ar"/>
              </w:rPr>
              <w:fldChar w:fldCharType="separate"/>
            </w:r>
            <w:r>
              <w:rPr>
                <w:rFonts w:ascii="宋体" w:hAnsi="宋体" w:cs="宋体" w:hint="eastAsia"/>
                <w:bCs/>
                <w:color w:val="000000"/>
                <w:kern w:val="0"/>
                <w:sz w:val="18"/>
                <w:szCs w:val="18"/>
                <w:lang w:bidi="ar"/>
              </w:rPr>
              <w:t>广东省气象灾害防御重点单位气象安全管理办法</w:t>
            </w:r>
            <w:r>
              <w:rPr>
                <w:rFonts w:ascii="宋体" w:hAnsi="宋体" w:cs="宋体"/>
                <w:bCs/>
                <w:color w:val="000000"/>
                <w:kern w:val="0"/>
                <w:sz w:val="18"/>
                <w:szCs w:val="18"/>
                <w:lang w:bidi="ar"/>
              </w:rPr>
              <w:fldChar w:fldCharType="end"/>
            </w:r>
            <w:r>
              <w:rPr>
                <w:rFonts w:ascii="宋体" w:hAnsi="宋体" w:cs="宋体" w:hint="eastAsia"/>
                <w:bCs/>
                <w:color w:val="000000"/>
                <w:kern w:val="0"/>
                <w:sz w:val="18"/>
                <w:szCs w:val="18"/>
                <w:lang w:bidi="ar"/>
              </w:rPr>
              <w:t>》（广东省人民政府令第254号）第二十条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《广东省防御雷电灾害管理规定》（广东省人民政府令第284号）第十八条、第二十条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雷电防护装置应当每年检测一次，爆炸和火灾危险环境场所的雷电防护装置应当每半年检测一次；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有物业服务人的，物业服务人应当按照物业服务合同的约定对物业服务区域内的雷电防护装置进行维护管理和委托检测。同时接受气象主管机构和人民政府安全生产管理部门的监督管理</w:t>
            </w: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自由贸易试验区、开发区、产业园区、新区及其他有条件区域管理部门</w:t>
            </w:r>
          </w:p>
        </w:tc>
        <w:tc>
          <w:tcPr>
            <w:tcW w:w="4447"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应当开展工程建设项目区域雷电灾害风险评估</w:t>
            </w:r>
          </w:p>
        </w:tc>
        <w:tc>
          <w:tcPr>
            <w:tcW w:w="444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《气象灾害防御条例》第二十七条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《广东省气象灾害防御条例》第二十一条</w:t>
            </w:r>
          </w:p>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《广东省防御雷电灾害管理规定》（广东省人民政府令第284号）第十一条第二款</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雷电防护装置设计</w:t>
            </w:r>
            <w:r>
              <w:rPr>
                <w:rFonts w:ascii="宋体" w:hAnsi="宋体" w:hint="eastAsia"/>
                <w:color w:val="000000"/>
                <w:sz w:val="18"/>
                <w:szCs w:val="18"/>
              </w:rPr>
              <w:t>技术评价机构</w:t>
            </w: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遵守国家有关标准、规范、规程，</w:t>
            </w:r>
            <w:r>
              <w:rPr>
                <w:rFonts w:hint="eastAsia"/>
                <w:color w:val="000000"/>
                <w:sz w:val="18"/>
                <w:szCs w:val="18"/>
              </w:rPr>
              <w:t>对</w:t>
            </w:r>
            <w:r>
              <w:rPr>
                <w:rFonts w:ascii="宋体" w:hAnsi="宋体" w:cs="宋体" w:hint="eastAsia"/>
                <w:bCs/>
                <w:color w:val="000000"/>
                <w:kern w:val="0"/>
                <w:sz w:val="18"/>
                <w:szCs w:val="18"/>
                <w:lang w:bidi="ar"/>
              </w:rPr>
              <w:t>出</w:t>
            </w:r>
            <w:r>
              <w:rPr>
                <w:rFonts w:hint="eastAsia"/>
                <w:color w:val="000000"/>
                <w:sz w:val="18"/>
                <w:szCs w:val="18"/>
              </w:rPr>
              <w:t>具的技术评价报告负责</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sz w:val="18"/>
                <w:szCs w:val="18"/>
              </w:rPr>
              <w:t>《雷电防护装置设计审核和竣工验收规定》（中国气象局令第37号）第九条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r>
        <w:tblPrEx>
          <w:tblW w:w="14283" w:type="dxa"/>
          <w:tblLayout w:type="fixed"/>
          <w:tblLook w:val="04A0"/>
        </w:tblPrEx>
        <w:tc>
          <w:tcPr>
            <w:tcW w:w="2235" w:type="dxa"/>
            <w:vAlign w:val="center"/>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防雷行业协会</w:t>
            </w:r>
          </w:p>
        </w:tc>
        <w:tc>
          <w:tcPr>
            <w:tcW w:w="4447"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加强行业自律，规范行业行为</w:t>
            </w:r>
          </w:p>
        </w:tc>
        <w:tc>
          <w:tcPr>
            <w:tcW w:w="4445" w:type="dxa"/>
          </w:tcPr>
          <w:p w:rsidR="00F15E3C">
            <w:pPr>
              <w:widowControl/>
              <w:spacing w:line="340" w:lineRule="exact"/>
              <w:jc w:val="left"/>
              <w:textAlignment w:val="center"/>
              <w:rPr>
                <w:rFonts w:ascii="宋体" w:hAnsi="宋体" w:cs="宋体"/>
                <w:bCs/>
                <w:color w:val="000000"/>
                <w:kern w:val="0"/>
                <w:sz w:val="18"/>
                <w:szCs w:val="18"/>
                <w:lang w:bidi="ar"/>
              </w:rPr>
            </w:pPr>
            <w:r>
              <w:rPr>
                <w:rFonts w:ascii="宋体" w:hAnsi="宋体" w:cs="宋体" w:hint="eastAsia"/>
                <w:bCs/>
                <w:color w:val="000000"/>
                <w:kern w:val="0"/>
                <w:sz w:val="18"/>
                <w:szCs w:val="18"/>
                <w:lang w:bidi="ar"/>
              </w:rPr>
              <w:t>《广东省防御雷电灾害管理规定》（广东省人民政府令第284号）第七条</w:t>
            </w:r>
          </w:p>
        </w:tc>
        <w:tc>
          <w:tcPr>
            <w:tcW w:w="3156" w:type="dxa"/>
          </w:tcPr>
          <w:p w:rsidR="00F15E3C">
            <w:pPr>
              <w:widowControl/>
              <w:spacing w:line="340" w:lineRule="exact"/>
              <w:jc w:val="left"/>
              <w:textAlignment w:val="center"/>
              <w:rPr>
                <w:rFonts w:ascii="宋体" w:hAnsi="宋体" w:cs="宋体"/>
                <w:bCs/>
                <w:color w:val="000000"/>
                <w:kern w:val="0"/>
                <w:sz w:val="18"/>
                <w:szCs w:val="18"/>
                <w:lang w:bidi="ar"/>
              </w:rPr>
            </w:pPr>
          </w:p>
        </w:tc>
      </w:tr>
    </w:tbl>
    <w:p w:rsidR="00F15E3C">
      <w:pPr>
        <w:widowControl/>
        <w:textAlignment w:val="center"/>
        <w:rPr>
          <w:b/>
          <w:bCs/>
        </w:rPr>
      </w:pPr>
    </w:p>
    <w:p w:rsidR="00F15E3C"/>
    <w:sectPr w:rsidSect="00B70A89">
      <w:headerReference w:type="even" r:id="rId5"/>
      <w:headerReference w:type="default" r:id="rId6"/>
      <w:footerReference w:type="even" r:id="rId7"/>
      <w:footerReference w:type="default" r:id="rId8"/>
      <w:pgSz w:w="16838" w:h="11906" w:orient="landscape"/>
      <w:pgMar w:top="1179" w:right="1440" w:bottom="1179" w:left="1440" w:header="851" w:footer="992" w:gutter="0"/>
      <w:cols w:space="720"/>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A89" w:rsidRPr="00B70A89">
    <w:pPr>
      <w:pStyle w:val="Footer"/>
      <w:ind w:firstLine="280" w:firstLineChars="100"/>
      <w:rPr>
        <w:rFonts w:ascii="宋体" w:hAnsi="宋体"/>
        <w:sz w:val="28"/>
      </w:rPr>
    </w:pP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sidR="004C6ED2">
      <w:rPr>
        <w:rFonts w:ascii="宋体" w:hAnsi="宋体"/>
        <w:noProof/>
        <w:sz w:val="28"/>
      </w:rPr>
      <w:t>4</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A89" w:rsidRPr="00B70A89">
    <w:pPr>
      <w:pStyle w:val="Footer"/>
      <w:ind w:right="280" w:rightChars="100"/>
      <w:jc w:val="right"/>
      <w:rPr>
        <w:rFonts w:ascii="宋体" w:hAnsi="宋体"/>
        <w:sz w:val="28"/>
      </w:rPr>
    </w:pP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sidR="004C6ED2">
      <w:rPr>
        <w:rFonts w:ascii="宋体" w:hAnsi="宋体"/>
        <w:noProof/>
        <w:sz w:val="28"/>
      </w:rPr>
      <w:t>3</w:t>
    </w:r>
    <w:r>
      <w:rPr>
        <w:rFonts w:ascii="宋体" w:hAnsi="宋体"/>
        <w:sz w:val="28"/>
      </w:rPr>
      <w:fldChar w:fldCharType="end"/>
    </w:r>
    <w:r>
      <w:rPr>
        <w:rFonts w:ascii="宋体" w:hAnsi="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A8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A89">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revisionView w:comments="1" w:formatting="1" w:inkAnnotations="1" w:insDel="1" w:markup="0"/>
  <w:trackRevisions/>
  <w:defaultTabStop w:val="420"/>
  <w:evenAndOddHeaders/>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hAnsi="Calibri" w:cs="微软雅黑"/>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B70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B70A89"/>
    <w:rPr>
      <w:rFonts w:ascii="Calibri" w:hAnsi="Calibri" w:cs="微软雅黑"/>
      <w:kern w:val="2"/>
      <w:sz w:val="18"/>
      <w:szCs w:val="18"/>
    </w:rPr>
  </w:style>
  <w:style w:type="paragraph" w:styleId="Footer">
    <w:name w:val="footer"/>
    <w:basedOn w:val="Normal"/>
    <w:link w:val="Char0"/>
    <w:rsid w:val="00B70A89"/>
    <w:pPr>
      <w:tabs>
        <w:tab w:val="center" w:pos="4153"/>
        <w:tab w:val="right" w:pos="8306"/>
      </w:tabs>
      <w:snapToGrid w:val="0"/>
      <w:jc w:val="left"/>
    </w:pPr>
    <w:rPr>
      <w:sz w:val="18"/>
      <w:szCs w:val="18"/>
    </w:rPr>
  </w:style>
  <w:style w:type="character" w:customStyle="1" w:styleId="Char0">
    <w:name w:val="页脚 Char"/>
    <w:basedOn w:val="DefaultParagraphFont"/>
    <w:link w:val="Footer"/>
    <w:rsid w:val="00B70A89"/>
    <w:rPr>
      <w:rFonts w:ascii="Calibri" w:hAnsi="Calibri" w:cs="微软雅黑"/>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10</TotalTime>
  <Pages>4</Pages>
  <Words>2581</Words>
  <Characters>402</Characters>
  <Application>Microsoft Office Word</Application>
  <DocSecurity>0</DocSecurity>
  <Lines>3</Lines>
  <Paragraphs>5</Paragraphs>
  <ScaleCrop>false</ScaleCrop>
  <Company>P R C</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子默</dc:creator>
  <cp:lastModifiedBy>广东局文秘(核稿)</cp:lastModifiedBy>
  <cp:revision>5</cp:revision>
  <dcterms:created xsi:type="dcterms:W3CDTF">2021-12-02T02:51:00Z</dcterms:created>
  <dcterms:modified xsi:type="dcterms:W3CDTF">2021-12-07T08:38:00Z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