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黑体" w:eastAsia="方正小标宋简体" w:cs="黑体"/>
          <w:color w:val="000000" w:themeColor="text1"/>
          <w:sz w:val="44"/>
          <w:szCs w:val="44"/>
          <w14:textFill>
            <w14:solidFill>
              <w14:schemeClr w14:val="tx1"/>
            </w14:solidFill>
          </w14:textFill>
        </w:rPr>
      </w:pPr>
      <w:r>
        <w:rPr>
          <w:rFonts w:hint="eastAsia" w:ascii="方正小标宋简体" w:hAnsi="黑体" w:eastAsia="方正小标宋简体" w:cs="黑体"/>
          <w:color w:val="000000" w:themeColor="text1"/>
          <w:sz w:val="44"/>
          <w:szCs w:val="44"/>
          <w14:textFill>
            <w14:solidFill>
              <w14:schemeClr w14:val="tx1"/>
            </w14:solidFill>
          </w14:textFill>
        </w:rPr>
        <w:t>广东省雷电防护装置检测单位登记公示</w:t>
      </w:r>
    </w:p>
    <w:p>
      <w:pPr>
        <w:spacing w:line="600" w:lineRule="exact"/>
        <w:jc w:val="center"/>
        <w:rPr>
          <w:rFonts w:hint="eastAsia" w:ascii="方正小标宋简体" w:hAnsi="黑体" w:eastAsia="方正小标宋简体" w:cs="黑体"/>
          <w:color w:val="000000" w:themeColor="text1"/>
          <w:sz w:val="44"/>
          <w:szCs w:val="44"/>
          <w14:textFill>
            <w14:solidFill>
              <w14:schemeClr w14:val="tx1"/>
            </w14:solidFill>
          </w14:textFill>
        </w:rPr>
      </w:pPr>
      <w:r>
        <w:rPr>
          <w:rFonts w:hint="eastAsia" w:ascii="方正小标宋简体" w:hAnsi="黑体" w:eastAsia="方正小标宋简体" w:cs="黑体"/>
          <w:color w:val="000000" w:themeColor="text1"/>
          <w:sz w:val="44"/>
          <w:szCs w:val="44"/>
          <w14:textFill>
            <w14:solidFill>
              <w14:schemeClr w14:val="tx1"/>
            </w14:solidFill>
          </w14:textFill>
        </w:rPr>
        <w:t>实施办法起草说明</w:t>
      </w:r>
    </w:p>
    <w:p>
      <w:pPr>
        <w:widowControl w:val="0"/>
        <w:spacing w:line="600" w:lineRule="exact"/>
        <w:ind w:firstLine="640" w:firstLineChars="200"/>
        <w:jc w:val="left"/>
        <w:rPr>
          <w:rFonts w:hint="eastAsia" w:ascii="黑体" w:hAnsi="黑体" w:eastAsia="黑体" w:cs="黑体"/>
          <w:color w:val="000000" w:themeColor="text1"/>
          <w:kern w:val="2"/>
          <w:sz w:val="32"/>
          <w:szCs w:val="32"/>
          <w:lang w:val="en-US" w:eastAsia="zh-CN" w:bidi="ar-SA"/>
          <w14:textFill>
            <w14:solidFill>
              <w14:schemeClr w14:val="tx1"/>
            </w14:solidFill>
          </w14:textFill>
        </w:rPr>
      </w:pPr>
    </w:p>
    <w:p>
      <w:pPr>
        <w:widowControl w:val="0"/>
        <w:spacing w:line="600" w:lineRule="exact"/>
        <w:ind w:firstLine="640" w:firstLineChars="200"/>
        <w:jc w:val="left"/>
        <w:rPr>
          <w:rFonts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一</w:t>
      </w:r>
      <w:r>
        <w:rPr>
          <w:rFonts w:ascii="黑体" w:hAnsi="黑体" w:eastAsia="黑体" w:cs="黑体"/>
          <w:color w:val="000000" w:themeColor="text1"/>
          <w:kern w:val="2"/>
          <w:sz w:val="32"/>
          <w:szCs w:val="32"/>
          <w:lang w:val="en-US" w:eastAsia="zh-CN" w:bidi="ar-SA"/>
          <w14:textFill>
            <w14:solidFill>
              <w14:schemeClr w14:val="tx1"/>
            </w14:solidFill>
          </w14:textFill>
        </w:rPr>
        <w:t>、</w:t>
      </w:r>
      <w:r>
        <w:rPr>
          <w:rFonts w:hint="eastAsia" w:ascii="黑体" w:hAnsi="黑体" w:eastAsia="黑体" w:cs="黑体"/>
          <w:color w:val="000000" w:themeColor="text1"/>
          <w:kern w:val="2"/>
          <w:sz w:val="32"/>
          <w:szCs w:val="32"/>
          <w:lang w:val="en-US" w:eastAsia="zh-CN" w:bidi="ar-SA"/>
          <w14:textFill>
            <w14:solidFill>
              <w14:schemeClr w14:val="tx1"/>
            </w14:solidFill>
          </w14:textFill>
        </w:rPr>
        <w:t>制定目的</w:t>
      </w:r>
    </w:p>
    <w:p>
      <w:pPr>
        <w:widowControl w:val="0"/>
        <w:spacing w:line="600" w:lineRule="exact"/>
        <w:ind w:firstLine="640" w:firstLineChars="200"/>
        <w:jc w:val="left"/>
        <w:rPr>
          <w:rFonts w:ascii="仿宋_GB2312" w:hAnsi="仿宋" w:eastAsia="仿宋_GB2312" w:cs="黑体"/>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2016年，国务院印发《国务院关于优化建设工程防雷许可的决定》（国发〔2016〕39号），要求进一步强化建设工程防雷安全监管，全面开放防雷装置检测市场。为贯彻落实39号文件精神，2016年广东省人民政府办公厅印发《广东省人民政府办公厅关于做好优化建设工程防雷许可有关工作的通知》（粤府办〔2016〕131号），要求强化建设工程防雷安全监管，规范防雷检测行为。为了加强防雷事中事后监管，规范防雷装置检测市场主体从业行为，广东省气象局组织起草了《广东省雷电防护装置检测单位登记公示实施办法》（以下简称《实施办法》），对在我省范围内从事防雷装置检测活动的雷电防护装置检测单位登记公示进行了规范。</w:t>
      </w:r>
    </w:p>
    <w:p>
      <w:pPr>
        <w:widowControl w:val="0"/>
        <w:spacing w:line="600" w:lineRule="exact"/>
        <w:ind w:firstLine="640" w:firstLineChars="200"/>
        <w:jc w:val="left"/>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二</w:t>
      </w:r>
      <w:r>
        <w:rPr>
          <w:rFonts w:ascii="黑体" w:hAnsi="黑体" w:eastAsia="黑体" w:cs="黑体"/>
          <w:color w:val="000000" w:themeColor="text1"/>
          <w:kern w:val="2"/>
          <w:sz w:val="32"/>
          <w:szCs w:val="32"/>
          <w:lang w:val="en-US" w:eastAsia="zh-CN" w:bidi="ar-SA"/>
          <w14:textFill>
            <w14:solidFill>
              <w14:schemeClr w14:val="tx1"/>
            </w14:solidFill>
          </w14:textFill>
        </w:rPr>
        <w:t>、</w:t>
      </w:r>
      <w:r>
        <w:rPr>
          <w:rFonts w:hint="eastAsia" w:ascii="黑体" w:hAnsi="黑体" w:eastAsia="黑体" w:cs="黑体"/>
          <w:color w:val="000000" w:themeColor="text1"/>
          <w:kern w:val="2"/>
          <w:sz w:val="32"/>
          <w:szCs w:val="32"/>
          <w:lang w:val="en-US" w:eastAsia="zh-CN" w:bidi="ar-SA"/>
          <w14:textFill>
            <w14:solidFill>
              <w14:schemeClr w14:val="tx1"/>
            </w14:solidFill>
          </w14:textFill>
        </w:rPr>
        <w:t>制定依据</w:t>
      </w:r>
    </w:p>
    <w:p>
      <w:pPr>
        <w:widowControl w:val="0"/>
        <w:spacing w:line="600" w:lineRule="exact"/>
        <w:ind w:firstLine="640" w:firstLineChars="200"/>
        <w:jc w:val="left"/>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依据</w:t>
      </w:r>
      <w:r>
        <w:rPr>
          <w:rFonts w:hint="eastAsia" w:ascii="华文仿宋" w:hAnsi="华文仿宋" w:eastAsia="华文仿宋" w:cs="黑体"/>
          <w:color w:val="000000" w:themeColor="text1"/>
          <w:kern w:val="2"/>
          <w:sz w:val="32"/>
          <w:szCs w:val="32"/>
          <w:lang w:val="en-US" w:eastAsia="zh-CN" w:bidi="ar-SA"/>
          <w14:textFill>
            <w14:solidFill>
              <w14:schemeClr w14:val="tx1"/>
            </w14:solidFill>
          </w14:textFill>
        </w:rPr>
        <w:t>《广东省市场监管条例》、</w:t>
      </w:r>
      <w:r>
        <w:rPr>
          <w:rFonts w:hint="eastAsia" w:ascii="仿宋_GB2312" w:hAnsi="仿宋" w:eastAsia="仿宋_GB2312"/>
          <w:color w:val="000000"/>
          <w:sz w:val="32"/>
          <w:szCs w:val="32"/>
        </w:rPr>
        <w:t>《广东省</w:t>
      </w:r>
      <w:r>
        <w:rPr>
          <w:rFonts w:hint="eastAsia" w:ascii="仿宋_GB2312" w:hAnsi="仿宋" w:eastAsia="仿宋_GB2312"/>
          <w:color w:val="000000"/>
          <w:sz w:val="32"/>
          <w:szCs w:val="32"/>
          <w:lang w:eastAsia="zh-CN"/>
        </w:rPr>
        <w:t>社会信用条例</w:t>
      </w:r>
      <w:r>
        <w:rPr>
          <w:rFonts w:hint="eastAsia" w:ascii="仿宋_GB2312" w:hAnsi="仿宋" w:eastAsia="仿宋_GB2312"/>
          <w:color w:val="000000"/>
          <w:sz w:val="32"/>
          <w:szCs w:val="32"/>
        </w:rPr>
        <w:t>》、</w:t>
      </w:r>
      <w:r>
        <w:rPr>
          <w:rFonts w:hint="eastAsia" w:ascii="华文仿宋" w:hAnsi="华文仿宋" w:eastAsia="华文仿宋" w:cs="黑体"/>
          <w:color w:val="000000" w:themeColor="text1"/>
          <w:kern w:val="2"/>
          <w:sz w:val="32"/>
          <w:szCs w:val="32"/>
          <w:lang w:val="en-US" w:eastAsia="zh-CN" w:bidi="ar-SA"/>
          <w14:textFill>
            <w14:solidFill>
              <w14:schemeClr w14:val="tx1"/>
            </w14:solidFill>
          </w14:textFill>
        </w:rPr>
        <w:t>《雷电防护装置检测资质管理办法》</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等有关法规规章的的要求，制定本办法。</w:t>
      </w:r>
    </w:p>
    <w:p>
      <w:pPr>
        <w:widowControl w:val="0"/>
        <w:spacing w:line="600" w:lineRule="exact"/>
        <w:ind w:firstLine="640" w:firstLineChars="200"/>
        <w:jc w:val="left"/>
        <w:rPr>
          <w:rFonts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三、必要性和可行性</w:t>
      </w:r>
    </w:p>
    <w:p>
      <w:pPr>
        <w:widowControl w:val="0"/>
        <w:spacing w:line="600" w:lineRule="exact"/>
        <w:ind w:firstLine="640" w:firstLineChars="200"/>
        <w:jc w:val="left"/>
        <w:rPr>
          <w:rFonts w:hint="eastAsia" w:ascii="楷体_GB2312" w:hAnsi="仿宋" w:eastAsia="楷体_GB2312" w:cs="黑体"/>
          <w:color w:val="000000" w:themeColor="text1"/>
          <w:kern w:val="2"/>
          <w:sz w:val="32"/>
          <w:szCs w:val="32"/>
          <w:lang w:val="en-US" w:eastAsia="zh-CN" w:bidi="ar-SA"/>
          <w14:textFill>
            <w14:solidFill>
              <w14:schemeClr w14:val="tx1"/>
            </w14:solidFill>
          </w14:textFill>
        </w:rPr>
      </w:pPr>
      <w:r>
        <w:rPr>
          <w:rFonts w:hint="eastAsia" w:ascii="楷体_GB2312" w:hAnsi="仿宋" w:eastAsia="楷体_GB2312" w:cs="黑体"/>
          <w:color w:val="000000" w:themeColor="text1"/>
          <w:kern w:val="2"/>
          <w:sz w:val="32"/>
          <w:szCs w:val="32"/>
          <w:lang w:val="en-US" w:eastAsia="zh-CN" w:bidi="ar-SA"/>
          <w14:textFill>
            <w14:solidFill>
              <w14:schemeClr w14:val="tx1"/>
            </w14:solidFill>
          </w14:textFill>
        </w:rPr>
        <w:t>（一）必要性</w:t>
      </w:r>
    </w:p>
    <w:p>
      <w:pPr>
        <w:widowControl w:val="0"/>
        <w:spacing w:line="600" w:lineRule="exact"/>
        <w:ind w:firstLine="640" w:firstLineChars="200"/>
        <w:jc w:val="left"/>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pPr>
      <w:r>
        <w:rPr>
          <w:rFonts w:hint="eastAsia" w:ascii="仿宋_GB2312" w:hAnsi="华文仿宋" w:eastAsia="仿宋_GB2312" w:cs="仿宋_GB2312"/>
          <w:color w:val="000000" w:themeColor="text1"/>
          <w:kern w:val="2"/>
          <w:sz w:val="32"/>
          <w:szCs w:val="32"/>
          <w:lang w:val="en-US" w:eastAsia="zh-CN" w:bidi="ar-SA"/>
          <w14:textFill>
            <w14:solidFill>
              <w14:schemeClr w14:val="tx1"/>
            </w14:solidFill>
          </w14:textFill>
        </w:rPr>
        <w:t>广东属雷暴高发区，是全国雷电灾害最严重的省份之一，</w:t>
      </w:r>
      <w:r>
        <w:rPr>
          <w:rFonts w:hint="eastAsia" w:ascii="仿宋_GB2312" w:hAnsi="仿宋" w:eastAsia="仿宋_GB2312" w:cs="仿宋_GB2312"/>
          <w:color w:val="000000" w:themeColor="text1"/>
          <w:kern w:val="2"/>
          <w:sz w:val="32"/>
          <w:szCs w:val="32"/>
          <w:lang w:val="en-US" w:eastAsia="zh-CN" w:bidi="ar-SA"/>
          <w14:textFill>
            <w14:solidFill>
              <w14:schemeClr w14:val="tx1"/>
            </w14:solidFill>
          </w14:textFill>
        </w:rPr>
        <w:t>雷电天气具有频次高、强度大、分布广、致灾重等特点，据统计，</w:t>
      </w:r>
      <w:r>
        <w:rPr>
          <w:rFonts w:hint="eastAsia" w:ascii="仿宋_GB2312" w:hAnsi="华文仿宋" w:eastAsia="仿宋_GB2312" w:cs="仿宋_GB2312"/>
          <w:color w:val="000000" w:themeColor="text1"/>
          <w:kern w:val="2"/>
          <w:sz w:val="32"/>
          <w:szCs w:val="32"/>
          <w:lang w:val="en-US" w:eastAsia="zh-CN" w:bidi="ar-SA"/>
          <w14:textFill>
            <w14:solidFill>
              <w14:schemeClr w14:val="tx1"/>
            </w14:solidFill>
          </w14:textFill>
        </w:rPr>
        <w:t>过去15年我省平均每年因雷电灾害死亡68人，占气象灾害总伤亡人数的34%。雷电灾害已成为广东仅次于台风、暴雨的重大自然灾害之一。防雷</w:t>
      </w:r>
      <w:r>
        <w:rPr>
          <w:rFonts w:ascii="仿宋_GB2312" w:hAnsi="华文仿宋" w:eastAsia="仿宋_GB2312" w:cs="仿宋_GB2312"/>
          <w:color w:val="000000" w:themeColor="text1"/>
          <w:kern w:val="2"/>
          <w:sz w:val="32"/>
          <w:szCs w:val="32"/>
          <w:lang w:val="en-US" w:eastAsia="zh-CN" w:bidi="ar-SA"/>
          <w14:textFill>
            <w14:solidFill>
              <w14:schemeClr w14:val="tx1"/>
            </w14:solidFill>
          </w14:textFill>
        </w:rPr>
        <w:t>减灾</w:t>
      </w:r>
      <w:r>
        <w:rPr>
          <w:rFonts w:hint="eastAsia" w:ascii="仿宋_GB2312" w:hAnsi="华文仿宋" w:eastAsia="仿宋_GB2312" w:cs="仿宋_GB2312"/>
          <w:color w:val="000000" w:themeColor="text1"/>
          <w:kern w:val="2"/>
          <w:sz w:val="32"/>
          <w:szCs w:val="32"/>
          <w:lang w:val="en-US" w:eastAsia="zh-CN" w:bidi="ar-SA"/>
          <w14:textFill>
            <w14:solidFill>
              <w14:schemeClr w14:val="tx1"/>
            </w14:solidFill>
          </w14:textFill>
        </w:rPr>
        <w:t>工作事关社会</w:t>
      </w:r>
      <w:r>
        <w:rPr>
          <w:rFonts w:ascii="仿宋_GB2312" w:hAnsi="华文仿宋" w:eastAsia="仿宋_GB2312" w:cs="仿宋_GB2312"/>
          <w:color w:val="000000" w:themeColor="text1"/>
          <w:kern w:val="2"/>
          <w:sz w:val="32"/>
          <w:szCs w:val="32"/>
          <w:lang w:val="en-US" w:eastAsia="zh-CN" w:bidi="ar-SA"/>
          <w14:textFill>
            <w14:solidFill>
              <w14:schemeClr w14:val="tx1"/>
            </w14:solidFill>
          </w14:textFill>
        </w:rPr>
        <w:t>公共安全</w:t>
      </w:r>
      <w:r>
        <w:rPr>
          <w:rFonts w:hint="eastAsia" w:ascii="仿宋_GB2312" w:hAnsi="华文仿宋" w:eastAsia="仿宋_GB2312" w:cs="仿宋_GB2312"/>
          <w:color w:val="000000" w:themeColor="text1"/>
          <w:kern w:val="2"/>
          <w:sz w:val="32"/>
          <w:szCs w:val="32"/>
          <w:lang w:val="en-US" w:eastAsia="zh-CN" w:bidi="ar-SA"/>
          <w14:textFill>
            <w14:solidFill>
              <w14:schemeClr w14:val="tx1"/>
            </w14:solidFill>
          </w14:textFill>
        </w:rPr>
        <w:t>和人身生命安全</w:t>
      </w:r>
      <w:r>
        <w:rPr>
          <w:rFonts w:ascii="仿宋_GB2312" w:hAnsi="华文仿宋" w:eastAsia="仿宋_GB2312" w:cs="仿宋_GB2312"/>
          <w:color w:val="000000" w:themeColor="text1"/>
          <w:kern w:val="2"/>
          <w:sz w:val="32"/>
          <w:szCs w:val="32"/>
          <w:lang w:val="en-US" w:eastAsia="zh-CN" w:bidi="ar-SA"/>
          <w14:textFill>
            <w14:solidFill>
              <w14:schemeClr w14:val="tx1"/>
            </w14:solidFill>
          </w14:textFill>
        </w:rPr>
        <w:t>，</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雷电防护装置性能如何直接关系到雷电灾害防御效能，做好防雷检测工作意义重大。截止目前，在广东开展雷电防护装置检测业务的从业单位已达102家，近年执法检查发现我省雷电防护装置检测单位检测质量参差不齐，问题较多，需要进一步规范雷电防护装置检测单位及检测行为。登记公示雷电防护装置检测单位基本从业信息，不仅为需要进行防雷检测的用户选择雷电防护装置检测单位提供了方便，也为防雷监管部门掌握检测单位基本从业信息开展防雷监管提供了支撑，有利于推动雷电防护</w:t>
      </w:r>
      <w:r>
        <w:rPr>
          <w:rFonts w:ascii="仿宋_GB2312" w:hAnsi="仿宋" w:eastAsia="仿宋_GB2312" w:cs="黑体"/>
          <w:color w:val="000000" w:themeColor="text1"/>
          <w:kern w:val="2"/>
          <w:sz w:val="32"/>
          <w:szCs w:val="32"/>
          <w:lang w:val="en-US" w:eastAsia="zh-CN" w:bidi="ar-SA"/>
          <w14:textFill>
            <w14:solidFill>
              <w14:schemeClr w14:val="tx1"/>
            </w14:solidFill>
          </w14:textFill>
        </w:rPr>
        <w:t>装置检测单位落实防雷</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安全主体</w:t>
      </w:r>
      <w:r>
        <w:rPr>
          <w:rFonts w:ascii="仿宋_GB2312" w:hAnsi="仿宋" w:eastAsia="仿宋_GB2312" w:cs="黑体"/>
          <w:color w:val="000000" w:themeColor="text1"/>
          <w:kern w:val="2"/>
          <w:sz w:val="32"/>
          <w:szCs w:val="32"/>
          <w:lang w:val="en-US" w:eastAsia="zh-CN" w:bidi="ar-SA"/>
          <w14:textFill>
            <w14:solidFill>
              <w14:schemeClr w14:val="tx1"/>
            </w14:solidFill>
          </w14:textFill>
        </w:rPr>
        <w:t>责任，</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提升防雷检测服务质量，确保防雷</w:t>
      </w:r>
      <w:r>
        <w:rPr>
          <w:rFonts w:ascii="仿宋_GB2312" w:hAnsi="仿宋" w:eastAsia="仿宋_GB2312" w:cs="黑体"/>
          <w:color w:val="000000" w:themeColor="text1"/>
          <w:kern w:val="2"/>
          <w:sz w:val="32"/>
          <w:szCs w:val="32"/>
          <w:lang w:val="en-US" w:eastAsia="zh-CN" w:bidi="ar-SA"/>
          <w14:textFill>
            <w14:solidFill>
              <w14:schemeClr w14:val="tx1"/>
            </w14:solidFill>
          </w14:textFill>
        </w:rPr>
        <w:t>安全</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w:t>
      </w:r>
    </w:p>
    <w:p>
      <w:pPr>
        <w:widowControl w:val="0"/>
        <w:spacing w:line="600" w:lineRule="exact"/>
        <w:ind w:firstLine="640" w:firstLineChars="200"/>
        <w:jc w:val="left"/>
        <w:rPr>
          <w:rFonts w:hint="eastAsia" w:ascii="楷体_GB2312" w:hAnsi="仿宋" w:eastAsia="楷体_GB2312" w:cs="黑体"/>
          <w:color w:val="000000" w:themeColor="text1"/>
          <w:kern w:val="2"/>
          <w:sz w:val="32"/>
          <w:szCs w:val="32"/>
          <w:lang w:val="en-US" w:eastAsia="zh-CN" w:bidi="ar-SA"/>
          <w14:textFill>
            <w14:solidFill>
              <w14:schemeClr w14:val="tx1"/>
            </w14:solidFill>
          </w14:textFill>
        </w:rPr>
      </w:pPr>
      <w:r>
        <w:rPr>
          <w:rFonts w:hint="eastAsia" w:ascii="楷体_GB2312" w:hAnsi="仿宋" w:eastAsia="楷体_GB2312" w:cs="黑体"/>
          <w:color w:val="000000" w:themeColor="text1"/>
          <w:kern w:val="2"/>
          <w:sz w:val="32"/>
          <w:szCs w:val="32"/>
          <w:lang w:val="en-US" w:eastAsia="zh-CN" w:bidi="ar-SA"/>
          <w14:textFill>
            <w14:solidFill>
              <w14:schemeClr w14:val="tx1"/>
            </w14:solidFill>
          </w14:textFill>
        </w:rPr>
        <w:t>（二）可行性</w:t>
      </w:r>
    </w:p>
    <w:p>
      <w:pPr>
        <w:widowControl w:val="0"/>
        <w:spacing w:line="600" w:lineRule="exact"/>
        <w:ind w:firstLine="640" w:firstLineChars="200"/>
        <w:jc w:val="left"/>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广东省气象局目前拥有广东省气象局官网、广东政务服务网省气象局分厅等网络平台，具备通过网络平台实现雷电防护</w:t>
      </w:r>
      <w:r>
        <w:rPr>
          <w:rFonts w:ascii="仿宋_GB2312" w:hAnsi="仿宋" w:eastAsia="仿宋_GB2312" w:cs="黑体"/>
          <w:color w:val="000000" w:themeColor="text1"/>
          <w:kern w:val="2"/>
          <w:sz w:val="32"/>
          <w:szCs w:val="32"/>
          <w:lang w:val="en-US" w:eastAsia="zh-CN" w:bidi="ar-SA"/>
          <w14:textFill>
            <w14:solidFill>
              <w14:schemeClr w14:val="tx1"/>
            </w14:solidFill>
          </w14:textFill>
        </w:rPr>
        <w:t>装置检测单位</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信息登记公示的现实条件。登记公示的信息为依法依规可以公开的信息。雷电防护</w:t>
      </w:r>
      <w:r>
        <w:rPr>
          <w:rFonts w:ascii="仿宋_GB2312" w:hAnsi="仿宋" w:eastAsia="仿宋_GB2312" w:cs="黑体"/>
          <w:color w:val="000000" w:themeColor="text1"/>
          <w:kern w:val="2"/>
          <w:sz w:val="32"/>
          <w:szCs w:val="32"/>
          <w:lang w:val="en-US" w:eastAsia="zh-CN" w:bidi="ar-SA"/>
          <w14:textFill>
            <w14:solidFill>
              <w14:schemeClr w14:val="tx1"/>
            </w14:solidFill>
          </w14:textFill>
        </w:rPr>
        <w:t>装置检测单位</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信息登记公开可以</w:t>
      </w:r>
      <w:r>
        <w:rPr>
          <w:rFonts w:hint="eastAsia" w:ascii="华文仿宋" w:hAnsi="华文仿宋" w:eastAsia="华文仿宋" w:cs="黑体"/>
          <w:color w:val="000000" w:themeColor="text1"/>
          <w:kern w:val="2"/>
          <w:sz w:val="32"/>
          <w:szCs w:val="32"/>
          <w:lang w:val="en-US" w:eastAsia="zh-CN" w:bidi="ar-SA"/>
          <w14:textFill>
            <w14:solidFill>
              <w14:schemeClr w14:val="tx1"/>
            </w14:solidFill>
          </w14:textFill>
        </w:rPr>
        <w:t>加强对雷电防护装置检测单位的监管，营造公平有序的市场环境，保障人民群众生命财产安全</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w:t>
      </w:r>
    </w:p>
    <w:p>
      <w:pPr>
        <w:widowControl w:val="0"/>
        <w:spacing w:line="600" w:lineRule="exact"/>
        <w:ind w:firstLine="640" w:firstLineChars="200"/>
        <w:jc w:val="left"/>
        <w:rPr>
          <w:rFonts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四、起草过程</w:t>
      </w:r>
    </w:p>
    <w:p>
      <w:pPr>
        <w:widowControl/>
        <w:shd w:val="clear" w:color="auto" w:fill="FFFFFF"/>
        <w:adjustRightInd w:val="0"/>
        <w:snapToGrid w:val="0"/>
        <w:spacing w:line="560" w:lineRule="exact"/>
        <w:ind w:firstLine="640"/>
        <w:jc w:val="left"/>
        <w:rPr>
          <w:rFonts w:hint="eastAsia" w:ascii="仿宋_GB2312" w:hAnsi="仿宋" w:eastAsia="仿宋_GB2312" w:cs="黑体"/>
          <w:color w:val="000000" w:themeColor="text1"/>
          <w:sz w:val="32"/>
          <w:szCs w:val="32"/>
          <w14:textFill>
            <w14:solidFill>
              <w14:schemeClr w14:val="tx1"/>
            </w14:solidFill>
          </w14:textFill>
        </w:rPr>
      </w:pPr>
      <w:r>
        <w:rPr>
          <w:rFonts w:hint="eastAsia" w:ascii="仿宋_GB2312" w:hAnsi="仿宋" w:eastAsia="仿宋_GB2312" w:cs="黑体"/>
          <w:color w:val="000000" w:themeColor="text1"/>
          <w:sz w:val="32"/>
          <w:szCs w:val="32"/>
          <w:lang w:val="en-US" w:eastAsia="zh-CN"/>
          <w14:textFill>
            <w14:solidFill>
              <w14:schemeClr w14:val="tx1"/>
            </w14:solidFill>
          </w14:textFill>
        </w:rPr>
        <w:t>2020年</w:t>
      </w:r>
      <w:r>
        <w:rPr>
          <w:rFonts w:hint="eastAsia" w:ascii="仿宋_GB2312" w:hAnsi="仿宋" w:eastAsia="仿宋_GB2312" w:cs="黑体"/>
          <w:color w:val="000000" w:themeColor="text1"/>
          <w:sz w:val="32"/>
          <w:szCs w:val="32"/>
          <w14:textFill>
            <w14:solidFill>
              <w14:schemeClr w14:val="tx1"/>
            </w14:solidFill>
          </w14:textFill>
        </w:rPr>
        <w:t>，</w:t>
      </w:r>
      <w:r>
        <w:rPr>
          <w:rFonts w:hint="eastAsia" w:ascii="仿宋_GB2312" w:hAnsi="仿宋" w:eastAsia="仿宋_GB2312" w:cs="黑体"/>
          <w:color w:val="000000" w:themeColor="text1"/>
          <w:sz w:val="32"/>
          <w:szCs w:val="32"/>
          <w:lang w:eastAsia="zh-CN"/>
          <w14:textFill>
            <w14:solidFill>
              <w14:schemeClr w14:val="tx1"/>
            </w14:solidFill>
          </w14:textFill>
        </w:rPr>
        <w:t>广东省气象局先后</w:t>
      </w:r>
      <w:r>
        <w:rPr>
          <w:rFonts w:hint="eastAsia" w:ascii="仿宋_GB2312" w:hAnsi="仿宋" w:eastAsia="仿宋_GB2312" w:cs="黑体"/>
          <w:color w:val="000000" w:themeColor="text1"/>
          <w:sz w:val="32"/>
          <w:szCs w:val="32"/>
          <w14:textFill>
            <w14:solidFill>
              <w14:schemeClr w14:val="tx1"/>
            </w14:solidFill>
          </w14:textFill>
        </w:rPr>
        <w:t>多次</w:t>
      </w:r>
      <w:r>
        <w:rPr>
          <w:rFonts w:hint="eastAsia" w:ascii="仿宋_GB2312" w:hAnsi="仿宋" w:eastAsia="仿宋_GB2312" w:cs="黑体"/>
          <w:color w:val="000000" w:themeColor="text1"/>
          <w:sz w:val="32"/>
          <w:szCs w:val="32"/>
          <w:lang w:eastAsia="zh-CN"/>
          <w14:textFill>
            <w14:solidFill>
              <w14:schemeClr w14:val="tx1"/>
            </w14:solidFill>
          </w14:textFill>
        </w:rPr>
        <w:t>在全省范围内抽调</w:t>
      </w:r>
      <w:r>
        <w:rPr>
          <w:rFonts w:hint="eastAsia" w:ascii="仿宋_GB2312" w:hAnsi="仿宋" w:eastAsia="仿宋_GB2312" w:cs="黑体"/>
          <w:color w:val="000000" w:themeColor="text1"/>
          <w:sz w:val="32"/>
          <w:szCs w:val="32"/>
          <w14:textFill>
            <w14:solidFill>
              <w14:schemeClr w14:val="tx1"/>
            </w14:solidFill>
          </w14:textFill>
        </w:rPr>
        <w:t>防雷减灾管理、技术骨干组织召开</w:t>
      </w:r>
      <w:r>
        <w:rPr>
          <w:rFonts w:hint="eastAsia" w:ascii="仿宋_GB2312" w:hAnsi="仿宋" w:eastAsia="仿宋_GB2312" w:cs="黑体"/>
          <w:color w:val="000000" w:themeColor="text1"/>
          <w:sz w:val="32"/>
          <w:szCs w:val="32"/>
          <w:lang w:eastAsia="zh-CN"/>
          <w14:textFill>
            <w14:solidFill>
              <w14:schemeClr w14:val="tx1"/>
            </w14:solidFill>
          </w14:textFill>
        </w:rPr>
        <w:t>《实施</w:t>
      </w:r>
      <w:r>
        <w:rPr>
          <w:rFonts w:hint="eastAsia" w:ascii="仿宋_GB2312" w:hAnsi="仿宋" w:eastAsia="仿宋_GB2312" w:cs="黑体"/>
          <w:color w:val="000000" w:themeColor="text1"/>
          <w:sz w:val="32"/>
          <w:szCs w:val="32"/>
          <w14:textFill>
            <w14:solidFill>
              <w14:schemeClr w14:val="tx1"/>
            </w14:solidFill>
          </w14:textFill>
        </w:rPr>
        <w:t>办法</w:t>
      </w:r>
      <w:r>
        <w:rPr>
          <w:rFonts w:hint="eastAsia" w:ascii="仿宋_GB2312" w:hAnsi="仿宋" w:eastAsia="仿宋_GB2312" w:cs="黑体"/>
          <w:color w:val="000000" w:themeColor="text1"/>
          <w:sz w:val="32"/>
          <w:szCs w:val="32"/>
          <w:lang w:eastAsia="zh-CN"/>
          <w14:textFill>
            <w14:solidFill>
              <w14:schemeClr w14:val="tx1"/>
            </w14:solidFill>
          </w14:textFill>
        </w:rPr>
        <w:t>》编写</w:t>
      </w:r>
      <w:r>
        <w:rPr>
          <w:rFonts w:hint="eastAsia" w:ascii="仿宋_GB2312" w:hAnsi="仿宋" w:eastAsia="仿宋_GB2312" w:cs="黑体"/>
          <w:color w:val="000000" w:themeColor="text1"/>
          <w:sz w:val="32"/>
          <w:szCs w:val="32"/>
          <w14:textFill>
            <w14:solidFill>
              <w14:schemeClr w14:val="tx1"/>
            </w14:solidFill>
          </w14:textFill>
        </w:rPr>
        <w:t>研讨</w:t>
      </w:r>
      <w:r>
        <w:rPr>
          <w:rFonts w:hint="eastAsia" w:ascii="仿宋_GB2312" w:hAnsi="仿宋" w:eastAsia="仿宋_GB2312" w:cs="黑体"/>
          <w:color w:val="000000" w:themeColor="text1"/>
          <w:sz w:val="32"/>
          <w:szCs w:val="32"/>
          <w:lang w:eastAsia="zh-CN"/>
          <w14:textFill>
            <w14:solidFill>
              <w14:schemeClr w14:val="tx1"/>
            </w14:solidFill>
          </w14:textFill>
        </w:rPr>
        <w:t>会</w:t>
      </w:r>
      <w:r>
        <w:rPr>
          <w:rFonts w:hint="eastAsia" w:ascii="仿宋_GB2312" w:hAnsi="仿宋" w:eastAsia="仿宋_GB2312" w:cs="黑体"/>
          <w:color w:val="000000" w:themeColor="text1"/>
          <w:sz w:val="32"/>
          <w:szCs w:val="32"/>
          <w14:textFill>
            <w14:solidFill>
              <w14:schemeClr w14:val="tx1"/>
            </w14:solidFill>
          </w14:textFill>
        </w:rPr>
        <w:t>，形成了</w:t>
      </w:r>
      <w:r>
        <w:rPr>
          <w:rFonts w:hint="eastAsia" w:ascii="仿宋_GB2312" w:hAnsi="仿宋" w:eastAsia="仿宋_GB2312" w:cs="黑体"/>
          <w:color w:val="000000" w:themeColor="text1"/>
          <w:sz w:val="32"/>
          <w:szCs w:val="32"/>
          <w:lang w:eastAsia="zh-CN"/>
          <w14:textFill>
            <w14:solidFill>
              <w14:schemeClr w14:val="tx1"/>
            </w14:solidFill>
          </w14:textFill>
        </w:rPr>
        <w:t>《实施</w:t>
      </w:r>
      <w:r>
        <w:rPr>
          <w:rFonts w:hint="eastAsia" w:ascii="仿宋_GB2312" w:hAnsi="仿宋" w:eastAsia="仿宋_GB2312" w:cs="黑体"/>
          <w:color w:val="000000" w:themeColor="text1"/>
          <w:sz w:val="32"/>
          <w:szCs w:val="32"/>
          <w14:textFill>
            <w14:solidFill>
              <w14:schemeClr w14:val="tx1"/>
            </w14:solidFill>
          </w14:textFill>
        </w:rPr>
        <w:t>办法</w:t>
      </w:r>
      <w:r>
        <w:rPr>
          <w:rFonts w:hint="eastAsia" w:ascii="仿宋_GB2312" w:hAnsi="仿宋" w:eastAsia="仿宋_GB2312" w:cs="黑体"/>
          <w:color w:val="000000" w:themeColor="text1"/>
          <w:sz w:val="32"/>
          <w:szCs w:val="32"/>
          <w:lang w:eastAsia="zh-CN"/>
          <w14:textFill>
            <w14:solidFill>
              <w14:schemeClr w14:val="tx1"/>
            </w14:solidFill>
          </w14:textFill>
        </w:rPr>
        <w:t>》</w:t>
      </w:r>
      <w:r>
        <w:rPr>
          <w:rFonts w:hint="eastAsia" w:ascii="仿宋_GB2312" w:hAnsi="仿宋" w:eastAsia="仿宋_GB2312" w:cs="黑体"/>
          <w:color w:val="000000" w:themeColor="text1"/>
          <w:sz w:val="32"/>
          <w:szCs w:val="32"/>
          <w14:textFill>
            <w14:solidFill>
              <w14:schemeClr w14:val="tx1"/>
            </w14:solidFill>
          </w14:textFill>
        </w:rPr>
        <w:t>初稿。2020年12月</w:t>
      </w:r>
      <w:r>
        <w:rPr>
          <w:rFonts w:hint="eastAsia" w:ascii="仿宋_GB2312" w:hAnsi="仿宋" w:eastAsia="仿宋_GB2312" w:cs="黑体"/>
          <w:color w:val="000000" w:themeColor="text1"/>
          <w:sz w:val="32"/>
          <w:szCs w:val="32"/>
          <w:lang w:eastAsia="zh-CN"/>
          <w14:textFill>
            <w14:solidFill>
              <w14:schemeClr w14:val="tx1"/>
            </w14:solidFill>
          </w14:textFill>
        </w:rPr>
        <w:t>，</w:t>
      </w:r>
      <w:r>
        <w:rPr>
          <w:rFonts w:hint="eastAsia" w:ascii="仿宋_GB2312" w:hAnsi="仿宋" w:eastAsia="仿宋_GB2312" w:cs="黑体"/>
          <w:color w:val="000000" w:themeColor="text1"/>
          <w:sz w:val="32"/>
          <w:szCs w:val="32"/>
          <w14:textFill>
            <w14:solidFill>
              <w14:schemeClr w14:val="tx1"/>
            </w14:solidFill>
          </w14:textFill>
        </w:rPr>
        <w:t>征求各地市气象局和省气象局各处室、直属单位意见</w:t>
      </w:r>
      <w:r>
        <w:rPr>
          <w:rFonts w:hint="eastAsia" w:ascii="仿宋_GB2312" w:hAnsi="仿宋" w:eastAsia="仿宋_GB2312" w:cs="黑体"/>
          <w:color w:val="000000" w:themeColor="text1"/>
          <w:sz w:val="32"/>
          <w:szCs w:val="32"/>
          <w:lang w:eastAsia="zh-CN"/>
          <w14:textFill>
            <w14:solidFill>
              <w14:schemeClr w14:val="tx1"/>
            </w14:solidFill>
          </w14:textFill>
        </w:rPr>
        <w:t>。</w:t>
      </w:r>
      <w:r>
        <w:rPr>
          <w:rFonts w:hint="eastAsia" w:ascii="仿宋_GB2312" w:hAnsi="仿宋" w:eastAsia="仿宋_GB2312" w:cs="黑体"/>
          <w:color w:val="000000" w:themeColor="text1"/>
          <w:sz w:val="32"/>
          <w:szCs w:val="32"/>
          <w14:textFill>
            <w14:solidFill>
              <w14:schemeClr w14:val="tx1"/>
            </w14:solidFill>
          </w14:textFill>
        </w:rPr>
        <w:t>综合反馈的意见和建议，对稿件</w:t>
      </w:r>
      <w:r>
        <w:rPr>
          <w:rFonts w:hint="eastAsia" w:ascii="仿宋_GB2312" w:hAnsi="仿宋" w:eastAsia="仿宋_GB2312" w:cs="黑体"/>
          <w:color w:val="000000" w:themeColor="text1"/>
          <w:sz w:val="32"/>
          <w:szCs w:val="32"/>
          <w:lang w:eastAsia="zh-CN"/>
          <w14:textFill>
            <w14:solidFill>
              <w14:schemeClr w14:val="tx1"/>
            </w14:solidFill>
          </w14:textFill>
        </w:rPr>
        <w:t>进行了</w:t>
      </w:r>
      <w:r>
        <w:rPr>
          <w:rFonts w:hint="eastAsia" w:ascii="仿宋_GB2312" w:hAnsi="仿宋" w:eastAsia="仿宋_GB2312" w:cs="黑体"/>
          <w:color w:val="000000" w:themeColor="text1"/>
          <w:sz w:val="32"/>
          <w:szCs w:val="32"/>
          <w14:textFill>
            <w14:solidFill>
              <w14:schemeClr w14:val="tx1"/>
            </w14:solidFill>
          </w14:textFill>
        </w:rPr>
        <w:t>修订完善</w:t>
      </w:r>
      <w:r>
        <w:rPr>
          <w:rFonts w:hint="eastAsia" w:ascii="仿宋_GB2312" w:hAnsi="仿宋" w:eastAsia="仿宋_GB2312" w:cs="黑体"/>
          <w:color w:val="000000" w:themeColor="text1"/>
          <w:sz w:val="32"/>
          <w:szCs w:val="32"/>
          <w:lang w:eastAsia="zh-CN"/>
          <w14:textFill>
            <w14:solidFill>
              <w14:schemeClr w14:val="tx1"/>
            </w14:solidFill>
          </w14:textFill>
        </w:rPr>
        <w:t>。</w:t>
      </w:r>
      <w:r>
        <w:rPr>
          <w:rFonts w:hint="eastAsia" w:ascii="仿宋_GB2312" w:hAnsi="仿宋" w:eastAsia="仿宋_GB2312" w:cs="黑体"/>
          <w:color w:val="000000" w:themeColor="text1"/>
          <w:sz w:val="32"/>
          <w:szCs w:val="32"/>
          <w14:textFill>
            <w14:solidFill>
              <w14:schemeClr w14:val="tx1"/>
            </w14:solidFill>
          </w14:textFill>
        </w:rPr>
        <w:t>202</w:t>
      </w:r>
      <w:r>
        <w:rPr>
          <w:rFonts w:hint="eastAsia" w:ascii="仿宋_GB2312" w:hAnsi="仿宋" w:eastAsia="仿宋_GB2312" w:cs="黑体"/>
          <w:color w:val="000000" w:themeColor="text1"/>
          <w:sz w:val="32"/>
          <w:szCs w:val="32"/>
          <w:lang w:val="en-US" w:eastAsia="zh-CN"/>
          <w14:textFill>
            <w14:solidFill>
              <w14:schemeClr w14:val="tx1"/>
            </w14:solidFill>
          </w14:textFill>
        </w:rPr>
        <w:t>1</w:t>
      </w:r>
      <w:r>
        <w:rPr>
          <w:rFonts w:hint="eastAsia" w:ascii="仿宋_GB2312" w:hAnsi="仿宋" w:eastAsia="仿宋_GB2312" w:cs="黑体"/>
          <w:color w:val="000000" w:themeColor="text1"/>
          <w:sz w:val="32"/>
          <w:szCs w:val="32"/>
          <w14:textFill>
            <w14:solidFill>
              <w14:schemeClr w14:val="tx1"/>
            </w14:solidFill>
          </w14:textFill>
        </w:rPr>
        <w:t>年</w:t>
      </w:r>
      <w:r>
        <w:rPr>
          <w:rFonts w:hint="eastAsia" w:ascii="仿宋_GB2312" w:hAnsi="仿宋" w:eastAsia="仿宋_GB2312" w:cs="黑体"/>
          <w:color w:val="000000" w:themeColor="text1"/>
          <w:sz w:val="32"/>
          <w:szCs w:val="32"/>
          <w:lang w:val="en-US" w:eastAsia="zh-CN"/>
          <w14:textFill>
            <w14:solidFill>
              <w14:schemeClr w14:val="tx1"/>
            </w14:solidFill>
          </w14:textFill>
        </w:rPr>
        <w:t>1</w:t>
      </w:r>
      <w:r>
        <w:rPr>
          <w:rFonts w:hint="eastAsia" w:ascii="仿宋_GB2312" w:hAnsi="仿宋" w:eastAsia="仿宋_GB2312" w:cs="黑体"/>
          <w:color w:val="000000" w:themeColor="text1"/>
          <w:sz w:val="32"/>
          <w:szCs w:val="32"/>
          <w14:textFill>
            <w14:solidFill>
              <w14:schemeClr w14:val="tx1"/>
            </w14:solidFill>
          </w14:textFill>
        </w:rPr>
        <w:t>月</w:t>
      </w:r>
      <w:r>
        <w:rPr>
          <w:rFonts w:hint="eastAsia" w:ascii="仿宋_GB2312" w:hAnsi="仿宋" w:eastAsia="仿宋_GB2312" w:cs="黑体"/>
          <w:color w:val="000000" w:themeColor="text1"/>
          <w:sz w:val="32"/>
          <w:szCs w:val="32"/>
          <w:lang w:eastAsia="zh-CN"/>
          <w14:textFill>
            <w14:solidFill>
              <w14:schemeClr w14:val="tx1"/>
            </w14:solidFill>
          </w14:textFill>
        </w:rPr>
        <w:t>，</w:t>
      </w:r>
      <w:r>
        <w:rPr>
          <w:rFonts w:hint="eastAsia" w:ascii="仿宋_GB2312" w:hAnsi="仿宋" w:eastAsia="仿宋_GB2312" w:cs="黑体"/>
          <w:color w:val="000000" w:themeColor="text1"/>
          <w:sz w:val="32"/>
          <w:szCs w:val="32"/>
          <w14:textFill>
            <w14:solidFill>
              <w14:schemeClr w14:val="tx1"/>
            </w14:solidFill>
          </w14:textFill>
        </w:rPr>
        <w:t>按照程序报</w:t>
      </w:r>
      <w:r>
        <w:rPr>
          <w:rFonts w:hint="eastAsia" w:ascii="仿宋_GB2312" w:hAnsi="仿宋" w:eastAsia="仿宋_GB2312" w:cs="黑体"/>
          <w:color w:val="000000" w:themeColor="text1"/>
          <w:sz w:val="32"/>
          <w:szCs w:val="32"/>
          <w:lang w:eastAsia="zh-CN"/>
          <w14:textFill>
            <w14:solidFill>
              <w14:schemeClr w14:val="tx1"/>
            </w14:solidFill>
          </w14:textFill>
        </w:rPr>
        <w:t>广东省气象局法规处</w:t>
      </w:r>
      <w:r>
        <w:rPr>
          <w:rFonts w:hint="eastAsia" w:ascii="仿宋_GB2312" w:hAnsi="仿宋" w:eastAsia="仿宋_GB2312" w:cs="黑体"/>
          <w:color w:val="000000" w:themeColor="text1"/>
          <w:sz w:val="32"/>
          <w:szCs w:val="32"/>
          <w14:textFill>
            <w14:solidFill>
              <w14:schemeClr w14:val="tx1"/>
            </w14:solidFill>
          </w14:textFill>
        </w:rPr>
        <w:t>合法性审查</w:t>
      </w:r>
      <w:r>
        <w:rPr>
          <w:rFonts w:hint="eastAsia" w:ascii="仿宋_GB2312" w:hAnsi="仿宋" w:eastAsia="仿宋_GB2312" w:cs="黑体"/>
          <w:color w:val="000000" w:themeColor="text1"/>
          <w:sz w:val="32"/>
          <w:szCs w:val="32"/>
          <w:lang w:eastAsia="zh-CN"/>
          <w14:textFill>
            <w14:solidFill>
              <w14:schemeClr w14:val="tx1"/>
            </w14:solidFill>
          </w14:textFill>
        </w:rPr>
        <w:t>，并报广东省气象局局务会审议</w:t>
      </w:r>
      <w:r>
        <w:rPr>
          <w:rFonts w:hint="eastAsia" w:ascii="仿宋_GB2312" w:hAnsi="仿宋" w:eastAsia="仿宋_GB2312" w:cs="黑体"/>
          <w:color w:val="000000" w:themeColor="text1"/>
          <w:sz w:val="32"/>
          <w:szCs w:val="32"/>
          <w14:textFill>
            <w14:solidFill>
              <w14:schemeClr w14:val="tx1"/>
            </w14:solidFill>
          </w14:textFill>
        </w:rPr>
        <w:t>。202</w:t>
      </w:r>
      <w:r>
        <w:rPr>
          <w:rFonts w:hint="eastAsia" w:ascii="仿宋_GB2312" w:hAnsi="仿宋" w:eastAsia="仿宋_GB2312" w:cs="黑体"/>
          <w:color w:val="000000" w:themeColor="text1"/>
          <w:sz w:val="32"/>
          <w:szCs w:val="32"/>
          <w:lang w:val="en-US" w:eastAsia="zh-CN"/>
          <w14:textFill>
            <w14:solidFill>
              <w14:schemeClr w14:val="tx1"/>
            </w14:solidFill>
          </w14:textFill>
        </w:rPr>
        <w:t>1</w:t>
      </w:r>
      <w:r>
        <w:rPr>
          <w:rFonts w:hint="eastAsia" w:ascii="仿宋_GB2312" w:hAnsi="仿宋" w:eastAsia="仿宋_GB2312" w:cs="黑体"/>
          <w:color w:val="000000" w:themeColor="text1"/>
          <w:sz w:val="32"/>
          <w:szCs w:val="32"/>
          <w14:textFill>
            <w14:solidFill>
              <w14:schemeClr w14:val="tx1"/>
            </w14:solidFill>
          </w14:textFill>
        </w:rPr>
        <w:t>年</w:t>
      </w:r>
      <w:r>
        <w:rPr>
          <w:rFonts w:hint="eastAsia" w:ascii="仿宋_GB2312" w:hAnsi="仿宋" w:eastAsia="仿宋_GB2312" w:cs="黑体"/>
          <w:color w:val="000000" w:themeColor="text1"/>
          <w:sz w:val="32"/>
          <w:szCs w:val="32"/>
          <w:lang w:val="en-US" w:eastAsia="zh-CN"/>
          <w14:textFill>
            <w14:solidFill>
              <w14:schemeClr w14:val="tx1"/>
            </w14:solidFill>
          </w14:textFill>
        </w:rPr>
        <w:t>2</w:t>
      </w:r>
      <w:r>
        <w:rPr>
          <w:rFonts w:hint="eastAsia" w:ascii="仿宋_GB2312" w:hAnsi="仿宋" w:eastAsia="仿宋_GB2312" w:cs="黑体"/>
          <w:color w:val="000000" w:themeColor="text1"/>
          <w:sz w:val="32"/>
          <w:szCs w:val="32"/>
          <w14:textFill>
            <w14:solidFill>
              <w14:schemeClr w14:val="tx1"/>
            </w14:solidFill>
          </w14:textFill>
        </w:rPr>
        <w:t>月</w:t>
      </w:r>
      <w:r>
        <w:rPr>
          <w:rFonts w:hint="eastAsia" w:ascii="仿宋_GB2312" w:hAnsi="仿宋" w:eastAsia="仿宋_GB2312" w:cs="黑体"/>
          <w:color w:val="000000" w:themeColor="text1"/>
          <w:sz w:val="32"/>
          <w:szCs w:val="32"/>
          <w:lang w:val="en-US" w:eastAsia="zh-CN"/>
          <w14:textFill>
            <w14:solidFill>
              <w14:schemeClr w14:val="tx1"/>
            </w14:solidFill>
          </w14:textFill>
        </w:rPr>
        <w:t>7日</w:t>
      </w:r>
      <w:r>
        <w:rPr>
          <w:rFonts w:hint="eastAsia" w:ascii="仿宋_GB2312" w:hAnsi="仿宋" w:eastAsia="仿宋_GB2312" w:cs="黑体"/>
          <w:color w:val="000000" w:themeColor="text1"/>
          <w:sz w:val="32"/>
          <w:szCs w:val="32"/>
          <w:lang w:eastAsia="zh-CN"/>
          <w14:textFill>
            <w14:solidFill>
              <w14:schemeClr w14:val="tx1"/>
            </w14:solidFill>
          </w14:textFill>
        </w:rPr>
        <w:t>，向</w:t>
      </w:r>
      <w:r>
        <w:rPr>
          <w:rFonts w:hint="eastAsia" w:ascii="仿宋_GB2312" w:hAnsi="仿宋" w:eastAsia="仿宋_GB2312" w:cs="黑体"/>
          <w:color w:val="000000" w:themeColor="text1"/>
          <w:sz w:val="32"/>
          <w:szCs w:val="32"/>
          <w14:textFill>
            <w14:solidFill>
              <w14:schemeClr w14:val="tx1"/>
            </w14:solidFill>
          </w14:textFill>
        </w:rPr>
        <w:t>公众、行业协会征求意见，收集了</w:t>
      </w:r>
      <w:r>
        <w:rPr>
          <w:rFonts w:hint="eastAsia" w:ascii="仿宋_GB2312" w:hAnsi="仿宋" w:eastAsia="仿宋_GB2312" w:cs="黑体"/>
          <w:color w:val="000000" w:themeColor="text1"/>
          <w:sz w:val="32"/>
          <w:szCs w:val="32"/>
          <w:lang w:val="en-US" w:eastAsia="zh-CN"/>
          <w14:textFill>
            <w14:solidFill>
              <w14:schemeClr w14:val="tx1"/>
            </w14:solidFill>
          </w14:textFill>
        </w:rPr>
        <w:t>7条</w:t>
      </w:r>
      <w:r>
        <w:rPr>
          <w:rFonts w:hint="eastAsia" w:ascii="仿宋_GB2312" w:hAnsi="仿宋" w:eastAsia="仿宋_GB2312" w:cs="黑体"/>
          <w:color w:val="000000" w:themeColor="text1"/>
          <w:sz w:val="32"/>
          <w:szCs w:val="32"/>
          <w14:textFill>
            <w14:solidFill>
              <w14:schemeClr w14:val="tx1"/>
            </w14:solidFill>
          </w14:textFill>
        </w:rPr>
        <w:t>意见，采纳</w:t>
      </w:r>
      <w:r>
        <w:rPr>
          <w:rFonts w:hint="eastAsia" w:ascii="仿宋_GB2312" w:hAnsi="仿宋" w:eastAsia="仿宋_GB2312" w:cs="黑体"/>
          <w:color w:val="000000" w:themeColor="text1"/>
          <w:sz w:val="32"/>
          <w:szCs w:val="32"/>
          <w:lang w:eastAsia="zh-CN"/>
          <w14:textFill>
            <w14:solidFill>
              <w14:schemeClr w14:val="tx1"/>
            </w14:solidFill>
          </w14:textFill>
        </w:rPr>
        <w:t>、综合采纳</w:t>
      </w:r>
      <w:r>
        <w:rPr>
          <w:rFonts w:hint="eastAsia" w:ascii="仿宋_GB2312" w:hAnsi="仿宋" w:eastAsia="仿宋_GB2312" w:cs="黑体"/>
          <w:color w:val="000000" w:themeColor="text1"/>
          <w:sz w:val="32"/>
          <w:szCs w:val="32"/>
          <w14:textFill>
            <w14:solidFill>
              <w14:schemeClr w14:val="tx1"/>
            </w14:solidFill>
          </w14:textFill>
        </w:rPr>
        <w:t>了</w:t>
      </w:r>
      <w:r>
        <w:rPr>
          <w:rFonts w:hint="eastAsia" w:ascii="仿宋_GB2312" w:hAnsi="仿宋" w:eastAsia="仿宋_GB2312" w:cs="黑体"/>
          <w:color w:val="000000" w:themeColor="text1"/>
          <w:sz w:val="32"/>
          <w:szCs w:val="32"/>
          <w:lang w:val="en-US" w:eastAsia="zh-CN"/>
          <w14:textFill>
            <w14:solidFill>
              <w14:schemeClr w14:val="tx1"/>
            </w14:solidFill>
          </w14:textFill>
        </w:rPr>
        <w:t>6</w:t>
      </w:r>
      <w:r>
        <w:rPr>
          <w:rFonts w:hint="eastAsia" w:ascii="仿宋_GB2312" w:hAnsi="仿宋" w:eastAsia="仿宋_GB2312" w:cs="黑体"/>
          <w:color w:val="000000" w:themeColor="text1"/>
          <w:sz w:val="32"/>
          <w:szCs w:val="32"/>
          <w14:textFill>
            <w14:solidFill>
              <w14:schemeClr w14:val="tx1"/>
            </w14:solidFill>
          </w14:textFill>
        </w:rPr>
        <w:t>条意见。</w:t>
      </w:r>
    </w:p>
    <w:p>
      <w:pPr>
        <w:widowControl w:val="0"/>
        <w:spacing w:line="600" w:lineRule="exact"/>
        <w:ind w:firstLine="640" w:firstLineChars="200"/>
        <w:jc w:val="left"/>
        <w:rPr>
          <w:rFonts w:hint="eastAsia" w:ascii="黑体" w:hAnsi="黑体" w:eastAsia="黑体" w:cs="黑体"/>
          <w:color w:val="000000" w:themeColor="text1"/>
          <w:kern w:val="2"/>
          <w:sz w:val="32"/>
          <w:szCs w:val="32"/>
          <w:lang w:val="en-US" w:eastAsia="zh-CN" w:bidi="ar-SA"/>
          <w14:textFill>
            <w14:solidFill>
              <w14:schemeClr w14:val="tx1"/>
            </w14:solidFill>
          </w14:textFill>
        </w:rPr>
      </w:pPr>
      <w:r>
        <w:rPr>
          <w:rFonts w:hint="eastAsia" w:ascii="黑体" w:hAnsi="黑体" w:eastAsia="黑体" w:cs="黑体"/>
          <w:color w:val="000000" w:themeColor="text1"/>
          <w:kern w:val="2"/>
          <w:sz w:val="32"/>
          <w:szCs w:val="32"/>
          <w:lang w:val="en-US" w:eastAsia="zh-CN" w:bidi="ar-SA"/>
          <w14:textFill>
            <w14:solidFill>
              <w14:schemeClr w14:val="tx1"/>
            </w14:solidFill>
          </w14:textFill>
        </w:rPr>
        <w:t>五、主要内容</w:t>
      </w:r>
    </w:p>
    <w:p>
      <w:pPr>
        <w:widowControl w:val="0"/>
        <w:spacing w:line="600" w:lineRule="exact"/>
        <w:ind w:firstLine="640" w:firstLineChars="200"/>
        <w:jc w:val="left"/>
        <w:rPr>
          <w:rFonts w:hint="eastAsia" w:ascii="楷体_GB2312" w:hAnsi="仿宋" w:eastAsia="楷体_GB2312" w:cs="黑体"/>
          <w:color w:val="000000" w:themeColor="text1"/>
          <w:kern w:val="2"/>
          <w:sz w:val="32"/>
          <w:szCs w:val="32"/>
          <w:lang w:val="en-US" w:eastAsia="zh-CN" w:bidi="ar-SA"/>
          <w14:textFill>
            <w14:solidFill>
              <w14:schemeClr w14:val="tx1"/>
            </w14:solidFill>
          </w14:textFill>
        </w:rPr>
      </w:pP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《实施办法》共十一条，主要解决雷电防护装置检测单位信息公开、落实行业监管责任、接受社会监督和方便群众办事的问题，明确了分级管理、</w:t>
      </w:r>
      <w:r>
        <w:rPr>
          <w:rFonts w:hint="eastAsia" w:ascii="华文仿宋" w:hAnsi="华文仿宋" w:eastAsia="华文仿宋" w:cs="黑体"/>
          <w:color w:val="000000" w:themeColor="text1"/>
          <w:kern w:val="2"/>
          <w:sz w:val="32"/>
          <w:szCs w:val="32"/>
          <w:lang w:val="en-US" w:eastAsia="zh-CN" w:bidi="ar-SA"/>
          <w14:textFill>
            <w14:solidFill>
              <w14:schemeClr w14:val="tx1"/>
            </w14:solidFill>
          </w14:textFill>
        </w:rPr>
        <w:t>告知承诺制和总公司登记等</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主要制度，明确了检测单位登记公示的管理机构和监管机构、实施对象、登记公示的条件、登记的内容、办理流程、变更登记的期限、不予登记和取消登记的情形等主要措施</w:t>
      </w:r>
      <w:r>
        <w:rPr>
          <w:rFonts w:hint="eastAsia" w:ascii="华文仿宋" w:hAnsi="华文仿宋" w:eastAsia="华文仿宋" w:cs="黑体"/>
          <w:color w:val="000000" w:themeColor="text1"/>
          <w:kern w:val="2"/>
          <w:sz w:val="32"/>
          <w:szCs w:val="32"/>
          <w:lang w:val="en-US" w:eastAsia="zh-CN" w:bidi="ar-SA"/>
          <w14:textFill>
            <w14:solidFill>
              <w14:schemeClr w14:val="tx1"/>
            </w14:solidFill>
          </w14:textFill>
        </w:rPr>
        <w:t>。</w:t>
      </w:r>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实施办法》主要涵盖了三个方面的内容：一是完善登记公示信息。规定了雷电防护装置检测单位在广东省气象局官网公开单位名称（含分支机构）、办公地址、资质等级、驻粤技术负责人、专业技术人员数等，接受社会监督。二是确立分级管理原则。省级气象</w:t>
      </w:r>
      <w:bookmarkStart w:id="0" w:name="_GoBack"/>
      <w:bookmarkEnd w:id="0"/>
      <w:r>
        <w:rPr>
          <w:rFonts w:hint="eastAsia" w:ascii="仿宋_GB2312" w:hAnsi="仿宋" w:eastAsia="仿宋_GB2312" w:cs="黑体"/>
          <w:color w:val="000000" w:themeColor="text1"/>
          <w:kern w:val="2"/>
          <w:sz w:val="32"/>
          <w:szCs w:val="32"/>
          <w:lang w:val="en-US" w:eastAsia="zh-CN" w:bidi="ar-SA"/>
          <w14:textFill>
            <w14:solidFill>
              <w14:schemeClr w14:val="tx1"/>
            </w14:solidFill>
          </w14:textFill>
        </w:rPr>
        <w:t>主管机构负责雷电防护装置检测单位信息登记公示工作。县级以上气象主管机构负责辖区内雷电防护装置检测单位登记公示信息的监管。三是明确登记公示主体。登记公示必须由雷电防护装置检测资质持有单位总公司申请，分支机机构不能申请，以利于防雷监管和社会监督。</w:t>
      </w:r>
    </w:p>
    <w:p>
      <w:pPr>
        <w:rPr>
          <w:color w:val="000000" w:themeColor="text1"/>
          <w14:textFill>
            <w14:solidFill>
              <w14:schemeClr w14:val="tx1"/>
            </w14:solidFill>
          </w14:textFill>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TJ-PK7482000005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center"/>
      <w:rPr>
        <w:rFonts w:ascii="Times New Roman" w:hAnsi="Times New Roman" w:eastAsia="宋体" w:cs="Times New Roman"/>
        <w:kern w:val="0"/>
        <w:sz w:val="18"/>
        <w:szCs w:val="18"/>
        <w:lang w:val="en-US" w:eastAsia="zh-CN" w:bidi="ar-SA"/>
      </w:rPr>
    </w:pPr>
    <w:r>
      <w:rPr>
        <w:rFonts w:ascii="Times New Roman" w:hAnsi="Times New Roman" w:eastAsia="宋体" w:cs="Times New Roman"/>
        <w:kern w:val="0"/>
        <w:sz w:val="18"/>
        <w:szCs w:val="18"/>
        <w:lang w:val="zh-CN" w:eastAsia="zh-CN" w:bidi="ar-SA"/>
      </w:rPr>
      <w:t xml:space="preserve"> </w:t>
    </w:r>
    <w:r>
      <w:rPr>
        <w:rFonts w:ascii="Times New Roman" w:hAnsi="Times New Roman" w:eastAsia="宋体" w:cs="Times New Roman"/>
        <w:b/>
        <w:kern w:val="0"/>
        <w:sz w:val="24"/>
        <w:szCs w:val="24"/>
        <w:lang w:val="en-US" w:eastAsia="zh-CN" w:bidi="ar-SA"/>
      </w:rPr>
      <w:fldChar w:fldCharType="begin"/>
    </w:r>
    <w:r>
      <w:rPr>
        <w:rFonts w:ascii="Times New Roman" w:hAnsi="Times New Roman" w:eastAsia="宋体" w:cs="Times New Roman"/>
        <w:b/>
        <w:kern w:val="0"/>
        <w:sz w:val="18"/>
        <w:szCs w:val="18"/>
        <w:lang w:val="en-US" w:eastAsia="zh-CN" w:bidi="ar-SA"/>
      </w:rPr>
      <w:instrText xml:space="preserve">PAGE</w:instrText>
    </w:r>
    <w:r>
      <w:rPr>
        <w:rFonts w:ascii="Times New Roman" w:hAnsi="Times New Roman" w:eastAsia="宋体" w:cs="Times New Roman"/>
        <w:b/>
        <w:kern w:val="0"/>
        <w:sz w:val="24"/>
        <w:szCs w:val="24"/>
        <w:lang w:val="en-US" w:eastAsia="zh-CN" w:bidi="ar-SA"/>
      </w:rPr>
      <w:fldChar w:fldCharType="separate"/>
    </w:r>
    <w:r>
      <w:rPr>
        <w:rFonts w:ascii="Times New Roman" w:hAnsi="Times New Roman" w:eastAsia="宋体" w:cs="Times New Roman"/>
        <w:b/>
        <w:kern w:val="0"/>
        <w:sz w:val="18"/>
        <w:szCs w:val="18"/>
        <w:lang w:val="en-US" w:eastAsia="zh-CN" w:bidi="ar-SA"/>
      </w:rPr>
      <w:t>2</w:t>
    </w:r>
    <w:r>
      <w:rPr>
        <w:rFonts w:ascii="Times New Roman" w:hAnsi="Times New Roman" w:eastAsia="宋体" w:cs="Times New Roman"/>
        <w:b/>
        <w:kern w:val="0"/>
        <w:sz w:val="24"/>
        <w:szCs w:val="24"/>
        <w:lang w:val="en-US" w:eastAsia="zh-CN" w:bidi="ar-SA"/>
      </w:rPr>
      <w:fldChar w:fldCharType="end"/>
    </w:r>
    <w:r>
      <w:rPr>
        <w:rFonts w:ascii="Times New Roman" w:hAnsi="Times New Roman" w:eastAsia="宋体" w:cs="Times New Roman"/>
        <w:kern w:val="0"/>
        <w:sz w:val="18"/>
        <w:szCs w:val="18"/>
        <w:lang w:val="zh-CN" w:eastAsia="zh-CN" w:bidi="ar-SA"/>
      </w:rPr>
      <w:t xml:space="preserve"> / </w:t>
    </w:r>
    <w:r>
      <w:rPr>
        <w:rFonts w:ascii="Times New Roman" w:hAnsi="Times New Roman" w:eastAsia="宋体" w:cs="Times New Roman"/>
        <w:b/>
        <w:kern w:val="0"/>
        <w:sz w:val="24"/>
        <w:szCs w:val="24"/>
        <w:lang w:val="en-US" w:eastAsia="zh-CN" w:bidi="ar-SA"/>
      </w:rPr>
      <w:fldChar w:fldCharType="begin"/>
    </w:r>
    <w:r>
      <w:rPr>
        <w:rFonts w:ascii="Times New Roman" w:hAnsi="Times New Roman" w:eastAsia="宋体" w:cs="Times New Roman"/>
        <w:b/>
        <w:kern w:val="0"/>
        <w:sz w:val="18"/>
        <w:szCs w:val="18"/>
        <w:lang w:val="en-US" w:eastAsia="zh-CN" w:bidi="ar-SA"/>
      </w:rPr>
      <w:instrText xml:space="preserve">NUMPAGES</w:instrText>
    </w:r>
    <w:r>
      <w:rPr>
        <w:rFonts w:ascii="Times New Roman" w:hAnsi="Times New Roman" w:eastAsia="宋体" w:cs="Times New Roman"/>
        <w:b/>
        <w:kern w:val="0"/>
        <w:sz w:val="24"/>
        <w:szCs w:val="24"/>
        <w:lang w:val="en-US" w:eastAsia="zh-CN" w:bidi="ar-SA"/>
      </w:rPr>
      <w:fldChar w:fldCharType="separate"/>
    </w:r>
    <w:r>
      <w:rPr>
        <w:rFonts w:ascii="Times New Roman" w:hAnsi="Times New Roman" w:eastAsia="宋体" w:cs="Times New Roman"/>
        <w:b/>
        <w:kern w:val="0"/>
        <w:sz w:val="18"/>
        <w:szCs w:val="18"/>
        <w:lang w:val="en-US" w:eastAsia="zh-CN" w:bidi="ar-SA"/>
      </w:rPr>
      <w:t>5</w:t>
    </w:r>
    <w:r>
      <w:rPr>
        <w:rFonts w:ascii="Times New Roman" w:hAnsi="Times New Roman" w:eastAsia="宋体" w:cs="Times New Roman"/>
        <w:b/>
        <w:kern w:val="0"/>
        <w:sz w:val="24"/>
        <w:szCs w:val="24"/>
        <w:lang w:val="en-US" w:eastAsia="zh-CN" w:bidi="ar-SA"/>
      </w:rPr>
      <w:fldChar w:fldCharType="end"/>
    </w:r>
  </w:p>
  <w:p>
    <w:pPr>
      <w:widowControl w:val="0"/>
      <w:tabs>
        <w:tab w:val="center" w:pos="4153"/>
        <w:tab w:val="right" w:pos="8306"/>
      </w:tabs>
      <w:snapToGrid w:val="0"/>
      <w:jc w:val="left"/>
      <w:rPr>
        <w:rFonts w:ascii="Times New Roman" w:hAnsi="Times New Roman" w:eastAsia="宋体" w:cs="Times New Roman"/>
        <w:kern w:val="0"/>
        <w:sz w:val="18"/>
        <w:szCs w:val="18"/>
        <w:lang w:val="en-US" w:eastAsia="zh-CN" w:bidi="ar-SA"/>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FC00FC"/>
    <w:rsid w:val="0965726C"/>
    <w:rsid w:val="12046427"/>
    <w:rsid w:val="15774E64"/>
    <w:rsid w:val="17573ED8"/>
    <w:rsid w:val="24545404"/>
    <w:rsid w:val="3504507C"/>
    <w:rsid w:val="40964755"/>
    <w:rsid w:val="563261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2021-06-11T03:59:00Z</dcterms:created>
  <dc:creator>hp</dc:creator>
  <cp:lastModifiedBy>子默</cp:lastModifiedBy>
  <cp:lastPrinted>2021-06-15T07:43:03Z</cp:lastPrinted>
  <dcterms:modified xsi:type="dcterms:W3CDTF">2021-06-15T08:43:04Z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