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0D" w:rsidRDefault="00812B0D" w:rsidP="00812B0D">
      <w:pPr>
        <w:ind w:leftChars="0" w:left="240" w:right="240"/>
        <w:jc w:val="center"/>
        <w:rPr>
          <w:rFonts w:hAnsi="宋体"/>
          <w:b/>
          <w:sz w:val="36"/>
          <w:szCs w:val="36"/>
        </w:rPr>
      </w:pPr>
    </w:p>
    <w:p w:rsidR="00812B0D" w:rsidRDefault="00812B0D" w:rsidP="00812B0D">
      <w:pPr>
        <w:ind w:leftChars="0" w:left="240" w:right="240"/>
        <w:jc w:val="center"/>
        <w:rPr>
          <w:rFonts w:hAnsi="宋体"/>
          <w:b/>
          <w:sz w:val="36"/>
          <w:szCs w:val="36"/>
        </w:rPr>
      </w:pPr>
    </w:p>
    <w:p w:rsidR="00812B0D" w:rsidRDefault="00812B0D" w:rsidP="00812B0D">
      <w:pPr>
        <w:ind w:leftChars="0" w:left="240" w:right="240"/>
        <w:jc w:val="center"/>
        <w:rPr>
          <w:rFonts w:hAnsi="宋体"/>
          <w:b/>
          <w:sz w:val="36"/>
          <w:szCs w:val="36"/>
        </w:rPr>
      </w:pPr>
    </w:p>
    <w:p w:rsidR="00812B0D" w:rsidRPr="00E07B7A" w:rsidRDefault="00812B0D" w:rsidP="00812B0D">
      <w:pPr>
        <w:ind w:leftChars="0" w:left="240" w:right="240"/>
        <w:jc w:val="center"/>
        <w:rPr>
          <w:rFonts w:hAnsi="宋体"/>
          <w:b/>
          <w:sz w:val="44"/>
          <w:szCs w:val="44"/>
        </w:rPr>
      </w:pPr>
      <w:r w:rsidRPr="00E07B7A">
        <w:rPr>
          <w:rFonts w:hAnsi="宋体" w:hint="eastAsia"/>
          <w:b/>
          <w:sz w:val="44"/>
          <w:szCs w:val="44"/>
        </w:rPr>
        <w:t>广东省汕尾市气象局</w:t>
      </w:r>
    </w:p>
    <w:p w:rsidR="00812B0D" w:rsidRDefault="00812B0D" w:rsidP="00812B0D">
      <w:pPr>
        <w:ind w:leftChars="0" w:left="240" w:right="240"/>
        <w:jc w:val="center"/>
        <w:rPr>
          <w:rFonts w:hAnsi="宋体"/>
          <w:b/>
          <w:sz w:val="44"/>
          <w:szCs w:val="44"/>
        </w:rPr>
      </w:pPr>
      <w:r>
        <w:rPr>
          <w:rFonts w:hAnsi="宋体" w:hint="eastAsia"/>
          <w:b/>
          <w:sz w:val="44"/>
          <w:szCs w:val="44"/>
        </w:rPr>
        <w:t>2021年网络安全等级保护测评服务项目</w:t>
      </w:r>
    </w:p>
    <w:p w:rsidR="00812B0D" w:rsidRDefault="00115ADA" w:rsidP="00812B0D">
      <w:pPr>
        <w:ind w:leftChars="0" w:left="240" w:right="240"/>
        <w:jc w:val="center"/>
        <w:rPr>
          <w:rFonts w:hAnsi="宋体"/>
          <w:b/>
          <w:sz w:val="44"/>
          <w:szCs w:val="44"/>
        </w:rPr>
      </w:pPr>
      <w:r>
        <w:rPr>
          <w:rFonts w:hAnsi="宋体" w:hint="eastAsia"/>
          <w:b/>
          <w:sz w:val="44"/>
          <w:szCs w:val="44"/>
        </w:rPr>
        <w:t>采购</w:t>
      </w:r>
      <w:bookmarkStart w:id="0" w:name="_GoBack"/>
      <w:bookmarkEnd w:id="0"/>
      <w:r w:rsidR="00812B0D">
        <w:rPr>
          <w:rFonts w:hAnsi="宋体" w:hint="eastAsia"/>
          <w:b/>
          <w:sz w:val="44"/>
          <w:szCs w:val="44"/>
        </w:rPr>
        <w:t>需求书</w:t>
      </w:r>
    </w:p>
    <w:p w:rsidR="00812B0D" w:rsidRDefault="00812B0D" w:rsidP="00812B0D">
      <w:pPr>
        <w:ind w:leftChars="0" w:left="240" w:right="240"/>
        <w:jc w:val="center"/>
        <w:rPr>
          <w:rFonts w:hAnsi="宋体"/>
          <w:b/>
          <w:sz w:val="44"/>
          <w:szCs w:val="44"/>
        </w:rPr>
      </w:pPr>
    </w:p>
    <w:p w:rsidR="00812B0D" w:rsidRDefault="00812B0D" w:rsidP="00812B0D">
      <w:pPr>
        <w:ind w:leftChars="0" w:left="240" w:right="240"/>
        <w:jc w:val="center"/>
        <w:rPr>
          <w:rFonts w:hAnsi="宋体"/>
          <w:b/>
          <w:sz w:val="44"/>
          <w:szCs w:val="44"/>
        </w:rPr>
      </w:pPr>
    </w:p>
    <w:p w:rsidR="00812B0D" w:rsidRDefault="00812B0D" w:rsidP="00812B0D">
      <w:pPr>
        <w:ind w:leftChars="0" w:left="240" w:right="240"/>
        <w:jc w:val="center"/>
        <w:rPr>
          <w:rFonts w:hAnsi="宋体"/>
          <w:b/>
          <w:sz w:val="44"/>
          <w:szCs w:val="44"/>
        </w:rPr>
      </w:pPr>
    </w:p>
    <w:p w:rsidR="00812B0D" w:rsidRDefault="00812B0D" w:rsidP="00812B0D">
      <w:pPr>
        <w:ind w:leftChars="0" w:left="240" w:right="240"/>
        <w:jc w:val="center"/>
        <w:rPr>
          <w:rFonts w:hAnsi="宋体"/>
          <w:b/>
          <w:sz w:val="44"/>
          <w:szCs w:val="44"/>
        </w:rPr>
      </w:pPr>
    </w:p>
    <w:p w:rsidR="00812B0D" w:rsidRDefault="00812B0D" w:rsidP="00812B0D">
      <w:pPr>
        <w:ind w:leftChars="0" w:left="240" w:right="240"/>
        <w:jc w:val="center"/>
        <w:rPr>
          <w:rFonts w:hAnsi="宋体"/>
          <w:b/>
          <w:sz w:val="44"/>
          <w:szCs w:val="44"/>
        </w:rPr>
      </w:pPr>
    </w:p>
    <w:p w:rsidR="00812B0D" w:rsidRDefault="00812B0D" w:rsidP="00812B0D">
      <w:pPr>
        <w:ind w:leftChars="0" w:left="240" w:right="240"/>
        <w:jc w:val="center"/>
        <w:rPr>
          <w:rFonts w:hAnsi="宋体"/>
          <w:b/>
          <w:sz w:val="44"/>
          <w:szCs w:val="44"/>
        </w:rPr>
      </w:pPr>
    </w:p>
    <w:p w:rsidR="00812B0D" w:rsidRDefault="00812B0D" w:rsidP="00812B0D">
      <w:pPr>
        <w:spacing w:line="360" w:lineRule="auto"/>
        <w:ind w:left="240" w:right="240"/>
        <w:jc w:val="center"/>
        <w:rPr>
          <w:rFonts w:ascii="楷体_GB2312" w:eastAsia="楷体_GB2312" w:cs="Arial"/>
          <w:b/>
          <w:bCs/>
          <w:sz w:val="32"/>
          <w:szCs w:val="32"/>
        </w:rPr>
      </w:pPr>
    </w:p>
    <w:p w:rsidR="00812B0D" w:rsidRDefault="00812B0D" w:rsidP="00812B0D">
      <w:pPr>
        <w:spacing w:line="360" w:lineRule="auto"/>
        <w:ind w:left="240" w:right="240"/>
        <w:jc w:val="center"/>
        <w:rPr>
          <w:rFonts w:ascii="楷体_GB2312" w:eastAsia="楷体_GB2312" w:cs="Arial"/>
          <w:b/>
          <w:bCs/>
          <w:sz w:val="32"/>
          <w:szCs w:val="32"/>
        </w:rPr>
      </w:pPr>
    </w:p>
    <w:p w:rsidR="00812B0D" w:rsidRPr="00997225" w:rsidRDefault="00812B0D" w:rsidP="00812B0D">
      <w:pPr>
        <w:spacing w:line="360" w:lineRule="auto"/>
        <w:ind w:left="240" w:right="240"/>
        <w:jc w:val="center"/>
        <w:rPr>
          <w:rFonts w:ascii="楷体_GB2312" w:eastAsia="楷体_GB2312" w:cs="Arial"/>
          <w:b/>
          <w:sz w:val="32"/>
          <w:szCs w:val="32"/>
        </w:rPr>
      </w:pPr>
      <w:r>
        <w:rPr>
          <w:rFonts w:ascii="楷体_GB2312" w:eastAsia="楷体_GB2312" w:cs="Arial" w:hint="eastAsia"/>
          <w:b/>
          <w:bCs/>
          <w:sz w:val="32"/>
          <w:szCs w:val="32"/>
        </w:rPr>
        <w:t>20</w:t>
      </w:r>
      <w:r>
        <w:rPr>
          <w:rFonts w:ascii="楷体_GB2312" w:eastAsia="楷体_GB2312" w:cs="Arial"/>
          <w:b/>
          <w:bCs/>
          <w:sz w:val="32"/>
          <w:szCs w:val="32"/>
        </w:rPr>
        <w:t>21</w:t>
      </w:r>
      <w:r>
        <w:rPr>
          <w:rFonts w:ascii="楷体_GB2312" w:eastAsia="楷体_GB2312" w:cs="Arial" w:hint="eastAsia"/>
          <w:b/>
          <w:bCs/>
          <w:sz w:val="32"/>
          <w:szCs w:val="32"/>
        </w:rPr>
        <w:t>年</w:t>
      </w:r>
      <w:r>
        <w:rPr>
          <w:rFonts w:ascii="楷体_GB2312" w:eastAsia="楷体_GB2312" w:cs="Arial"/>
          <w:b/>
          <w:bCs/>
          <w:sz w:val="32"/>
          <w:szCs w:val="32"/>
        </w:rPr>
        <w:t>4</w:t>
      </w:r>
      <w:r>
        <w:rPr>
          <w:rFonts w:ascii="楷体_GB2312" w:eastAsia="楷体_GB2312" w:cs="Arial" w:hint="eastAsia"/>
          <w:b/>
          <w:bCs/>
          <w:sz w:val="32"/>
          <w:szCs w:val="32"/>
        </w:rPr>
        <w:t>月</w:t>
      </w:r>
      <w:r>
        <w:rPr>
          <w:rFonts w:ascii="楷体_GB2312" w:eastAsia="楷体_GB2312" w:cs="Arial" w:hint="eastAsia"/>
          <w:b/>
          <w:sz w:val="32"/>
          <w:szCs w:val="32"/>
        </w:rPr>
        <w:t xml:space="preserve"> </w:t>
      </w:r>
    </w:p>
    <w:p w:rsidR="00812B0D" w:rsidRDefault="00812B0D" w:rsidP="00812B0D">
      <w:pPr>
        <w:pStyle w:val="a0"/>
        <w:spacing w:line="360" w:lineRule="auto"/>
        <w:ind w:left="240" w:right="240" w:firstLine="640"/>
        <w:rPr>
          <w:rFonts w:ascii="仿宋" w:eastAsia="仿宋" w:hAnsi="仿宋" w:hint="eastAsia"/>
          <w:sz w:val="32"/>
          <w:szCs w:val="32"/>
        </w:rPr>
      </w:pPr>
    </w:p>
    <w:p w:rsidR="00812B0D" w:rsidRDefault="00812B0D" w:rsidP="00812B0D">
      <w:pPr>
        <w:pStyle w:val="a0"/>
        <w:spacing w:line="360" w:lineRule="auto"/>
        <w:ind w:left="240" w:right="240" w:firstLine="640"/>
        <w:rPr>
          <w:rFonts w:ascii="仿宋" w:eastAsia="仿宋" w:hAnsi="仿宋" w:hint="eastAsia"/>
          <w:sz w:val="32"/>
          <w:szCs w:val="32"/>
        </w:rPr>
      </w:pPr>
    </w:p>
    <w:p w:rsidR="00812B0D" w:rsidRDefault="00812B0D" w:rsidP="00812B0D">
      <w:pPr>
        <w:pStyle w:val="a0"/>
        <w:spacing w:line="360" w:lineRule="auto"/>
        <w:ind w:left="240" w:right="240" w:firstLine="640"/>
        <w:rPr>
          <w:rFonts w:ascii="仿宋" w:eastAsia="仿宋" w:hAnsi="仿宋" w:hint="eastAsia"/>
          <w:sz w:val="32"/>
          <w:szCs w:val="32"/>
        </w:rPr>
      </w:pPr>
    </w:p>
    <w:p w:rsidR="00812B0D" w:rsidRPr="00812B0D" w:rsidRDefault="00812B0D" w:rsidP="00115ADA">
      <w:pPr>
        <w:pStyle w:val="a0"/>
        <w:spacing w:line="560" w:lineRule="exact"/>
        <w:ind w:leftChars="0" w:left="0" w:right="240" w:firstLineChars="0" w:firstLine="0"/>
        <w:rPr>
          <w:rFonts w:ascii="黑体" w:eastAsia="黑体" w:hAnsi="黑体" w:hint="eastAsia"/>
          <w:sz w:val="32"/>
          <w:szCs w:val="32"/>
        </w:rPr>
      </w:pPr>
      <w:r w:rsidRPr="00812B0D">
        <w:rPr>
          <w:rFonts w:ascii="黑体" w:eastAsia="黑体" w:hAnsi="黑体" w:hint="eastAsia"/>
          <w:sz w:val="32"/>
          <w:szCs w:val="32"/>
        </w:rPr>
        <w:lastRenderedPageBreak/>
        <w:t>一、项目背景</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为加快推进和保障我局气象现代化建设工作，加强信息系统安全等级保护，提高气象信息系统安全能力。根据《中华人民共和国网络安全法》要求，我局拟对汕尾市气象灾害应急联动工作平台和12121应急气象电系统网络安全等级保护测评服务进行公开询价</w:t>
      </w:r>
      <w:r w:rsidR="00115ADA">
        <w:rPr>
          <w:rFonts w:ascii="仿宋" w:eastAsia="仿宋" w:hAnsi="仿宋" w:hint="eastAsia"/>
          <w:sz w:val="32"/>
          <w:szCs w:val="32"/>
        </w:rPr>
        <w:t>采购</w:t>
      </w:r>
      <w:r w:rsidRPr="00812B0D">
        <w:rPr>
          <w:rFonts w:ascii="仿宋" w:eastAsia="仿宋" w:hAnsi="仿宋" w:hint="eastAsia"/>
          <w:sz w:val="32"/>
          <w:szCs w:val="32"/>
        </w:rPr>
        <w:t>。</w:t>
      </w:r>
    </w:p>
    <w:p w:rsidR="00812B0D" w:rsidRPr="00812B0D" w:rsidRDefault="00812B0D" w:rsidP="00115ADA">
      <w:pPr>
        <w:pStyle w:val="a0"/>
        <w:spacing w:line="560" w:lineRule="exact"/>
        <w:ind w:leftChars="0" w:left="0" w:right="240" w:firstLineChars="0" w:firstLine="0"/>
        <w:rPr>
          <w:rFonts w:ascii="黑体" w:eastAsia="黑体" w:hAnsi="黑体"/>
          <w:sz w:val="32"/>
          <w:szCs w:val="32"/>
        </w:rPr>
      </w:pPr>
      <w:r>
        <w:rPr>
          <w:rFonts w:ascii="黑体" w:eastAsia="黑体" w:hAnsi="黑体" w:hint="eastAsia"/>
          <w:sz w:val="32"/>
          <w:szCs w:val="32"/>
        </w:rPr>
        <w:t>二、</w:t>
      </w:r>
      <w:r w:rsidRPr="00812B0D">
        <w:rPr>
          <w:rFonts w:ascii="黑体" w:eastAsia="黑体" w:hAnsi="黑体" w:hint="eastAsia"/>
          <w:sz w:val="32"/>
          <w:szCs w:val="32"/>
        </w:rPr>
        <w:t>项目目标</w:t>
      </w:r>
    </w:p>
    <w:p w:rsidR="00812B0D" w:rsidRPr="00115ADA"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依据《信息安全技术网络安全等级保护基本要求》对我局信息系统展开等级保护测评工作，找出我局信息系统在网络安全等级保护建设上与国家网络安全等级保护标准要求的差距，促进我局信息系统的安全建设及整改，完善网络安全保障体系，满足国家网络安全等级保护标准要求。</w:t>
      </w:r>
    </w:p>
    <w:p w:rsidR="00812B0D" w:rsidRPr="00812B0D" w:rsidRDefault="00812B0D" w:rsidP="00115ADA">
      <w:pPr>
        <w:pStyle w:val="a0"/>
        <w:spacing w:line="560" w:lineRule="exact"/>
        <w:ind w:leftChars="0" w:left="0" w:right="240" w:firstLineChars="0" w:firstLine="0"/>
        <w:rPr>
          <w:rFonts w:ascii="黑体" w:eastAsia="黑体" w:hAnsi="黑体"/>
          <w:sz w:val="32"/>
          <w:szCs w:val="32"/>
        </w:rPr>
      </w:pPr>
      <w:r>
        <w:rPr>
          <w:rFonts w:ascii="黑体" w:eastAsia="黑体" w:hAnsi="黑体" w:hint="eastAsia"/>
          <w:sz w:val="32"/>
          <w:szCs w:val="32"/>
        </w:rPr>
        <w:t>三、测评</w:t>
      </w:r>
      <w:r w:rsidRPr="00812B0D">
        <w:rPr>
          <w:rFonts w:ascii="黑体" w:eastAsia="黑体" w:hAnsi="黑体" w:hint="eastAsia"/>
          <w:sz w:val="32"/>
          <w:szCs w:val="32"/>
        </w:rPr>
        <w:t>对象</w:t>
      </w:r>
    </w:p>
    <w:tbl>
      <w:tblPr>
        <w:tblW w:w="8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2835"/>
        <w:gridCol w:w="1824"/>
      </w:tblGrid>
      <w:tr w:rsidR="00812B0D" w:rsidTr="00812B0D">
        <w:tc>
          <w:tcPr>
            <w:tcW w:w="4219" w:type="dxa"/>
            <w:shd w:val="clear" w:color="auto" w:fill="BFBFBF"/>
          </w:tcPr>
          <w:p w:rsidR="00812B0D" w:rsidRPr="00812B0D" w:rsidRDefault="00812B0D" w:rsidP="00B35F28">
            <w:pPr>
              <w:spacing w:after="0" w:line="360" w:lineRule="auto"/>
              <w:ind w:leftChars="0" w:left="0" w:right="240"/>
              <w:jc w:val="center"/>
              <w:rPr>
                <w:rFonts w:ascii="仿宋" w:eastAsia="仿宋" w:hAnsi="仿宋"/>
                <w:sz w:val="32"/>
                <w:szCs w:val="32"/>
              </w:rPr>
            </w:pPr>
            <w:r w:rsidRPr="00812B0D">
              <w:rPr>
                <w:rFonts w:ascii="仿宋" w:eastAsia="仿宋" w:hAnsi="仿宋" w:hint="eastAsia"/>
                <w:sz w:val="32"/>
                <w:szCs w:val="32"/>
              </w:rPr>
              <w:t>系统名称</w:t>
            </w:r>
          </w:p>
        </w:tc>
        <w:tc>
          <w:tcPr>
            <w:tcW w:w="2835" w:type="dxa"/>
            <w:shd w:val="clear" w:color="auto" w:fill="BFBFBF"/>
          </w:tcPr>
          <w:p w:rsidR="00812B0D" w:rsidRPr="00812B0D" w:rsidRDefault="00812B0D" w:rsidP="00B35F28">
            <w:pPr>
              <w:spacing w:after="0" w:line="360" w:lineRule="auto"/>
              <w:ind w:leftChars="0" w:left="0" w:right="240"/>
              <w:jc w:val="center"/>
              <w:rPr>
                <w:rFonts w:ascii="仿宋" w:eastAsia="仿宋" w:hAnsi="仿宋"/>
                <w:sz w:val="32"/>
                <w:szCs w:val="32"/>
              </w:rPr>
            </w:pPr>
            <w:r w:rsidRPr="00812B0D">
              <w:rPr>
                <w:rFonts w:ascii="仿宋" w:eastAsia="仿宋" w:hAnsi="仿宋" w:hint="eastAsia"/>
                <w:sz w:val="32"/>
                <w:szCs w:val="32"/>
              </w:rPr>
              <w:t>系统类型</w:t>
            </w:r>
          </w:p>
        </w:tc>
        <w:tc>
          <w:tcPr>
            <w:tcW w:w="1824" w:type="dxa"/>
            <w:shd w:val="clear" w:color="auto" w:fill="BFBFBF"/>
          </w:tcPr>
          <w:p w:rsidR="00812B0D" w:rsidRPr="00812B0D" w:rsidRDefault="00812B0D" w:rsidP="00B35F28">
            <w:pPr>
              <w:spacing w:after="0" w:line="360" w:lineRule="auto"/>
              <w:ind w:leftChars="0" w:left="0" w:right="240"/>
              <w:jc w:val="center"/>
              <w:rPr>
                <w:rFonts w:ascii="仿宋" w:eastAsia="仿宋" w:hAnsi="仿宋"/>
                <w:sz w:val="32"/>
                <w:szCs w:val="32"/>
              </w:rPr>
            </w:pPr>
            <w:r w:rsidRPr="00812B0D">
              <w:rPr>
                <w:rFonts w:ascii="仿宋" w:eastAsia="仿宋" w:hAnsi="仿宋" w:hint="eastAsia"/>
                <w:sz w:val="32"/>
                <w:szCs w:val="32"/>
              </w:rPr>
              <w:t>拟定级别</w:t>
            </w:r>
          </w:p>
        </w:tc>
      </w:tr>
      <w:tr w:rsidR="00812B0D" w:rsidTr="00812B0D">
        <w:tc>
          <w:tcPr>
            <w:tcW w:w="4219" w:type="dxa"/>
          </w:tcPr>
          <w:p w:rsidR="00812B0D" w:rsidRPr="00812B0D" w:rsidRDefault="00812B0D" w:rsidP="00115ADA">
            <w:pPr>
              <w:spacing w:after="0" w:line="560" w:lineRule="exact"/>
              <w:ind w:leftChars="0" w:left="0" w:right="240"/>
              <w:jc w:val="center"/>
              <w:rPr>
                <w:rFonts w:ascii="仿宋" w:eastAsia="仿宋" w:hAnsi="仿宋"/>
                <w:sz w:val="32"/>
                <w:szCs w:val="32"/>
              </w:rPr>
            </w:pPr>
            <w:r w:rsidRPr="00812B0D">
              <w:rPr>
                <w:rFonts w:ascii="仿宋" w:eastAsia="仿宋" w:hAnsi="仿宋" w:hint="eastAsia"/>
                <w:sz w:val="32"/>
                <w:szCs w:val="32"/>
              </w:rPr>
              <w:t>汕尾市气象灾害应急联动工作平台</w:t>
            </w:r>
          </w:p>
        </w:tc>
        <w:tc>
          <w:tcPr>
            <w:tcW w:w="2835" w:type="dxa"/>
          </w:tcPr>
          <w:p w:rsidR="00812B0D" w:rsidRPr="00812B0D" w:rsidRDefault="00812B0D" w:rsidP="00115ADA">
            <w:pPr>
              <w:spacing w:after="0" w:line="560" w:lineRule="exact"/>
              <w:ind w:leftChars="0" w:left="0" w:right="240"/>
              <w:jc w:val="center"/>
              <w:rPr>
                <w:rFonts w:ascii="仿宋" w:eastAsia="仿宋" w:hAnsi="仿宋"/>
                <w:sz w:val="32"/>
                <w:szCs w:val="32"/>
              </w:rPr>
            </w:pPr>
            <w:r w:rsidRPr="00812B0D">
              <w:rPr>
                <w:rFonts w:ascii="仿宋" w:eastAsia="仿宋" w:hAnsi="仿宋" w:hint="eastAsia"/>
                <w:sz w:val="32"/>
                <w:szCs w:val="32"/>
              </w:rPr>
              <w:t>常规信息系统</w:t>
            </w:r>
          </w:p>
        </w:tc>
        <w:tc>
          <w:tcPr>
            <w:tcW w:w="1824" w:type="dxa"/>
          </w:tcPr>
          <w:p w:rsidR="00812B0D" w:rsidRPr="00812B0D" w:rsidRDefault="00812B0D" w:rsidP="00115ADA">
            <w:pPr>
              <w:spacing w:after="0" w:line="560" w:lineRule="exact"/>
              <w:ind w:leftChars="0" w:left="0" w:right="240"/>
              <w:jc w:val="center"/>
              <w:rPr>
                <w:rFonts w:ascii="仿宋" w:eastAsia="仿宋" w:hAnsi="仿宋"/>
                <w:sz w:val="32"/>
                <w:szCs w:val="32"/>
              </w:rPr>
            </w:pPr>
            <w:r w:rsidRPr="00812B0D">
              <w:rPr>
                <w:rFonts w:ascii="仿宋" w:eastAsia="仿宋" w:hAnsi="仿宋" w:hint="eastAsia"/>
                <w:sz w:val="32"/>
                <w:szCs w:val="32"/>
              </w:rPr>
              <w:t>第二级</w:t>
            </w:r>
          </w:p>
        </w:tc>
      </w:tr>
      <w:tr w:rsidR="00812B0D" w:rsidTr="00812B0D">
        <w:tc>
          <w:tcPr>
            <w:tcW w:w="4219" w:type="dxa"/>
          </w:tcPr>
          <w:p w:rsidR="00812B0D" w:rsidRPr="00812B0D" w:rsidRDefault="00812B0D" w:rsidP="00115ADA">
            <w:pPr>
              <w:spacing w:after="0" w:line="560" w:lineRule="exact"/>
              <w:ind w:leftChars="0" w:left="0" w:right="240"/>
              <w:jc w:val="center"/>
              <w:rPr>
                <w:rFonts w:ascii="仿宋" w:eastAsia="仿宋" w:hAnsi="仿宋"/>
                <w:sz w:val="32"/>
                <w:szCs w:val="32"/>
                <w:highlight w:val="yellow"/>
              </w:rPr>
            </w:pPr>
            <w:r w:rsidRPr="00812B0D">
              <w:rPr>
                <w:rFonts w:ascii="仿宋" w:eastAsia="仿宋" w:hAnsi="仿宋" w:hint="eastAsia"/>
                <w:sz w:val="32"/>
                <w:szCs w:val="32"/>
              </w:rPr>
              <w:t>12121应急气象电系统</w:t>
            </w:r>
          </w:p>
        </w:tc>
        <w:tc>
          <w:tcPr>
            <w:tcW w:w="2835" w:type="dxa"/>
          </w:tcPr>
          <w:p w:rsidR="00812B0D" w:rsidRPr="00812B0D" w:rsidRDefault="00812B0D" w:rsidP="00115ADA">
            <w:pPr>
              <w:spacing w:after="0" w:line="560" w:lineRule="exact"/>
              <w:ind w:leftChars="0" w:left="0" w:right="240"/>
              <w:jc w:val="center"/>
              <w:rPr>
                <w:rFonts w:ascii="仿宋" w:eastAsia="仿宋" w:hAnsi="仿宋"/>
                <w:sz w:val="32"/>
                <w:szCs w:val="32"/>
              </w:rPr>
            </w:pPr>
            <w:r w:rsidRPr="00812B0D">
              <w:rPr>
                <w:rFonts w:ascii="仿宋" w:eastAsia="仿宋" w:hAnsi="仿宋" w:hint="eastAsia"/>
                <w:sz w:val="32"/>
                <w:szCs w:val="32"/>
              </w:rPr>
              <w:t>常规信息系统</w:t>
            </w:r>
          </w:p>
        </w:tc>
        <w:tc>
          <w:tcPr>
            <w:tcW w:w="1824" w:type="dxa"/>
          </w:tcPr>
          <w:p w:rsidR="00812B0D" w:rsidRPr="00812B0D" w:rsidRDefault="00812B0D" w:rsidP="00115ADA">
            <w:pPr>
              <w:spacing w:after="0" w:line="560" w:lineRule="exact"/>
              <w:ind w:leftChars="0" w:left="0" w:right="240"/>
              <w:jc w:val="center"/>
              <w:rPr>
                <w:rFonts w:ascii="仿宋" w:eastAsia="仿宋" w:hAnsi="仿宋"/>
                <w:sz w:val="32"/>
                <w:szCs w:val="32"/>
              </w:rPr>
            </w:pPr>
            <w:r w:rsidRPr="00812B0D">
              <w:rPr>
                <w:rFonts w:ascii="仿宋" w:eastAsia="仿宋" w:hAnsi="仿宋" w:hint="eastAsia"/>
                <w:sz w:val="32"/>
                <w:szCs w:val="32"/>
              </w:rPr>
              <w:t>第二级</w:t>
            </w:r>
          </w:p>
        </w:tc>
      </w:tr>
    </w:tbl>
    <w:p w:rsidR="00812B0D" w:rsidRDefault="00812B0D" w:rsidP="00812B0D">
      <w:pPr>
        <w:ind w:leftChars="0" w:left="0" w:right="240"/>
        <w:rPr>
          <w:rFonts w:hAnsi="宋体"/>
          <w:szCs w:val="24"/>
        </w:rPr>
      </w:pPr>
    </w:p>
    <w:p w:rsidR="00812B0D" w:rsidRPr="00812B0D" w:rsidRDefault="00812B0D" w:rsidP="00115ADA">
      <w:pPr>
        <w:pStyle w:val="a0"/>
        <w:spacing w:line="560" w:lineRule="exact"/>
        <w:ind w:leftChars="0" w:left="0" w:right="240" w:firstLineChars="0" w:firstLine="0"/>
        <w:rPr>
          <w:rFonts w:ascii="黑体" w:eastAsia="黑体" w:hAnsi="黑体"/>
          <w:sz w:val="32"/>
          <w:szCs w:val="32"/>
        </w:rPr>
      </w:pPr>
      <w:bookmarkStart w:id="1" w:name="_Toc11918536"/>
      <w:r>
        <w:rPr>
          <w:rFonts w:ascii="黑体" w:eastAsia="黑体" w:hAnsi="黑体" w:hint="eastAsia"/>
          <w:sz w:val="32"/>
          <w:szCs w:val="32"/>
        </w:rPr>
        <w:t>四、</w:t>
      </w:r>
      <w:r w:rsidRPr="00812B0D">
        <w:rPr>
          <w:rFonts w:ascii="黑体" w:eastAsia="黑体" w:hAnsi="黑体" w:hint="eastAsia"/>
          <w:sz w:val="32"/>
          <w:szCs w:val="32"/>
        </w:rPr>
        <w:t>服务内容</w:t>
      </w:r>
      <w:bookmarkEnd w:id="1"/>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主要的服务内容要求如下：</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lastRenderedPageBreak/>
        <w:t>1.协助定级：协助对我局信息系统定级材料进行整理，并且指导完成定级备案。</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2.初次等级测评：对我局信息系统实施等级测评，找出系统安全保护措施与国家等级保护相关标准要求的差距。</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3.协助整改：根据初次等级测评结果，协助对我局信息系统进行整改指导，给出整改建议。</w:t>
      </w:r>
    </w:p>
    <w:p w:rsidR="00812B0D" w:rsidRPr="00115ADA"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4.复测评：在我局整改完成后，提供复测评服务，对整改结果进行验证，确认系统的安全防护措施已基本达到国家等级保护相关标准要求，并协助完成等级测评备案。</w:t>
      </w:r>
    </w:p>
    <w:p w:rsidR="00812B0D" w:rsidRPr="00115ADA" w:rsidRDefault="00812B0D" w:rsidP="00115ADA">
      <w:pPr>
        <w:adjustRightInd/>
        <w:snapToGrid/>
        <w:spacing w:after="0"/>
        <w:ind w:leftChars="0" w:left="0" w:right="240"/>
        <w:rPr>
          <w:rFonts w:hAnsi="宋体"/>
        </w:rPr>
      </w:pPr>
      <w:r>
        <w:rPr>
          <w:rFonts w:ascii="黑体" w:eastAsia="黑体" w:hAnsi="黑体" w:hint="eastAsia"/>
          <w:sz w:val="32"/>
          <w:szCs w:val="32"/>
        </w:rPr>
        <w:t>五、</w:t>
      </w:r>
      <w:r w:rsidRPr="00812B0D">
        <w:rPr>
          <w:rFonts w:ascii="黑体" w:eastAsia="黑体" w:hAnsi="黑体" w:hint="eastAsia"/>
          <w:sz w:val="32"/>
          <w:szCs w:val="32"/>
        </w:rPr>
        <w:t>技术要求</w:t>
      </w:r>
    </w:p>
    <w:p w:rsidR="00812B0D" w:rsidRPr="00812B0D" w:rsidRDefault="00812B0D" w:rsidP="00812B0D">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本项目需要依据下列法律法规及等级保护相关技术标准：</w:t>
      </w:r>
    </w:p>
    <w:p w:rsidR="00812B0D" w:rsidRPr="00812B0D" w:rsidRDefault="00812B0D" w:rsidP="00812B0D">
      <w:pPr>
        <w:pStyle w:val="a0"/>
        <w:spacing w:line="560" w:lineRule="exact"/>
        <w:ind w:left="240" w:right="240" w:firstLine="640"/>
        <w:rPr>
          <w:rFonts w:ascii="楷体" w:eastAsia="楷体" w:hAnsi="楷体"/>
          <w:sz w:val="32"/>
          <w:szCs w:val="32"/>
        </w:rPr>
      </w:pPr>
      <w:r w:rsidRPr="00812B0D">
        <w:rPr>
          <w:rFonts w:ascii="楷体" w:eastAsia="楷体" w:hAnsi="楷体" w:hint="eastAsia"/>
          <w:sz w:val="32"/>
          <w:szCs w:val="32"/>
        </w:rPr>
        <w:t>1.</w:t>
      </w:r>
      <w:r w:rsidRPr="00812B0D">
        <w:rPr>
          <w:rFonts w:ascii="楷体" w:eastAsia="楷体" w:hAnsi="楷体" w:hint="eastAsia"/>
          <w:sz w:val="32"/>
          <w:szCs w:val="32"/>
        </w:rPr>
        <w:t>法律依据</w:t>
      </w:r>
    </w:p>
    <w:p w:rsidR="00812B0D" w:rsidRPr="00812B0D" w:rsidRDefault="00812B0D" w:rsidP="00812B0D">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《中华人民共和国网络安全法》</w:t>
      </w:r>
    </w:p>
    <w:p w:rsidR="00812B0D" w:rsidRPr="00812B0D" w:rsidRDefault="00812B0D" w:rsidP="00812B0D">
      <w:pPr>
        <w:pStyle w:val="a0"/>
        <w:spacing w:line="560" w:lineRule="exact"/>
        <w:ind w:left="240" w:right="240" w:firstLine="640"/>
        <w:rPr>
          <w:rFonts w:ascii="楷体" w:eastAsia="楷体" w:hAnsi="楷体"/>
          <w:sz w:val="32"/>
          <w:szCs w:val="32"/>
        </w:rPr>
      </w:pPr>
      <w:r>
        <w:rPr>
          <w:rFonts w:ascii="楷体" w:eastAsia="楷体" w:hAnsi="楷体" w:hint="eastAsia"/>
          <w:sz w:val="32"/>
          <w:szCs w:val="32"/>
        </w:rPr>
        <w:t>2.</w:t>
      </w:r>
      <w:r w:rsidRPr="00812B0D">
        <w:rPr>
          <w:rFonts w:ascii="楷体" w:eastAsia="楷体" w:hAnsi="楷体" w:hint="eastAsia"/>
          <w:sz w:val="32"/>
          <w:szCs w:val="32"/>
        </w:rPr>
        <w:t>法规要求</w:t>
      </w:r>
    </w:p>
    <w:p w:rsidR="00812B0D" w:rsidRDefault="00812B0D" w:rsidP="00812B0D">
      <w:pPr>
        <w:pStyle w:val="a0"/>
        <w:spacing w:line="560" w:lineRule="exact"/>
        <w:ind w:leftChars="0" w:left="0" w:right="240" w:firstLine="640"/>
        <w:rPr>
          <w:rFonts w:ascii="仿宋" w:eastAsia="仿宋" w:hAnsi="仿宋" w:hint="eastAsia"/>
          <w:sz w:val="32"/>
          <w:szCs w:val="32"/>
        </w:rPr>
      </w:pPr>
      <w:r w:rsidRPr="00812B0D">
        <w:rPr>
          <w:rFonts w:ascii="仿宋" w:eastAsia="仿宋" w:hAnsi="仿宋" w:hint="eastAsia"/>
          <w:sz w:val="32"/>
          <w:szCs w:val="32"/>
        </w:rPr>
        <w:t>《中华人民共和国计算机信息系统安全保护条例》（国务院147号令）</w:t>
      </w:r>
    </w:p>
    <w:p w:rsidR="00812B0D" w:rsidRPr="00812B0D" w:rsidRDefault="00812B0D" w:rsidP="00812B0D">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《信息安全等级保护管理办法》（公通字[2007]43号）</w:t>
      </w:r>
    </w:p>
    <w:p w:rsidR="00812B0D" w:rsidRPr="00812B0D" w:rsidRDefault="00812B0D" w:rsidP="00812B0D">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《网络安全等级保护条例》（征求意见稿）</w:t>
      </w:r>
    </w:p>
    <w:p w:rsidR="00812B0D" w:rsidRPr="00812B0D" w:rsidRDefault="00812B0D" w:rsidP="00812B0D">
      <w:pPr>
        <w:pStyle w:val="a0"/>
        <w:spacing w:line="560" w:lineRule="exact"/>
        <w:ind w:left="240" w:right="240" w:firstLine="640"/>
        <w:rPr>
          <w:rFonts w:ascii="楷体" w:eastAsia="楷体" w:hAnsi="楷体"/>
          <w:sz w:val="32"/>
          <w:szCs w:val="32"/>
        </w:rPr>
      </w:pPr>
      <w:r>
        <w:rPr>
          <w:rFonts w:ascii="楷体" w:eastAsia="楷体" w:hAnsi="楷体" w:hint="eastAsia"/>
          <w:sz w:val="32"/>
          <w:szCs w:val="32"/>
        </w:rPr>
        <w:t>3.</w:t>
      </w:r>
      <w:r w:rsidRPr="00812B0D">
        <w:rPr>
          <w:rFonts w:ascii="楷体" w:eastAsia="楷体" w:hAnsi="楷体" w:hint="eastAsia"/>
          <w:sz w:val="32"/>
          <w:szCs w:val="32"/>
        </w:rPr>
        <w:t>遵循的主要</w:t>
      </w:r>
      <w:r w:rsidRPr="00812B0D">
        <w:rPr>
          <w:rFonts w:ascii="楷体" w:eastAsia="楷体" w:hAnsi="楷体"/>
          <w:sz w:val="32"/>
          <w:szCs w:val="32"/>
        </w:rPr>
        <w:t>标准</w:t>
      </w:r>
    </w:p>
    <w:p w:rsidR="00812B0D" w:rsidRPr="00812B0D" w:rsidRDefault="00812B0D" w:rsidP="00812B0D">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lastRenderedPageBreak/>
        <w:t>《信息</w:t>
      </w:r>
      <w:r w:rsidRPr="00812B0D">
        <w:rPr>
          <w:rFonts w:ascii="仿宋" w:eastAsia="仿宋" w:hAnsi="仿宋"/>
          <w:sz w:val="32"/>
          <w:szCs w:val="32"/>
        </w:rPr>
        <w:t>安全技术</w:t>
      </w:r>
      <w:r w:rsidRPr="00812B0D">
        <w:rPr>
          <w:rFonts w:ascii="仿宋" w:eastAsia="仿宋" w:hAnsi="仿宋" w:hint="eastAsia"/>
          <w:sz w:val="32"/>
          <w:szCs w:val="32"/>
        </w:rPr>
        <w:t xml:space="preserve"> 网络安全等级保护定级指南》</w:t>
      </w:r>
    </w:p>
    <w:p w:rsidR="00812B0D" w:rsidRPr="00812B0D" w:rsidRDefault="00812B0D" w:rsidP="00812B0D">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《信息</w:t>
      </w:r>
      <w:r w:rsidRPr="00812B0D">
        <w:rPr>
          <w:rFonts w:ascii="仿宋" w:eastAsia="仿宋" w:hAnsi="仿宋"/>
          <w:sz w:val="32"/>
          <w:szCs w:val="32"/>
        </w:rPr>
        <w:t>安全技术</w:t>
      </w:r>
      <w:r w:rsidRPr="00812B0D">
        <w:rPr>
          <w:rFonts w:ascii="仿宋" w:eastAsia="仿宋" w:hAnsi="仿宋" w:hint="eastAsia"/>
          <w:sz w:val="32"/>
          <w:szCs w:val="32"/>
        </w:rPr>
        <w:t xml:space="preserve"> 网络安全等级保护基本要求》</w:t>
      </w:r>
    </w:p>
    <w:p w:rsidR="00812B0D" w:rsidRPr="00812B0D" w:rsidRDefault="00812B0D" w:rsidP="00812B0D">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《信息</w:t>
      </w:r>
      <w:r w:rsidRPr="00812B0D">
        <w:rPr>
          <w:rFonts w:ascii="仿宋" w:eastAsia="仿宋" w:hAnsi="仿宋"/>
          <w:sz w:val="32"/>
          <w:szCs w:val="32"/>
        </w:rPr>
        <w:t>安全技术</w:t>
      </w:r>
      <w:r w:rsidRPr="00812B0D">
        <w:rPr>
          <w:rFonts w:ascii="仿宋" w:eastAsia="仿宋" w:hAnsi="仿宋" w:hint="eastAsia"/>
          <w:sz w:val="32"/>
          <w:szCs w:val="32"/>
        </w:rPr>
        <w:t xml:space="preserve"> 网络安全等级保护测评要求》</w:t>
      </w:r>
    </w:p>
    <w:p w:rsidR="00812B0D" w:rsidRPr="00812B0D" w:rsidRDefault="00812B0D" w:rsidP="00812B0D">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《信息安全技术 网络安全等级保护安全设计技术要求》</w:t>
      </w:r>
    </w:p>
    <w:p w:rsidR="00115ADA" w:rsidRPr="00115ADA"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《信息安全技术 网络安全等级保护测评过程指南》</w:t>
      </w:r>
    </w:p>
    <w:p w:rsidR="00812B0D" w:rsidRPr="00115ADA" w:rsidRDefault="00115ADA" w:rsidP="00115ADA">
      <w:pPr>
        <w:pStyle w:val="a0"/>
        <w:spacing w:line="560" w:lineRule="exact"/>
        <w:ind w:leftChars="0" w:left="0" w:right="240" w:firstLineChars="0" w:firstLine="0"/>
        <w:rPr>
          <w:rFonts w:ascii="黑体" w:eastAsia="黑体" w:hAnsi="黑体"/>
          <w:sz w:val="32"/>
          <w:szCs w:val="32"/>
        </w:rPr>
      </w:pPr>
      <w:r>
        <w:rPr>
          <w:rFonts w:ascii="黑体" w:eastAsia="黑体" w:hAnsi="黑体" w:hint="eastAsia"/>
          <w:sz w:val="32"/>
          <w:szCs w:val="32"/>
        </w:rPr>
        <w:t>六、</w:t>
      </w:r>
      <w:r w:rsidR="00812B0D" w:rsidRPr="00115ADA">
        <w:rPr>
          <w:rFonts w:ascii="黑体" w:eastAsia="黑体" w:hAnsi="黑体" w:hint="eastAsia"/>
          <w:sz w:val="32"/>
          <w:szCs w:val="32"/>
        </w:rPr>
        <w:t>项目实施地点及工期要求</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本项目的实施地点位于广东省汕尾市城区振业路</w:t>
      </w:r>
      <w:r w:rsidR="00115ADA">
        <w:rPr>
          <w:rFonts w:ascii="仿宋" w:eastAsia="仿宋" w:hAnsi="仿宋" w:hint="eastAsia"/>
          <w:sz w:val="32"/>
          <w:szCs w:val="32"/>
        </w:rPr>
        <w:t>北侧汕尾气象信息处理中心</w:t>
      </w:r>
      <w:r w:rsidRPr="00812B0D">
        <w:rPr>
          <w:rFonts w:ascii="仿宋" w:eastAsia="仿宋" w:hAnsi="仿宋" w:hint="eastAsia"/>
          <w:sz w:val="32"/>
          <w:szCs w:val="32"/>
        </w:rPr>
        <w:t>。</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本项目自合同签订日起，30个工作日内协助完成定级备案，在定级备案成功后30个工作日内完成初次等级测评并提交初评报告或问题清单，在我局组织完成安全整改后30个工作日内完成等级测评复查工作并提交等级测评报告。</w:t>
      </w:r>
    </w:p>
    <w:p w:rsidR="00812B0D" w:rsidRPr="00115ADA" w:rsidRDefault="00115ADA" w:rsidP="00115ADA">
      <w:pPr>
        <w:pStyle w:val="a0"/>
        <w:spacing w:line="560" w:lineRule="exact"/>
        <w:ind w:leftChars="0" w:left="0" w:right="240" w:firstLineChars="0" w:firstLine="0"/>
        <w:rPr>
          <w:rFonts w:ascii="黑体" w:eastAsia="黑体" w:hAnsi="黑体"/>
          <w:sz w:val="32"/>
          <w:szCs w:val="32"/>
        </w:rPr>
      </w:pPr>
      <w:r>
        <w:rPr>
          <w:rFonts w:ascii="黑体" w:eastAsia="黑体" w:hAnsi="黑体" w:hint="eastAsia"/>
          <w:sz w:val="32"/>
          <w:szCs w:val="32"/>
        </w:rPr>
        <w:t>七、</w:t>
      </w:r>
      <w:r w:rsidR="00812B0D" w:rsidRPr="00115ADA">
        <w:rPr>
          <w:rFonts w:ascii="黑体" w:eastAsia="黑体" w:hAnsi="黑体" w:hint="eastAsia"/>
          <w:sz w:val="32"/>
          <w:szCs w:val="32"/>
        </w:rPr>
        <w:t>交付物要求</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服务完成后，需要提交不少于下述交付物：</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1</w:t>
      </w:r>
      <w:r w:rsidRPr="00812B0D">
        <w:rPr>
          <w:rFonts w:ascii="仿宋" w:eastAsia="仿宋" w:hAnsi="仿宋"/>
          <w:sz w:val="32"/>
          <w:szCs w:val="32"/>
        </w:rPr>
        <w:t>.</w:t>
      </w:r>
      <w:r w:rsidRPr="00812B0D">
        <w:rPr>
          <w:rFonts w:ascii="仿宋" w:eastAsia="仿宋" w:hAnsi="仿宋" w:hint="eastAsia"/>
          <w:sz w:val="32"/>
          <w:szCs w:val="32"/>
        </w:rPr>
        <w:t>网络安全等级保护测评实施方案</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2.等级保护初次测评报告或问题清单</w:t>
      </w:r>
    </w:p>
    <w:p w:rsidR="00812B0D" w:rsidRPr="00115ADA"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3.等级保护测评报告（复测）</w:t>
      </w:r>
    </w:p>
    <w:p w:rsidR="00812B0D" w:rsidRPr="00115ADA" w:rsidRDefault="00115ADA" w:rsidP="00115ADA">
      <w:pPr>
        <w:pStyle w:val="a0"/>
        <w:spacing w:line="560" w:lineRule="exact"/>
        <w:ind w:leftChars="0" w:left="0" w:right="240" w:firstLineChars="0" w:firstLine="0"/>
        <w:rPr>
          <w:rFonts w:ascii="黑体" w:eastAsia="黑体" w:hAnsi="黑体"/>
          <w:sz w:val="32"/>
          <w:szCs w:val="32"/>
        </w:rPr>
      </w:pPr>
      <w:bookmarkStart w:id="2" w:name="_Toc11918538"/>
      <w:r>
        <w:rPr>
          <w:rFonts w:ascii="黑体" w:eastAsia="黑体" w:hAnsi="黑体" w:hint="eastAsia"/>
          <w:sz w:val="32"/>
          <w:szCs w:val="32"/>
        </w:rPr>
        <w:t>八、</w:t>
      </w:r>
      <w:r w:rsidR="00812B0D" w:rsidRPr="00115ADA">
        <w:rPr>
          <w:rFonts w:ascii="黑体" w:eastAsia="黑体" w:hAnsi="黑体" w:hint="eastAsia"/>
          <w:sz w:val="32"/>
          <w:szCs w:val="32"/>
        </w:rPr>
        <w:t>报价供应商资格要求</w:t>
      </w:r>
      <w:bookmarkEnd w:id="2"/>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lastRenderedPageBreak/>
        <w:t>1.报价人必须是具有独立承担民事责任能力的在中华人民共和国境内注册的法人，报价时提交有效的企业法人营业执照(或其他证明材料)副本复印件。</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2.有着良好的商业信誉和财务状况的中国境内咨询企业；</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3.本项目不接受联合体投标，不接受分包转包；</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4.报价人须具有国家网络安全等级保护工作协调小组办公室颁发的网络安全等级保护测评机构推荐证书，提供资质证书复印件;</w:t>
      </w:r>
    </w:p>
    <w:p w:rsidR="00812B0D" w:rsidRPr="00115ADA"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sz w:val="32"/>
          <w:szCs w:val="32"/>
        </w:rPr>
        <w:t>5</w:t>
      </w:r>
      <w:r w:rsidRPr="00812B0D">
        <w:rPr>
          <w:rFonts w:ascii="仿宋" w:eastAsia="仿宋" w:hAnsi="仿宋" w:hint="eastAsia"/>
          <w:sz w:val="32"/>
          <w:szCs w:val="32"/>
        </w:rPr>
        <w:t>.以上材料需加盖公章。</w:t>
      </w:r>
    </w:p>
    <w:p w:rsidR="00812B0D" w:rsidRPr="00115ADA" w:rsidRDefault="00115ADA" w:rsidP="00115ADA">
      <w:pPr>
        <w:pStyle w:val="a0"/>
        <w:spacing w:line="560" w:lineRule="exact"/>
        <w:ind w:leftChars="0" w:left="0" w:right="240" w:firstLineChars="0" w:firstLine="0"/>
        <w:rPr>
          <w:rFonts w:ascii="黑体" w:eastAsia="黑体" w:hAnsi="黑体"/>
          <w:sz w:val="32"/>
          <w:szCs w:val="32"/>
        </w:rPr>
      </w:pPr>
      <w:r>
        <w:rPr>
          <w:rFonts w:ascii="黑体" w:eastAsia="黑体" w:hAnsi="黑体" w:hint="eastAsia"/>
          <w:sz w:val="32"/>
          <w:szCs w:val="32"/>
        </w:rPr>
        <w:t>九、</w:t>
      </w:r>
      <w:r w:rsidR="00812B0D" w:rsidRPr="00115ADA">
        <w:rPr>
          <w:rFonts w:ascii="黑体" w:eastAsia="黑体" w:hAnsi="黑体" w:hint="eastAsia"/>
          <w:sz w:val="32"/>
          <w:szCs w:val="32"/>
        </w:rPr>
        <w:t>报价要求</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（一）本项目价格采用包干制，应包括服务成本、法定税费和企业的利润。由企业自行测算投标报价；一经中标，供应商报价总价作为签定的合同金额，合同期限内不做调整；</w:t>
      </w:r>
    </w:p>
    <w:p w:rsidR="00812B0D" w:rsidRPr="00812B0D" w:rsidRDefault="00812B0D" w:rsidP="00115ADA">
      <w:pPr>
        <w:pStyle w:val="a0"/>
        <w:spacing w:line="560" w:lineRule="exact"/>
        <w:ind w:leftChars="0" w:left="0" w:right="240" w:firstLine="640"/>
        <w:rPr>
          <w:rFonts w:ascii="仿宋" w:eastAsia="仿宋" w:hAnsi="仿宋" w:hint="eastAsia"/>
          <w:sz w:val="32"/>
          <w:szCs w:val="32"/>
        </w:rPr>
      </w:pPr>
      <w:r w:rsidRPr="00812B0D">
        <w:rPr>
          <w:rFonts w:ascii="仿宋" w:eastAsia="仿宋" w:hAnsi="仿宋" w:hint="eastAsia"/>
          <w:sz w:val="32"/>
          <w:szCs w:val="32"/>
        </w:rPr>
        <w:t>（二）供应商应根据本企业的成本自行决定报价，但不得以低于其企业成本的报价投标；</w:t>
      </w:r>
    </w:p>
    <w:p w:rsidR="00812B0D" w:rsidRPr="00812B0D" w:rsidRDefault="00812B0D" w:rsidP="00115ADA">
      <w:pPr>
        <w:pStyle w:val="a0"/>
        <w:spacing w:line="560" w:lineRule="exact"/>
        <w:ind w:leftChars="0" w:left="0" w:right="240" w:firstLine="640"/>
        <w:rPr>
          <w:rFonts w:ascii="仿宋" w:eastAsia="仿宋" w:hAnsi="仿宋" w:hint="eastAsia"/>
          <w:sz w:val="32"/>
          <w:szCs w:val="32"/>
        </w:rPr>
      </w:pPr>
      <w:r w:rsidRPr="00812B0D">
        <w:rPr>
          <w:rFonts w:ascii="仿宋" w:eastAsia="仿宋" w:hAnsi="仿宋" w:hint="eastAsia"/>
          <w:sz w:val="32"/>
          <w:szCs w:val="32"/>
        </w:rPr>
        <w:t>（三）供应商的投标报价不得超过财政预算限额；</w:t>
      </w:r>
    </w:p>
    <w:p w:rsidR="00812B0D" w:rsidRPr="00812B0D" w:rsidRDefault="00812B0D"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lastRenderedPageBreak/>
        <w:t>（四）供应商的报价，应是本项目</w:t>
      </w:r>
      <w:r w:rsidR="00115ADA">
        <w:rPr>
          <w:rFonts w:ascii="仿宋" w:eastAsia="仿宋" w:hAnsi="仿宋" w:hint="eastAsia"/>
          <w:sz w:val="32"/>
          <w:szCs w:val="32"/>
        </w:rPr>
        <w:t>采购</w:t>
      </w:r>
      <w:r w:rsidRPr="00812B0D">
        <w:rPr>
          <w:rFonts w:ascii="仿宋" w:eastAsia="仿宋" w:hAnsi="仿宋" w:hint="eastAsia"/>
          <w:sz w:val="32"/>
          <w:szCs w:val="32"/>
        </w:rPr>
        <w:t>范围和</w:t>
      </w:r>
      <w:r w:rsidR="00115ADA">
        <w:rPr>
          <w:rFonts w:ascii="仿宋" w:eastAsia="仿宋" w:hAnsi="仿宋" w:hint="eastAsia"/>
          <w:sz w:val="32"/>
          <w:szCs w:val="32"/>
        </w:rPr>
        <w:t>需求</w:t>
      </w:r>
      <w:r w:rsidRPr="00812B0D">
        <w:rPr>
          <w:rFonts w:ascii="仿宋" w:eastAsia="仿宋" w:hAnsi="仿宋" w:hint="eastAsia"/>
          <w:sz w:val="32"/>
          <w:szCs w:val="32"/>
        </w:rPr>
        <w:t>文件及合同条款上所列的各项内容中所述的全部，不得以任何理由予以重复。</w:t>
      </w:r>
    </w:p>
    <w:p w:rsidR="003D4511" w:rsidRPr="00115ADA" w:rsidRDefault="00115ADA" w:rsidP="00115ADA">
      <w:pPr>
        <w:pStyle w:val="a0"/>
        <w:spacing w:line="560" w:lineRule="exact"/>
        <w:ind w:leftChars="0" w:left="0" w:right="240" w:firstLineChars="0" w:firstLine="0"/>
        <w:rPr>
          <w:rFonts w:ascii="黑体" w:eastAsia="黑体" w:hAnsi="黑体" w:hint="eastAsia"/>
          <w:sz w:val="32"/>
          <w:szCs w:val="32"/>
        </w:rPr>
      </w:pPr>
      <w:r>
        <w:rPr>
          <w:rFonts w:ascii="黑体" w:eastAsia="黑体" w:hAnsi="黑体" w:hint="eastAsia"/>
          <w:sz w:val="32"/>
          <w:szCs w:val="32"/>
        </w:rPr>
        <w:t>十</w:t>
      </w:r>
      <w:r>
        <w:rPr>
          <w:rFonts w:ascii="黑体" w:eastAsia="黑体" w:hAnsi="黑体" w:hint="eastAsia"/>
          <w:sz w:val="32"/>
          <w:szCs w:val="32"/>
        </w:rPr>
        <w:t>、</w:t>
      </w:r>
      <w:r w:rsidRPr="00115ADA">
        <w:rPr>
          <w:rFonts w:ascii="黑体" w:eastAsia="黑体" w:hAnsi="黑体" w:hint="eastAsia"/>
          <w:sz w:val="32"/>
          <w:szCs w:val="32"/>
        </w:rPr>
        <w:t>报价</w:t>
      </w:r>
      <w:r>
        <w:rPr>
          <w:rFonts w:ascii="黑体" w:eastAsia="黑体" w:hAnsi="黑体" w:hint="eastAsia"/>
          <w:sz w:val="32"/>
          <w:szCs w:val="32"/>
        </w:rPr>
        <w:t>材料递交方式</w:t>
      </w:r>
    </w:p>
    <w:p w:rsidR="00115ADA" w:rsidRPr="00812B0D" w:rsidRDefault="00115ADA" w:rsidP="00115ADA">
      <w:pPr>
        <w:pStyle w:val="a0"/>
        <w:spacing w:line="560" w:lineRule="exact"/>
        <w:ind w:leftChars="0" w:left="0" w:right="240" w:firstLine="640"/>
        <w:rPr>
          <w:rFonts w:ascii="仿宋" w:eastAsia="仿宋" w:hAnsi="仿宋"/>
          <w:sz w:val="32"/>
          <w:szCs w:val="32"/>
        </w:rPr>
      </w:pPr>
      <w:r w:rsidRPr="00812B0D">
        <w:rPr>
          <w:rFonts w:ascii="仿宋" w:eastAsia="仿宋" w:hAnsi="仿宋" w:hint="eastAsia"/>
          <w:sz w:val="32"/>
          <w:szCs w:val="32"/>
        </w:rPr>
        <w:t>符合资格的报价供应商应当在2021年4月14日起至2021年4月20日期间把报价材料递交到汕尾市城区振业路北侧汕尾气象信息处理中心三楼，联系人陈先生，联系电话：0660-3371410。</w:t>
      </w:r>
    </w:p>
    <w:p w:rsidR="00115ADA" w:rsidRPr="00115ADA" w:rsidRDefault="00115ADA" w:rsidP="00115ADA">
      <w:pPr>
        <w:ind w:leftChars="0" w:left="0" w:right="240"/>
      </w:pPr>
    </w:p>
    <w:sectPr w:rsidR="00115ADA" w:rsidRPr="00115AD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02" w:rsidRDefault="00D54002" w:rsidP="00812B0D">
      <w:pPr>
        <w:spacing w:after="0"/>
        <w:ind w:left="240" w:right="240"/>
      </w:pPr>
      <w:r>
        <w:separator/>
      </w:r>
    </w:p>
  </w:endnote>
  <w:endnote w:type="continuationSeparator" w:id="0">
    <w:p w:rsidR="00D54002" w:rsidRDefault="00D54002" w:rsidP="00812B0D">
      <w:pPr>
        <w:spacing w:after="0"/>
        <w:ind w:left="240" w:righ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C2" w:rsidRDefault="00D54002">
    <w:pPr>
      <w:pStyle w:val="a5"/>
      <w:ind w:left="240" w:righ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51117"/>
    </w:sdtPr>
    <w:sdtEndPr/>
    <w:sdtContent>
      <w:p w:rsidR="00B47CC2" w:rsidRDefault="00D54002">
        <w:pPr>
          <w:pStyle w:val="a5"/>
          <w:ind w:left="240" w:right="240"/>
          <w:jc w:val="center"/>
        </w:pPr>
        <w:r>
          <w:fldChar w:fldCharType="begin"/>
        </w:r>
        <w:r>
          <w:instrText>PAGE   \* MERGEFORMAT</w:instrText>
        </w:r>
        <w:r>
          <w:fldChar w:fldCharType="separate"/>
        </w:r>
        <w:r w:rsidR="00115ADA" w:rsidRPr="00115ADA">
          <w:rPr>
            <w:noProof/>
            <w:lang w:val="zh-CN"/>
          </w:rPr>
          <w:t>2</w:t>
        </w:r>
        <w:r>
          <w:fldChar w:fldCharType="end"/>
        </w:r>
      </w:p>
    </w:sdtContent>
  </w:sdt>
  <w:p w:rsidR="00B47CC2" w:rsidRDefault="00D54002">
    <w:pPr>
      <w:pStyle w:val="a5"/>
      <w:ind w:left="240" w:righ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C2" w:rsidRDefault="00D54002">
    <w:pPr>
      <w:pStyle w:val="a5"/>
      <w:ind w:left="240" w:righ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02" w:rsidRDefault="00D54002" w:rsidP="00812B0D">
      <w:pPr>
        <w:spacing w:after="0"/>
        <w:ind w:left="240" w:right="240"/>
      </w:pPr>
      <w:r>
        <w:separator/>
      </w:r>
    </w:p>
  </w:footnote>
  <w:footnote w:type="continuationSeparator" w:id="0">
    <w:p w:rsidR="00D54002" w:rsidRDefault="00D54002" w:rsidP="00812B0D">
      <w:pPr>
        <w:spacing w:after="0"/>
        <w:ind w:left="240" w:right="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C2" w:rsidRDefault="00D54002">
    <w:pPr>
      <w:pStyle w:val="a4"/>
      <w:ind w:left="240" w:right="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C2" w:rsidRDefault="00D54002">
    <w:pPr>
      <w:pStyle w:val="a4"/>
      <w:ind w:left="240" w:right="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C2" w:rsidRDefault="00D54002">
    <w:pPr>
      <w:pStyle w:val="a4"/>
      <w:ind w:left="240" w:right="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A640C"/>
    <w:multiLevelType w:val="multilevel"/>
    <w:tmpl w:val="6A9A640C"/>
    <w:lvl w:ilvl="0">
      <w:start w:val="1"/>
      <w:numFmt w:val="decimal"/>
      <w:pStyle w:val="1"/>
      <w:lvlText w:val="%1"/>
      <w:lvlJc w:val="left"/>
      <w:pPr>
        <w:tabs>
          <w:tab w:val="left" w:pos="432"/>
        </w:tabs>
        <w:ind w:left="432" w:hanging="432"/>
      </w:pPr>
      <w:rPr>
        <w:rFonts w:ascii="宋体" w:eastAsia="宋体" w:hAnsi="宋体" w:hint="eastAsia"/>
      </w:rPr>
    </w:lvl>
    <w:lvl w:ilvl="1">
      <w:start w:val="1"/>
      <w:numFmt w:val="decimal"/>
      <w:pStyle w:val="2"/>
      <w:lvlText w:val="%1.%2"/>
      <w:lvlJc w:val="left"/>
      <w:pPr>
        <w:tabs>
          <w:tab w:val="left" w:pos="576"/>
        </w:tabs>
        <w:ind w:left="567" w:hanging="283"/>
      </w:pPr>
      <w:rPr>
        <w:rFonts w:ascii="宋体" w:eastAsia="宋体" w:hAnsi="宋体" w:hint="eastAsia"/>
      </w:rPr>
    </w:lvl>
    <w:lvl w:ilvl="2">
      <w:start w:val="1"/>
      <w:numFmt w:val="decimal"/>
      <w:pStyle w:val="3"/>
      <w:lvlText w:val="%1.%2.%3"/>
      <w:lvlJc w:val="left"/>
      <w:pPr>
        <w:tabs>
          <w:tab w:val="left" w:pos="1429"/>
        </w:tabs>
        <w:ind w:left="1429" w:hanging="720"/>
      </w:pPr>
      <w:rPr>
        <w:rFonts w:hint="eastAsia"/>
      </w:rPr>
    </w:lvl>
    <w:lvl w:ilvl="3">
      <w:start w:val="1"/>
      <w:numFmt w:val="decimal"/>
      <w:lvlText w:val="%1.%2.%3.%4"/>
      <w:lvlJc w:val="left"/>
      <w:pPr>
        <w:tabs>
          <w:tab w:val="left" w:pos="1021"/>
        </w:tabs>
        <w:ind w:left="864" w:firstLine="157"/>
      </w:pPr>
      <w:rPr>
        <w:rFonts w:hint="eastAsia"/>
      </w:rPr>
    </w:lvl>
    <w:lvl w:ilvl="4">
      <w:start w:val="1"/>
      <w:numFmt w:val="decimal"/>
      <w:lvlText w:val="%1.%2.%3.%4.%5"/>
      <w:lvlJc w:val="left"/>
      <w:pPr>
        <w:tabs>
          <w:tab w:val="left" w:pos="1474"/>
        </w:tabs>
        <w:ind w:left="1008" w:firstLine="466"/>
      </w:pPr>
      <w:rPr>
        <w:rFonts w:hint="eastAsia"/>
      </w:rPr>
    </w:lvl>
    <w:lvl w:ilvl="5">
      <w:start w:val="1"/>
      <w:numFmt w:val="decimal"/>
      <w:lvlText w:val="%1.%2.%3.%4.%5.%6"/>
      <w:lvlJc w:val="left"/>
      <w:pPr>
        <w:tabs>
          <w:tab w:val="left" w:pos="1928"/>
        </w:tabs>
        <w:ind w:left="1152" w:firstLine="776"/>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72"/>
    <w:rsid w:val="00115ADA"/>
    <w:rsid w:val="003D4511"/>
    <w:rsid w:val="00812B0D"/>
    <w:rsid w:val="00A26D72"/>
    <w:rsid w:val="00D54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0D"/>
    <w:pPr>
      <w:adjustRightInd w:val="0"/>
      <w:snapToGrid w:val="0"/>
      <w:spacing w:after="200"/>
      <w:ind w:leftChars="100" w:left="1200" w:rightChars="100" w:right="100"/>
    </w:pPr>
    <w:rPr>
      <w:rFonts w:ascii="宋体" w:eastAsia="宋体" w:hAnsi="Tahoma" w:cs="Times New Roman"/>
      <w:kern w:val="0"/>
      <w:sz w:val="24"/>
    </w:rPr>
  </w:style>
  <w:style w:type="paragraph" w:styleId="1">
    <w:name w:val="heading 1"/>
    <w:basedOn w:val="a"/>
    <w:next w:val="a0"/>
    <w:link w:val="1Char1"/>
    <w:uiPriority w:val="9"/>
    <w:qFormat/>
    <w:rsid w:val="00812B0D"/>
    <w:pPr>
      <w:keepNext/>
      <w:keepLines/>
      <w:pageBreakBefore/>
      <w:numPr>
        <w:numId w:val="1"/>
      </w:numPr>
      <w:spacing w:line="578" w:lineRule="auto"/>
      <w:outlineLvl w:val="0"/>
    </w:pPr>
    <w:rPr>
      <w:b/>
      <w:bCs/>
      <w:kern w:val="44"/>
      <w:sz w:val="44"/>
      <w:szCs w:val="44"/>
    </w:rPr>
  </w:style>
  <w:style w:type="paragraph" w:styleId="2">
    <w:name w:val="heading 2"/>
    <w:basedOn w:val="a"/>
    <w:next w:val="a0"/>
    <w:link w:val="2Char"/>
    <w:qFormat/>
    <w:rsid w:val="00812B0D"/>
    <w:pPr>
      <w:keepNext/>
      <w:keepLines/>
      <w:numPr>
        <w:ilvl w:val="1"/>
        <w:numId w:val="1"/>
      </w:numPr>
      <w:spacing w:before="260" w:after="260" w:line="416" w:lineRule="auto"/>
      <w:outlineLvl w:val="1"/>
    </w:pPr>
    <w:rPr>
      <w:rFonts w:ascii="Arial" w:hAnsi="Arial"/>
      <w:b/>
      <w:bCs/>
      <w:sz w:val="36"/>
      <w:szCs w:val="32"/>
    </w:rPr>
  </w:style>
  <w:style w:type="paragraph" w:styleId="3">
    <w:name w:val="heading 3"/>
    <w:basedOn w:val="a"/>
    <w:next w:val="a0"/>
    <w:link w:val="3Char"/>
    <w:qFormat/>
    <w:rsid w:val="00812B0D"/>
    <w:pPr>
      <w:keepNext/>
      <w:keepLines/>
      <w:numPr>
        <w:ilvl w:val="2"/>
        <w:numId w:val="1"/>
      </w:numPr>
      <w:spacing w:before="260" w:after="260" w:line="360" w:lineRule="auto"/>
      <w:outlineLvl w:val="2"/>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812B0D"/>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rsid w:val="00812B0D"/>
    <w:rPr>
      <w:sz w:val="18"/>
      <w:szCs w:val="18"/>
    </w:rPr>
  </w:style>
  <w:style w:type="paragraph" w:styleId="a5">
    <w:name w:val="footer"/>
    <w:basedOn w:val="a"/>
    <w:link w:val="Char0"/>
    <w:uiPriority w:val="99"/>
    <w:unhideWhenUsed/>
    <w:qFormat/>
    <w:rsid w:val="00812B0D"/>
    <w:pPr>
      <w:tabs>
        <w:tab w:val="center" w:pos="4153"/>
        <w:tab w:val="right" w:pos="8306"/>
      </w:tabs>
    </w:pPr>
    <w:rPr>
      <w:sz w:val="18"/>
      <w:szCs w:val="18"/>
    </w:rPr>
  </w:style>
  <w:style w:type="character" w:customStyle="1" w:styleId="Char0">
    <w:name w:val="页脚 Char"/>
    <w:basedOn w:val="a1"/>
    <w:link w:val="a5"/>
    <w:uiPriority w:val="99"/>
    <w:rsid w:val="00812B0D"/>
    <w:rPr>
      <w:sz w:val="18"/>
      <w:szCs w:val="18"/>
    </w:rPr>
  </w:style>
  <w:style w:type="character" w:customStyle="1" w:styleId="1Char">
    <w:name w:val="标题 1 Char"/>
    <w:basedOn w:val="a1"/>
    <w:uiPriority w:val="9"/>
    <w:rsid w:val="00812B0D"/>
    <w:rPr>
      <w:rFonts w:ascii="宋体" w:eastAsia="宋体" w:hAnsi="Tahoma" w:cs="Times New Roman"/>
      <w:b/>
      <w:bCs/>
      <w:kern w:val="44"/>
      <w:sz w:val="44"/>
      <w:szCs w:val="44"/>
    </w:rPr>
  </w:style>
  <w:style w:type="character" w:customStyle="1" w:styleId="2Char">
    <w:name w:val="标题 2 Char"/>
    <w:basedOn w:val="a1"/>
    <w:link w:val="2"/>
    <w:rsid w:val="00812B0D"/>
    <w:rPr>
      <w:rFonts w:ascii="Arial" w:eastAsia="宋体" w:hAnsi="Arial" w:cs="Times New Roman"/>
      <w:b/>
      <w:bCs/>
      <w:kern w:val="0"/>
      <w:sz w:val="36"/>
      <w:szCs w:val="32"/>
    </w:rPr>
  </w:style>
  <w:style w:type="character" w:customStyle="1" w:styleId="3Char">
    <w:name w:val="标题 3 Char"/>
    <w:basedOn w:val="a1"/>
    <w:link w:val="3"/>
    <w:rsid w:val="00812B0D"/>
    <w:rPr>
      <w:rFonts w:ascii="宋体" w:eastAsia="宋体" w:hAnsi="Tahoma" w:cs="Times New Roman"/>
      <w:b/>
      <w:bCs/>
      <w:kern w:val="0"/>
      <w:sz w:val="28"/>
      <w:szCs w:val="28"/>
    </w:rPr>
  </w:style>
  <w:style w:type="paragraph" w:styleId="a0">
    <w:name w:val="Normal Indent"/>
    <w:basedOn w:val="a"/>
    <w:uiPriority w:val="99"/>
    <w:unhideWhenUsed/>
    <w:rsid w:val="00812B0D"/>
    <w:pPr>
      <w:ind w:firstLineChars="200" w:firstLine="420"/>
    </w:pPr>
  </w:style>
  <w:style w:type="character" w:customStyle="1" w:styleId="1Char1">
    <w:name w:val="标题 1 Char1"/>
    <w:link w:val="1"/>
    <w:uiPriority w:val="9"/>
    <w:rsid w:val="00812B0D"/>
    <w:rPr>
      <w:rFonts w:ascii="宋体" w:eastAsia="宋体" w:hAnsi="Tahoma" w:cs="Times New Roman"/>
      <w:b/>
      <w:bCs/>
      <w:kern w:val="44"/>
      <w:sz w:val="44"/>
      <w:szCs w:val="44"/>
    </w:rPr>
  </w:style>
  <w:style w:type="character" w:customStyle="1" w:styleId="Char1">
    <w:name w:val="页眉 Char1"/>
    <w:basedOn w:val="a1"/>
    <w:uiPriority w:val="99"/>
    <w:qFormat/>
    <w:rsid w:val="00812B0D"/>
    <w:rPr>
      <w:sz w:val="18"/>
      <w:szCs w:val="18"/>
    </w:rPr>
  </w:style>
  <w:style w:type="character" w:customStyle="1" w:styleId="Char10">
    <w:name w:val="页脚 Char1"/>
    <w:basedOn w:val="a1"/>
    <w:uiPriority w:val="99"/>
    <w:qFormat/>
    <w:rsid w:val="00812B0D"/>
    <w:rPr>
      <w:sz w:val="18"/>
      <w:szCs w:val="18"/>
    </w:rPr>
  </w:style>
  <w:style w:type="paragraph" w:styleId="a6">
    <w:name w:val="Balloon Text"/>
    <w:basedOn w:val="a"/>
    <w:link w:val="Char2"/>
    <w:uiPriority w:val="99"/>
    <w:semiHidden/>
    <w:unhideWhenUsed/>
    <w:rsid w:val="00812B0D"/>
    <w:pPr>
      <w:spacing w:after="0"/>
    </w:pPr>
    <w:rPr>
      <w:sz w:val="18"/>
      <w:szCs w:val="18"/>
    </w:rPr>
  </w:style>
  <w:style w:type="character" w:customStyle="1" w:styleId="Char2">
    <w:name w:val="批注框文本 Char"/>
    <w:basedOn w:val="a1"/>
    <w:link w:val="a6"/>
    <w:uiPriority w:val="99"/>
    <w:semiHidden/>
    <w:rsid w:val="00812B0D"/>
    <w:rPr>
      <w:rFonts w:ascii="宋体" w:eastAsia="宋体" w:hAnsi="Tahom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0D"/>
    <w:pPr>
      <w:adjustRightInd w:val="0"/>
      <w:snapToGrid w:val="0"/>
      <w:spacing w:after="200"/>
      <w:ind w:leftChars="100" w:left="1200" w:rightChars="100" w:right="100"/>
    </w:pPr>
    <w:rPr>
      <w:rFonts w:ascii="宋体" w:eastAsia="宋体" w:hAnsi="Tahoma" w:cs="Times New Roman"/>
      <w:kern w:val="0"/>
      <w:sz w:val="24"/>
    </w:rPr>
  </w:style>
  <w:style w:type="paragraph" w:styleId="1">
    <w:name w:val="heading 1"/>
    <w:basedOn w:val="a"/>
    <w:next w:val="a0"/>
    <w:link w:val="1Char1"/>
    <w:uiPriority w:val="9"/>
    <w:qFormat/>
    <w:rsid w:val="00812B0D"/>
    <w:pPr>
      <w:keepNext/>
      <w:keepLines/>
      <w:pageBreakBefore/>
      <w:numPr>
        <w:numId w:val="1"/>
      </w:numPr>
      <w:spacing w:line="578" w:lineRule="auto"/>
      <w:outlineLvl w:val="0"/>
    </w:pPr>
    <w:rPr>
      <w:b/>
      <w:bCs/>
      <w:kern w:val="44"/>
      <w:sz w:val="44"/>
      <w:szCs w:val="44"/>
    </w:rPr>
  </w:style>
  <w:style w:type="paragraph" w:styleId="2">
    <w:name w:val="heading 2"/>
    <w:basedOn w:val="a"/>
    <w:next w:val="a0"/>
    <w:link w:val="2Char"/>
    <w:qFormat/>
    <w:rsid w:val="00812B0D"/>
    <w:pPr>
      <w:keepNext/>
      <w:keepLines/>
      <w:numPr>
        <w:ilvl w:val="1"/>
        <w:numId w:val="1"/>
      </w:numPr>
      <w:spacing w:before="260" w:after="260" w:line="416" w:lineRule="auto"/>
      <w:outlineLvl w:val="1"/>
    </w:pPr>
    <w:rPr>
      <w:rFonts w:ascii="Arial" w:hAnsi="Arial"/>
      <w:b/>
      <w:bCs/>
      <w:sz w:val="36"/>
      <w:szCs w:val="32"/>
    </w:rPr>
  </w:style>
  <w:style w:type="paragraph" w:styleId="3">
    <w:name w:val="heading 3"/>
    <w:basedOn w:val="a"/>
    <w:next w:val="a0"/>
    <w:link w:val="3Char"/>
    <w:qFormat/>
    <w:rsid w:val="00812B0D"/>
    <w:pPr>
      <w:keepNext/>
      <w:keepLines/>
      <w:numPr>
        <w:ilvl w:val="2"/>
        <w:numId w:val="1"/>
      </w:numPr>
      <w:spacing w:before="260" w:after="260" w:line="360" w:lineRule="auto"/>
      <w:outlineLvl w:val="2"/>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812B0D"/>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rsid w:val="00812B0D"/>
    <w:rPr>
      <w:sz w:val="18"/>
      <w:szCs w:val="18"/>
    </w:rPr>
  </w:style>
  <w:style w:type="paragraph" w:styleId="a5">
    <w:name w:val="footer"/>
    <w:basedOn w:val="a"/>
    <w:link w:val="Char0"/>
    <w:uiPriority w:val="99"/>
    <w:unhideWhenUsed/>
    <w:qFormat/>
    <w:rsid w:val="00812B0D"/>
    <w:pPr>
      <w:tabs>
        <w:tab w:val="center" w:pos="4153"/>
        <w:tab w:val="right" w:pos="8306"/>
      </w:tabs>
    </w:pPr>
    <w:rPr>
      <w:sz w:val="18"/>
      <w:szCs w:val="18"/>
    </w:rPr>
  </w:style>
  <w:style w:type="character" w:customStyle="1" w:styleId="Char0">
    <w:name w:val="页脚 Char"/>
    <w:basedOn w:val="a1"/>
    <w:link w:val="a5"/>
    <w:uiPriority w:val="99"/>
    <w:rsid w:val="00812B0D"/>
    <w:rPr>
      <w:sz w:val="18"/>
      <w:szCs w:val="18"/>
    </w:rPr>
  </w:style>
  <w:style w:type="character" w:customStyle="1" w:styleId="1Char">
    <w:name w:val="标题 1 Char"/>
    <w:basedOn w:val="a1"/>
    <w:uiPriority w:val="9"/>
    <w:rsid w:val="00812B0D"/>
    <w:rPr>
      <w:rFonts w:ascii="宋体" w:eastAsia="宋体" w:hAnsi="Tahoma" w:cs="Times New Roman"/>
      <w:b/>
      <w:bCs/>
      <w:kern w:val="44"/>
      <w:sz w:val="44"/>
      <w:szCs w:val="44"/>
    </w:rPr>
  </w:style>
  <w:style w:type="character" w:customStyle="1" w:styleId="2Char">
    <w:name w:val="标题 2 Char"/>
    <w:basedOn w:val="a1"/>
    <w:link w:val="2"/>
    <w:rsid w:val="00812B0D"/>
    <w:rPr>
      <w:rFonts w:ascii="Arial" w:eastAsia="宋体" w:hAnsi="Arial" w:cs="Times New Roman"/>
      <w:b/>
      <w:bCs/>
      <w:kern w:val="0"/>
      <w:sz w:val="36"/>
      <w:szCs w:val="32"/>
    </w:rPr>
  </w:style>
  <w:style w:type="character" w:customStyle="1" w:styleId="3Char">
    <w:name w:val="标题 3 Char"/>
    <w:basedOn w:val="a1"/>
    <w:link w:val="3"/>
    <w:rsid w:val="00812B0D"/>
    <w:rPr>
      <w:rFonts w:ascii="宋体" w:eastAsia="宋体" w:hAnsi="Tahoma" w:cs="Times New Roman"/>
      <w:b/>
      <w:bCs/>
      <w:kern w:val="0"/>
      <w:sz w:val="28"/>
      <w:szCs w:val="28"/>
    </w:rPr>
  </w:style>
  <w:style w:type="paragraph" w:styleId="a0">
    <w:name w:val="Normal Indent"/>
    <w:basedOn w:val="a"/>
    <w:uiPriority w:val="99"/>
    <w:unhideWhenUsed/>
    <w:rsid w:val="00812B0D"/>
    <w:pPr>
      <w:ind w:firstLineChars="200" w:firstLine="420"/>
    </w:pPr>
  </w:style>
  <w:style w:type="character" w:customStyle="1" w:styleId="1Char1">
    <w:name w:val="标题 1 Char1"/>
    <w:link w:val="1"/>
    <w:uiPriority w:val="9"/>
    <w:rsid w:val="00812B0D"/>
    <w:rPr>
      <w:rFonts w:ascii="宋体" w:eastAsia="宋体" w:hAnsi="Tahoma" w:cs="Times New Roman"/>
      <w:b/>
      <w:bCs/>
      <w:kern w:val="44"/>
      <w:sz w:val="44"/>
      <w:szCs w:val="44"/>
    </w:rPr>
  </w:style>
  <w:style w:type="character" w:customStyle="1" w:styleId="Char1">
    <w:name w:val="页眉 Char1"/>
    <w:basedOn w:val="a1"/>
    <w:uiPriority w:val="99"/>
    <w:qFormat/>
    <w:rsid w:val="00812B0D"/>
    <w:rPr>
      <w:sz w:val="18"/>
      <w:szCs w:val="18"/>
    </w:rPr>
  </w:style>
  <w:style w:type="character" w:customStyle="1" w:styleId="Char10">
    <w:name w:val="页脚 Char1"/>
    <w:basedOn w:val="a1"/>
    <w:uiPriority w:val="99"/>
    <w:qFormat/>
    <w:rsid w:val="00812B0D"/>
    <w:rPr>
      <w:sz w:val="18"/>
      <w:szCs w:val="18"/>
    </w:rPr>
  </w:style>
  <w:style w:type="paragraph" w:styleId="a6">
    <w:name w:val="Balloon Text"/>
    <w:basedOn w:val="a"/>
    <w:link w:val="Char2"/>
    <w:uiPriority w:val="99"/>
    <w:semiHidden/>
    <w:unhideWhenUsed/>
    <w:rsid w:val="00812B0D"/>
    <w:pPr>
      <w:spacing w:after="0"/>
    </w:pPr>
    <w:rPr>
      <w:sz w:val="18"/>
      <w:szCs w:val="18"/>
    </w:rPr>
  </w:style>
  <w:style w:type="character" w:customStyle="1" w:styleId="Char2">
    <w:name w:val="批注框文本 Char"/>
    <w:basedOn w:val="a1"/>
    <w:link w:val="a6"/>
    <w:uiPriority w:val="99"/>
    <w:semiHidden/>
    <w:rsid w:val="00812B0D"/>
    <w:rPr>
      <w:rFonts w:ascii="宋体" w:eastAsia="宋体"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汕尾市局文秘</dc:creator>
  <cp:keywords/>
  <dc:description/>
  <cp:lastModifiedBy>汕尾市局文秘</cp:lastModifiedBy>
  <cp:revision>3</cp:revision>
  <dcterms:created xsi:type="dcterms:W3CDTF">2021-04-14T02:03:00Z</dcterms:created>
  <dcterms:modified xsi:type="dcterms:W3CDTF">2021-04-14T02:17:00Z</dcterms:modified>
</cp:coreProperties>
</file>