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771"/>
        <w:rPr>
          <w:rFonts w:ascii="Times New Roman"/>
          <w:sz w:val="20"/>
        </w:rPr>
      </w:pPr>
    </w:p>
    <w:p>
      <w:pPr>
        <w:pStyle w:val="10"/>
        <w:ind w:left="771"/>
        <w:rPr>
          <w:rFonts w:ascii="Times New Roman"/>
          <w:sz w:val="20"/>
        </w:rPr>
      </w:pPr>
    </w:p>
    <w:p>
      <w:pPr>
        <w:rPr>
          <w:rFonts w:ascii="Times New Roman"/>
          <w:sz w:val="20"/>
        </w:rPr>
      </w:pPr>
    </w:p>
    <w:p>
      <w:pPr>
        <w:jc w:val="center"/>
        <w:rPr>
          <w:rFonts w:cs="黑体"/>
          <w:b/>
          <w:bCs/>
          <w:sz w:val="52"/>
          <w:szCs w:val="52"/>
        </w:rPr>
      </w:pPr>
      <w:r>
        <w:rPr>
          <w:rFonts w:hint="eastAsia" w:cs="黑体"/>
          <w:b/>
          <w:bCs/>
          <w:sz w:val="52"/>
          <w:szCs w:val="52"/>
        </w:rPr>
        <w:t>广东省江门市气象局上川岛国家天气雷达</w:t>
      </w:r>
    </w:p>
    <w:p>
      <w:pPr>
        <w:jc w:val="center"/>
        <w:rPr>
          <w:rFonts w:cs="黑体"/>
          <w:b/>
          <w:bCs/>
          <w:sz w:val="52"/>
          <w:szCs w:val="52"/>
        </w:rPr>
      </w:pPr>
      <w:r>
        <w:rPr>
          <w:rFonts w:hint="eastAsia" w:cs="黑体"/>
          <w:b/>
          <w:bCs/>
          <w:sz w:val="52"/>
          <w:szCs w:val="52"/>
        </w:rPr>
        <w:t>项目设计施工总承包</w:t>
      </w:r>
    </w:p>
    <w:p>
      <w:pPr>
        <w:spacing w:line="360" w:lineRule="auto"/>
        <w:ind w:firstLine="437"/>
        <w:jc w:val="center"/>
        <w:rPr>
          <w:rFonts w:cs="黑体"/>
          <w:b/>
          <w:bCs/>
          <w:sz w:val="72"/>
          <w:szCs w:val="72"/>
        </w:rPr>
      </w:pPr>
    </w:p>
    <w:p>
      <w:pPr>
        <w:spacing w:line="360" w:lineRule="auto"/>
        <w:ind w:firstLine="437"/>
        <w:jc w:val="center"/>
        <w:rPr>
          <w:rFonts w:cs="黑体"/>
          <w:b/>
          <w:bCs/>
          <w:sz w:val="72"/>
          <w:szCs w:val="72"/>
        </w:rPr>
      </w:pPr>
    </w:p>
    <w:p>
      <w:pPr>
        <w:spacing w:line="360" w:lineRule="auto"/>
        <w:ind w:firstLine="437"/>
        <w:jc w:val="center"/>
        <w:rPr>
          <w:sz w:val="72"/>
          <w:szCs w:val="72"/>
        </w:rPr>
      </w:pPr>
      <w:r>
        <w:rPr>
          <w:rFonts w:hint="eastAsia" w:cs="黑体"/>
          <w:b/>
          <w:bCs/>
          <w:sz w:val="72"/>
          <w:szCs w:val="72"/>
        </w:rPr>
        <w:t>招</w:t>
      </w:r>
      <w:r>
        <w:rPr>
          <w:rFonts w:hint="eastAsia" w:cs="黑体"/>
          <w:b/>
          <w:bCs/>
          <w:spacing w:val="60"/>
          <w:sz w:val="72"/>
          <w:szCs w:val="72"/>
        </w:rPr>
        <w:t xml:space="preserve"> </w:t>
      </w:r>
      <w:r>
        <w:rPr>
          <w:rFonts w:hint="eastAsia" w:cs="黑体"/>
          <w:b/>
          <w:bCs/>
          <w:sz w:val="72"/>
          <w:szCs w:val="72"/>
        </w:rPr>
        <w:t>标</w:t>
      </w:r>
      <w:r>
        <w:rPr>
          <w:rFonts w:hint="eastAsia" w:cs="黑体"/>
          <w:b/>
          <w:bCs/>
          <w:spacing w:val="60"/>
          <w:sz w:val="72"/>
          <w:szCs w:val="72"/>
        </w:rPr>
        <w:t xml:space="preserve"> </w:t>
      </w:r>
      <w:r>
        <w:rPr>
          <w:rFonts w:hint="eastAsia" w:cs="黑体"/>
          <w:b/>
          <w:bCs/>
          <w:sz w:val="72"/>
          <w:szCs w:val="72"/>
        </w:rPr>
        <w:t>文</w:t>
      </w:r>
      <w:r>
        <w:rPr>
          <w:rFonts w:hint="eastAsia" w:cs="黑体"/>
          <w:b/>
          <w:bCs/>
          <w:spacing w:val="60"/>
          <w:sz w:val="72"/>
          <w:szCs w:val="72"/>
        </w:rPr>
        <w:t xml:space="preserve"> </w:t>
      </w:r>
      <w:r>
        <w:rPr>
          <w:rFonts w:hint="eastAsia" w:cs="黑体"/>
          <w:b/>
          <w:bCs/>
          <w:sz w:val="72"/>
          <w:szCs w:val="72"/>
        </w:rPr>
        <w:t>件</w:t>
      </w:r>
    </w:p>
    <w:p>
      <w:pPr>
        <w:spacing w:line="360" w:lineRule="auto"/>
        <w:ind w:firstLine="437"/>
        <w:rPr>
          <w:szCs w:val="21"/>
        </w:rPr>
      </w:pPr>
    </w:p>
    <w:p>
      <w:pPr>
        <w:spacing w:line="360" w:lineRule="auto"/>
        <w:ind w:firstLine="437"/>
        <w:rPr>
          <w:szCs w:val="21"/>
        </w:rPr>
      </w:pPr>
    </w:p>
    <w:p>
      <w:pPr>
        <w:spacing w:line="360" w:lineRule="auto"/>
        <w:ind w:firstLine="437"/>
        <w:rPr>
          <w:szCs w:val="21"/>
        </w:rPr>
      </w:pPr>
    </w:p>
    <w:p>
      <w:pPr>
        <w:spacing w:line="360" w:lineRule="auto"/>
        <w:ind w:firstLine="437"/>
        <w:rPr>
          <w:szCs w:val="21"/>
        </w:rPr>
      </w:pPr>
    </w:p>
    <w:p>
      <w:pPr>
        <w:spacing w:line="360" w:lineRule="auto"/>
        <w:ind w:firstLine="437"/>
        <w:rPr>
          <w:szCs w:val="21"/>
        </w:rPr>
      </w:pPr>
    </w:p>
    <w:p>
      <w:pPr>
        <w:spacing w:line="360" w:lineRule="auto"/>
        <w:ind w:firstLine="437"/>
        <w:rPr>
          <w:szCs w:val="21"/>
        </w:rPr>
      </w:pPr>
    </w:p>
    <w:p>
      <w:pPr>
        <w:spacing w:line="360" w:lineRule="auto"/>
        <w:ind w:firstLine="437"/>
        <w:rPr>
          <w:szCs w:val="21"/>
        </w:rPr>
      </w:pPr>
    </w:p>
    <w:tbl>
      <w:tblPr>
        <w:tblStyle w:val="24"/>
        <w:tblW w:w="8366" w:type="dxa"/>
        <w:jc w:val="center"/>
        <w:tblInd w:w="0" w:type="dxa"/>
        <w:tblLayout w:type="fixed"/>
        <w:tblCellMar>
          <w:top w:w="0" w:type="dxa"/>
          <w:left w:w="108" w:type="dxa"/>
          <w:bottom w:w="0" w:type="dxa"/>
          <w:right w:w="108" w:type="dxa"/>
        </w:tblCellMar>
      </w:tblPr>
      <w:tblGrid>
        <w:gridCol w:w="2528"/>
        <w:gridCol w:w="5838"/>
      </w:tblGrid>
      <w:tr>
        <w:tblPrEx>
          <w:tblLayout w:type="fixed"/>
          <w:tblCellMar>
            <w:top w:w="0" w:type="dxa"/>
            <w:left w:w="108" w:type="dxa"/>
            <w:bottom w:w="0" w:type="dxa"/>
            <w:right w:w="108" w:type="dxa"/>
          </w:tblCellMar>
        </w:tblPrEx>
        <w:trPr>
          <w:trHeight w:val="851" w:hRule="atLeast"/>
          <w:jc w:val="center"/>
        </w:trPr>
        <w:tc>
          <w:tcPr>
            <w:tcW w:w="2528" w:type="dxa"/>
            <w:vAlign w:val="center"/>
          </w:tcPr>
          <w:p>
            <w:pPr>
              <w:spacing w:line="700" w:lineRule="exact"/>
              <w:jc w:val="distribute"/>
              <w:rPr>
                <w:b/>
                <w:bCs/>
                <w:sz w:val="36"/>
                <w:szCs w:val="36"/>
                <w:u w:val="single"/>
              </w:rPr>
            </w:pPr>
            <w:r>
              <w:rPr>
                <w:rFonts w:hint="eastAsia" w:cs="黑体"/>
                <w:b/>
                <w:bCs/>
                <w:spacing w:val="100"/>
                <w:w w:val="91"/>
                <w:sz w:val="36"/>
                <w:szCs w:val="36"/>
              </w:rPr>
              <w:t>招标单位</w:t>
            </w:r>
            <w:r>
              <w:rPr>
                <w:rFonts w:hint="eastAsia" w:cs="黑体"/>
                <w:b/>
                <w:bCs/>
                <w:spacing w:val="5"/>
                <w:w w:val="91"/>
                <w:sz w:val="36"/>
                <w:szCs w:val="36"/>
              </w:rPr>
              <w:t>:</w:t>
            </w:r>
          </w:p>
        </w:tc>
        <w:tc>
          <w:tcPr>
            <w:tcW w:w="5838" w:type="dxa"/>
            <w:vAlign w:val="center"/>
          </w:tcPr>
          <w:p>
            <w:pPr>
              <w:spacing w:line="700" w:lineRule="exact"/>
              <w:jc w:val="distribute"/>
              <w:rPr>
                <w:rFonts w:cs="黑体"/>
                <w:b/>
                <w:bCs/>
                <w:spacing w:val="82"/>
                <w:sz w:val="36"/>
                <w:szCs w:val="36"/>
              </w:rPr>
            </w:pPr>
            <w:r>
              <w:rPr>
                <w:rFonts w:hint="eastAsia" w:cs="黑体"/>
                <w:b/>
                <w:bCs/>
                <w:spacing w:val="82"/>
                <w:sz w:val="36"/>
                <w:szCs w:val="36"/>
              </w:rPr>
              <w:t>广东省江门市气象局</w:t>
            </w:r>
          </w:p>
        </w:tc>
      </w:tr>
    </w:tbl>
    <w:p>
      <w:pPr>
        <w:spacing w:line="360" w:lineRule="auto"/>
        <w:ind w:firstLine="437"/>
        <w:rPr>
          <w:szCs w:val="21"/>
        </w:rPr>
      </w:pPr>
    </w:p>
    <w:tbl>
      <w:tblPr>
        <w:tblStyle w:val="24"/>
        <w:tblW w:w="8366" w:type="dxa"/>
        <w:jc w:val="center"/>
        <w:tblInd w:w="0" w:type="dxa"/>
        <w:tblLayout w:type="fixed"/>
        <w:tblCellMar>
          <w:top w:w="0" w:type="dxa"/>
          <w:left w:w="108" w:type="dxa"/>
          <w:bottom w:w="0" w:type="dxa"/>
          <w:right w:w="108" w:type="dxa"/>
        </w:tblCellMar>
      </w:tblPr>
      <w:tblGrid>
        <w:gridCol w:w="2528"/>
        <w:gridCol w:w="5838"/>
      </w:tblGrid>
      <w:tr>
        <w:tblPrEx>
          <w:tblLayout w:type="fixed"/>
        </w:tblPrEx>
        <w:trPr>
          <w:trHeight w:val="851" w:hRule="atLeast"/>
          <w:jc w:val="center"/>
        </w:trPr>
        <w:tc>
          <w:tcPr>
            <w:tcW w:w="2528" w:type="dxa"/>
            <w:vAlign w:val="center"/>
          </w:tcPr>
          <w:p>
            <w:pPr>
              <w:spacing w:line="700" w:lineRule="exact"/>
              <w:jc w:val="distribute"/>
              <w:rPr>
                <w:b/>
                <w:bCs/>
                <w:sz w:val="36"/>
                <w:szCs w:val="36"/>
                <w:u w:val="single"/>
              </w:rPr>
            </w:pPr>
          </w:p>
        </w:tc>
        <w:tc>
          <w:tcPr>
            <w:tcW w:w="5838" w:type="dxa"/>
            <w:vAlign w:val="center"/>
          </w:tcPr>
          <w:p>
            <w:pPr>
              <w:spacing w:line="700" w:lineRule="exact"/>
              <w:jc w:val="distribute"/>
              <w:rPr>
                <w:rFonts w:cs="黑体"/>
                <w:b/>
                <w:bCs/>
                <w:spacing w:val="82"/>
                <w:sz w:val="36"/>
                <w:szCs w:val="36"/>
              </w:rPr>
            </w:pPr>
          </w:p>
        </w:tc>
      </w:tr>
      <w:tr>
        <w:tblPrEx>
          <w:tblLayout w:type="fixed"/>
        </w:tblPrEx>
        <w:trPr>
          <w:trHeight w:val="851" w:hRule="atLeast"/>
          <w:jc w:val="center"/>
        </w:trPr>
        <w:tc>
          <w:tcPr>
            <w:tcW w:w="2528" w:type="dxa"/>
            <w:vAlign w:val="center"/>
          </w:tcPr>
          <w:p>
            <w:pPr>
              <w:spacing w:line="700" w:lineRule="exact"/>
              <w:jc w:val="distribute"/>
              <w:rPr>
                <w:rFonts w:cs="黑体"/>
                <w:b/>
                <w:bCs/>
                <w:w w:val="91"/>
                <w:sz w:val="36"/>
                <w:szCs w:val="36"/>
              </w:rPr>
            </w:pPr>
            <w:r>
              <w:rPr>
                <w:rFonts w:hint="eastAsia" w:cs="黑体"/>
                <w:b/>
                <w:bCs/>
                <w:spacing w:val="12"/>
                <w:w w:val="91"/>
                <w:sz w:val="36"/>
                <w:szCs w:val="36"/>
              </w:rPr>
              <w:t>招标代理机构</w:t>
            </w:r>
            <w:r>
              <w:rPr>
                <w:rFonts w:hint="eastAsia" w:cs="黑体"/>
                <w:b/>
                <w:bCs/>
                <w:w w:val="91"/>
                <w:sz w:val="36"/>
                <w:szCs w:val="36"/>
              </w:rPr>
              <w:t>:</w:t>
            </w:r>
          </w:p>
        </w:tc>
        <w:tc>
          <w:tcPr>
            <w:tcW w:w="5838" w:type="dxa"/>
            <w:vAlign w:val="center"/>
          </w:tcPr>
          <w:p>
            <w:pPr>
              <w:spacing w:line="700" w:lineRule="exact"/>
              <w:jc w:val="distribute"/>
              <w:rPr>
                <w:b/>
                <w:bCs/>
                <w:sz w:val="36"/>
                <w:szCs w:val="36"/>
                <w:u w:val="single"/>
              </w:rPr>
            </w:pPr>
            <w:r>
              <w:rPr>
                <w:rFonts w:hint="eastAsia" w:cs="黑体"/>
                <w:b/>
                <w:bCs/>
                <w:spacing w:val="12"/>
                <w:w w:val="91"/>
                <w:sz w:val="36"/>
                <w:szCs w:val="36"/>
              </w:rPr>
              <w:t>深圳科宇工程顾问有限公司</w:t>
            </w:r>
          </w:p>
        </w:tc>
      </w:tr>
      <w:tr>
        <w:tblPrEx>
          <w:tblLayout w:type="fixed"/>
          <w:tblCellMar>
            <w:top w:w="0" w:type="dxa"/>
            <w:left w:w="108" w:type="dxa"/>
            <w:bottom w:w="0" w:type="dxa"/>
            <w:right w:w="108" w:type="dxa"/>
          </w:tblCellMar>
        </w:tblPrEx>
        <w:trPr>
          <w:trHeight w:val="879" w:hRule="atLeast"/>
          <w:jc w:val="center"/>
        </w:trPr>
        <w:tc>
          <w:tcPr>
            <w:tcW w:w="8366" w:type="dxa"/>
            <w:gridSpan w:val="2"/>
            <w:vAlign w:val="center"/>
          </w:tcPr>
          <w:p>
            <w:pPr>
              <w:pStyle w:val="13"/>
              <w:spacing w:line="660" w:lineRule="exact"/>
              <w:rPr>
                <w:rFonts w:ascii="宋体" w:eastAsia="宋体"/>
                <w:b/>
                <w:spacing w:val="20"/>
                <w:sz w:val="36"/>
                <w:szCs w:val="36"/>
              </w:rPr>
            </w:pPr>
          </w:p>
          <w:p>
            <w:pPr>
              <w:pStyle w:val="13"/>
              <w:spacing w:line="660" w:lineRule="exact"/>
              <w:jc w:val="center"/>
              <w:rPr>
                <w:rFonts w:ascii="宋体" w:eastAsia="宋体"/>
                <w:b/>
                <w:spacing w:val="20"/>
                <w:sz w:val="36"/>
                <w:szCs w:val="36"/>
              </w:rPr>
            </w:pPr>
            <w:r>
              <w:rPr>
                <w:rFonts w:hint="eastAsia" w:ascii="宋体" w:eastAsia="宋体"/>
                <w:b/>
                <w:spacing w:val="20"/>
                <w:sz w:val="36"/>
                <w:szCs w:val="36"/>
              </w:rPr>
              <w:t>编制日期：2020年3月</w:t>
            </w:r>
          </w:p>
        </w:tc>
      </w:tr>
    </w:tbl>
    <w:p>
      <w:pPr>
        <w:pStyle w:val="10"/>
        <w:ind w:left="771"/>
        <w:rPr>
          <w:rFonts w:ascii="Times New Roman"/>
          <w:sz w:val="20"/>
        </w:rPr>
      </w:pPr>
    </w:p>
    <w:p>
      <w:pPr>
        <w:pStyle w:val="10"/>
        <w:ind w:left="771"/>
        <w:rPr>
          <w:rFonts w:ascii="Times New Roman"/>
          <w:sz w:val="20"/>
        </w:rPr>
      </w:pPr>
    </w:p>
    <w:p>
      <w:pPr>
        <w:pStyle w:val="10"/>
        <w:ind w:left="771"/>
        <w:rPr>
          <w:rFonts w:ascii="Times New Roman"/>
          <w:sz w:val="20"/>
        </w:rPr>
      </w:pPr>
    </w:p>
    <w:p>
      <w:pPr>
        <w:pStyle w:val="10"/>
        <w:ind w:left="771"/>
        <w:rPr>
          <w:rFonts w:ascii="Times New Roman"/>
          <w:sz w:val="20"/>
        </w:rPr>
      </w:pPr>
    </w:p>
    <w:p>
      <w:pPr>
        <w:pStyle w:val="10"/>
        <w:ind w:left="771"/>
        <w:rPr>
          <w:rFonts w:ascii="Times New Roman"/>
          <w:sz w:val="20"/>
        </w:rPr>
      </w:pPr>
    </w:p>
    <w:p>
      <w:pPr>
        <w:pStyle w:val="10"/>
        <w:ind w:left="771"/>
        <w:rPr>
          <w:rFonts w:ascii="Times New Roman"/>
          <w:sz w:val="20"/>
        </w:rPr>
      </w:pPr>
    </w:p>
    <w:p>
      <w:pPr>
        <w:pStyle w:val="10"/>
        <w:ind w:left="771"/>
        <w:rPr>
          <w:rFonts w:ascii="Times New Roman"/>
          <w:sz w:val="20"/>
        </w:rPr>
      </w:pPr>
    </w:p>
    <w:p>
      <w:pPr>
        <w:widowControl/>
        <w:autoSpaceDE/>
        <w:autoSpaceDN/>
        <w:rPr>
          <w:rFonts w:ascii="Times New Roman"/>
          <w:sz w:val="20"/>
          <w:szCs w:val="21"/>
        </w:rPr>
      </w:pPr>
      <w:r>
        <w:rPr>
          <w:rFonts w:ascii="Times New Roman"/>
          <w:sz w:val="20"/>
        </w:rPr>
        <w:br w:type="page"/>
      </w:r>
    </w:p>
    <w:p>
      <w:pPr>
        <w:pStyle w:val="10"/>
        <w:ind w:left="771"/>
        <w:jc w:val="center"/>
        <w:rPr>
          <w:rFonts w:ascii="Times New Roman"/>
          <w:sz w:val="44"/>
          <w:szCs w:val="44"/>
        </w:rPr>
      </w:pPr>
      <w:r>
        <w:rPr>
          <w:rFonts w:hint="eastAsia" w:ascii="Times New Roman"/>
          <w:sz w:val="44"/>
          <w:szCs w:val="44"/>
        </w:rPr>
        <w:t>目    录</w:t>
      </w:r>
    </w:p>
    <w:p>
      <w:pPr>
        <w:pStyle w:val="18"/>
        <w:tabs>
          <w:tab w:val="right" w:leader="dot" w:pos="10403"/>
        </w:tabs>
        <w:rPr>
          <w:rFonts w:asciiTheme="minorHAnsi" w:hAnsiTheme="minorHAnsi" w:eastAsiaTheme="minorEastAsia" w:cstheme="minorBidi"/>
          <w:b w:val="0"/>
          <w:bCs w:val="0"/>
          <w:kern w:val="2"/>
          <w:sz w:val="21"/>
          <w:szCs w:val="22"/>
          <w:lang w:val="en-US" w:bidi="ar-SA"/>
        </w:rPr>
      </w:pPr>
      <w:r>
        <w:rPr>
          <w:rFonts w:ascii="Times New Roman"/>
        </w:rPr>
        <w:fldChar w:fldCharType="begin"/>
      </w:r>
      <w:r>
        <w:rPr>
          <w:rFonts w:ascii="Times New Roman"/>
        </w:rPr>
        <w:instrText xml:space="preserve"> TOC \o "1-4" \h \z \u </w:instrText>
      </w:r>
      <w:r>
        <w:rPr>
          <w:rFonts w:ascii="Times New Roman"/>
        </w:rPr>
        <w:fldChar w:fldCharType="separate"/>
      </w:r>
      <w:r>
        <w:fldChar w:fldCharType="begin"/>
      </w:r>
      <w:r>
        <w:instrText xml:space="preserve"> HYPERLINK \l "_Toc37926010" </w:instrText>
      </w:r>
      <w:r>
        <w:fldChar w:fldCharType="separate"/>
      </w:r>
      <w:r>
        <w:rPr>
          <w:rStyle w:val="23"/>
          <w:rFonts w:hint="eastAsia"/>
        </w:rPr>
        <w:t>第一卷</w:t>
      </w:r>
      <w:r>
        <w:tab/>
      </w:r>
      <w:r>
        <w:fldChar w:fldCharType="begin"/>
      </w:r>
      <w:r>
        <w:instrText xml:space="preserve"> PAGEREF _Toc37926010 \h </w:instrText>
      </w:r>
      <w:r>
        <w:fldChar w:fldCharType="separate"/>
      </w:r>
      <w:r>
        <w:t>3</w:t>
      </w:r>
      <w:r>
        <w:fldChar w:fldCharType="end"/>
      </w:r>
      <w: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"_Toc37926011" </w:instrText>
      </w:r>
      <w:r>
        <w:fldChar w:fldCharType="separate"/>
      </w:r>
      <w:r>
        <w:rPr>
          <w:rStyle w:val="23"/>
          <w:rFonts w:hint="eastAsia"/>
        </w:rPr>
        <w:t>第一章</w:t>
      </w:r>
      <w:r>
        <w:rPr>
          <w:rStyle w:val="23"/>
        </w:rPr>
        <w:t xml:space="preserve"> </w:t>
      </w:r>
      <w:r>
        <w:rPr>
          <w:rStyle w:val="23"/>
          <w:rFonts w:hint="eastAsia"/>
        </w:rPr>
        <w:t>招标公告</w:t>
      </w:r>
      <w:r>
        <w:tab/>
      </w:r>
      <w:r>
        <w:fldChar w:fldCharType="begin"/>
      </w:r>
      <w:r>
        <w:instrText xml:space="preserve"> PAGEREF _Toc37926011 \h </w:instrText>
      </w:r>
      <w:r>
        <w:fldChar w:fldCharType="separate"/>
      </w:r>
      <w:r>
        <w:t>4</w:t>
      </w:r>
      <w:r>
        <w:fldChar w:fldCharType="end"/>
      </w:r>
      <w: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"_Toc37926012" </w:instrText>
      </w:r>
      <w:r>
        <w:fldChar w:fldCharType="separate"/>
      </w:r>
      <w:r>
        <w:rPr>
          <w:rStyle w:val="23"/>
          <w:rFonts w:ascii="Arial" w:hAnsi="Arial" w:eastAsia="Arial" w:cs="Arial"/>
          <w:b w:val="0"/>
        </w:rPr>
        <w:t>1.</w:t>
      </w:r>
      <w:r>
        <w:rPr>
          <w:rFonts w:asciiTheme="minorHAnsi" w:hAnsiTheme="minorHAnsi" w:eastAsiaTheme="minorEastAsia" w:cstheme="minorBidi"/>
          <w:b w:val="0"/>
          <w:bCs w:val="0"/>
          <w:kern w:val="2"/>
          <w:sz w:val="21"/>
          <w:szCs w:val="22"/>
          <w:lang w:val="en-US" w:bidi="ar-SA"/>
        </w:rPr>
        <w:tab/>
      </w:r>
      <w:r>
        <w:rPr>
          <w:rStyle w:val="23"/>
          <w:rFonts w:hint="eastAsia"/>
          <w:b w:val="0"/>
          <w:w w:val="95"/>
        </w:rPr>
        <w:t>招标条件</w:t>
      </w:r>
      <w:r>
        <w:rPr>
          <w:b w:val="0"/>
        </w:rPr>
        <w:tab/>
      </w:r>
      <w:r>
        <w:rPr>
          <w:b w:val="0"/>
        </w:rPr>
        <w:fldChar w:fldCharType="begin"/>
      </w:r>
      <w:r>
        <w:rPr>
          <w:b w:val="0"/>
        </w:rPr>
        <w:instrText xml:space="preserve"> PAGEREF _Toc37926012 \h </w:instrText>
      </w:r>
      <w:r>
        <w:rPr>
          <w:b w:val="0"/>
        </w:rPr>
        <w:fldChar w:fldCharType="separate"/>
      </w:r>
      <w:r>
        <w:rPr>
          <w:b w:val="0"/>
        </w:rPr>
        <w:t>4</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"_Toc37926013" </w:instrText>
      </w:r>
      <w:r>
        <w:fldChar w:fldCharType="separate"/>
      </w:r>
      <w:r>
        <w:rPr>
          <w:rStyle w:val="23"/>
          <w:rFonts w:ascii="Arial" w:hAnsi="Arial" w:eastAsia="Arial" w:cs="Arial"/>
          <w:b w:val="0"/>
        </w:rPr>
        <w:t>2.</w:t>
      </w:r>
      <w:r>
        <w:rPr>
          <w:rFonts w:asciiTheme="minorHAnsi" w:hAnsiTheme="minorHAnsi" w:eastAsiaTheme="minorEastAsia" w:cstheme="minorBidi"/>
          <w:b w:val="0"/>
          <w:bCs w:val="0"/>
          <w:kern w:val="2"/>
          <w:sz w:val="21"/>
          <w:szCs w:val="22"/>
          <w:lang w:val="en-US" w:bidi="ar-SA"/>
        </w:rPr>
        <w:tab/>
      </w:r>
      <w:r>
        <w:rPr>
          <w:rStyle w:val="23"/>
          <w:rFonts w:hint="eastAsia"/>
          <w:b w:val="0"/>
        </w:rPr>
        <w:t>项目概况与招标范围</w:t>
      </w:r>
      <w:r>
        <w:rPr>
          <w:b w:val="0"/>
        </w:rPr>
        <w:tab/>
      </w:r>
      <w:r>
        <w:rPr>
          <w:b w:val="0"/>
        </w:rPr>
        <w:fldChar w:fldCharType="begin"/>
      </w:r>
      <w:r>
        <w:rPr>
          <w:b w:val="0"/>
        </w:rPr>
        <w:instrText xml:space="preserve"> PAGEREF _Toc37926013 \h </w:instrText>
      </w:r>
      <w:r>
        <w:rPr>
          <w:b w:val="0"/>
        </w:rPr>
        <w:fldChar w:fldCharType="separate"/>
      </w:r>
      <w:r>
        <w:rPr>
          <w:b w:val="0"/>
        </w:rPr>
        <w:t>4</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"_Toc37926014" </w:instrText>
      </w:r>
      <w:r>
        <w:fldChar w:fldCharType="separate"/>
      </w:r>
      <w:r>
        <w:rPr>
          <w:rStyle w:val="23"/>
          <w:rFonts w:ascii="Arial" w:hAnsi="Arial" w:eastAsia="Arial" w:cs="Arial"/>
          <w:b w:val="0"/>
        </w:rPr>
        <w:t>3.</w:t>
      </w:r>
      <w:r>
        <w:rPr>
          <w:rFonts w:asciiTheme="minorHAnsi" w:hAnsiTheme="minorHAnsi" w:eastAsiaTheme="minorEastAsia" w:cstheme="minorBidi"/>
          <w:b w:val="0"/>
          <w:bCs w:val="0"/>
          <w:kern w:val="2"/>
          <w:sz w:val="21"/>
          <w:szCs w:val="22"/>
          <w:lang w:val="en-US" w:bidi="ar-SA"/>
        </w:rPr>
        <w:tab/>
      </w:r>
      <w:r>
        <w:rPr>
          <w:rStyle w:val="23"/>
          <w:rFonts w:hint="eastAsia"/>
          <w:b w:val="0"/>
        </w:rPr>
        <w:t>投标人资格要求</w:t>
      </w:r>
      <w:r>
        <w:rPr>
          <w:b w:val="0"/>
        </w:rPr>
        <w:tab/>
      </w:r>
      <w:r>
        <w:rPr>
          <w:b w:val="0"/>
        </w:rPr>
        <w:fldChar w:fldCharType="begin"/>
      </w:r>
      <w:r>
        <w:rPr>
          <w:b w:val="0"/>
        </w:rPr>
        <w:instrText xml:space="preserve"> PAGEREF _Toc37926014 \h </w:instrText>
      </w:r>
      <w:r>
        <w:rPr>
          <w:b w:val="0"/>
        </w:rPr>
        <w:fldChar w:fldCharType="separate"/>
      </w:r>
      <w:r>
        <w:rPr>
          <w:b w:val="0"/>
        </w:rPr>
        <w:t>4</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"_Toc37926015" </w:instrText>
      </w:r>
      <w:r>
        <w:fldChar w:fldCharType="separate"/>
      </w:r>
      <w:r>
        <w:rPr>
          <w:rStyle w:val="23"/>
          <w:rFonts w:ascii="Arial" w:hAnsi="Arial" w:eastAsia="Arial" w:cs="Arial"/>
          <w:b w:val="0"/>
        </w:rPr>
        <w:t>4.</w:t>
      </w:r>
      <w:r>
        <w:rPr>
          <w:rFonts w:asciiTheme="minorHAnsi" w:hAnsiTheme="minorHAnsi" w:eastAsiaTheme="minorEastAsia" w:cstheme="minorBidi"/>
          <w:b w:val="0"/>
          <w:bCs w:val="0"/>
          <w:kern w:val="2"/>
          <w:sz w:val="21"/>
          <w:szCs w:val="22"/>
          <w:lang w:val="en-US" w:bidi="ar-SA"/>
        </w:rPr>
        <w:tab/>
      </w:r>
      <w:r>
        <w:rPr>
          <w:rStyle w:val="23"/>
          <w:rFonts w:hint="eastAsia"/>
          <w:b w:val="0"/>
        </w:rPr>
        <w:t>获取招标文件</w:t>
      </w:r>
      <w:r>
        <w:rPr>
          <w:b w:val="0"/>
        </w:rPr>
        <w:tab/>
      </w:r>
      <w:r>
        <w:rPr>
          <w:b w:val="0"/>
        </w:rPr>
        <w:fldChar w:fldCharType="begin"/>
      </w:r>
      <w:r>
        <w:rPr>
          <w:b w:val="0"/>
        </w:rPr>
        <w:instrText xml:space="preserve"> PAGEREF _Toc37926015 \h </w:instrText>
      </w:r>
      <w:r>
        <w:rPr>
          <w:b w:val="0"/>
        </w:rPr>
        <w:fldChar w:fldCharType="separate"/>
      </w:r>
      <w:r>
        <w:rPr>
          <w:b w:val="0"/>
        </w:rPr>
        <w:t>5</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"_Toc37926016" </w:instrText>
      </w:r>
      <w:r>
        <w:fldChar w:fldCharType="separate"/>
      </w:r>
      <w:r>
        <w:rPr>
          <w:rStyle w:val="23"/>
          <w:rFonts w:ascii="Arial" w:hAnsi="Arial" w:eastAsia="Arial" w:cs="Arial"/>
          <w:b w:val="0"/>
        </w:rPr>
        <w:t>5.</w:t>
      </w:r>
      <w:r>
        <w:rPr>
          <w:rFonts w:asciiTheme="minorHAnsi" w:hAnsiTheme="minorHAnsi" w:eastAsiaTheme="minorEastAsia" w:cstheme="minorBidi"/>
          <w:b w:val="0"/>
          <w:bCs w:val="0"/>
          <w:kern w:val="2"/>
          <w:sz w:val="21"/>
          <w:szCs w:val="22"/>
          <w:lang w:val="en-US" w:bidi="ar-SA"/>
        </w:rPr>
        <w:tab/>
      </w:r>
      <w:r>
        <w:rPr>
          <w:rStyle w:val="23"/>
          <w:rFonts w:hint="eastAsia"/>
          <w:b w:val="0"/>
        </w:rPr>
        <w:t>投标文件的递交</w:t>
      </w:r>
      <w:r>
        <w:rPr>
          <w:b w:val="0"/>
        </w:rPr>
        <w:tab/>
      </w:r>
      <w:r>
        <w:rPr>
          <w:b w:val="0"/>
        </w:rPr>
        <w:fldChar w:fldCharType="begin"/>
      </w:r>
      <w:r>
        <w:rPr>
          <w:b w:val="0"/>
        </w:rPr>
        <w:instrText xml:space="preserve"> PAGEREF _Toc37926016 \h </w:instrText>
      </w:r>
      <w:r>
        <w:rPr>
          <w:b w:val="0"/>
        </w:rPr>
        <w:fldChar w:fldCharType="separate"/>
      </w:r>
      <w:r>
        <w:rPr>
          <w:b w:val="0"/>
        </w:rPr>
        <w:t>6</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"_Toc37926017" </w:instrText>
      </w:r>
      <w:r>
        <w:fldChar w:fldCharType="separate"/>
      </w:r>
      <w:r>
        <w:rPr>
          <w:rStyle w:val="23"/>
          <w:rFonts w:ascii="Arial" w:hAnsi="Arial" w:eastAsia="Arial" w:cs="Arial"/>
          <w:b w:val="0"/>
        </w:rPr>
        <w:t>6.</w:t>
      </w:r>
      <w:r>
        <w:rPr>
          <w:rFonts w:asciiTheme="minorHAnsi" w:hAnsiTheme="minorHAnsi" w:eastAsiaTheme="minorEastAsia" w:cstheme="minorBidi"/>
          <w:b w:val="0"/>
          <w:bCs w:val="0"/>
          <w:kern w:val="2"/>
          <w:sz w:val="21"/>
          <w:szCs w:val="22"/>
          <w:lang w:val="en-US" w:bidi="ar-SA"/>
        </w:rPr>
        <w:tab/>
      </w:r>
      <w:r>
        <w:rPr>
          <w:rStyle w:val="23"/>
          <w:rFonts w:hint="eastAsia" w:ascii="黑体" w:hAnsi="黑体" w:eastAsia="黑体" w:cs="黑体"/>
          <w:b w:val="0"/>
        </w:rPr>
        <w:t>投标人资质情形的确定</w:t>
      </w:r>
      <w:r>
        <w:rPr>
          <w:b w:val="0"/>
        </w:rPr>
        <w:tab/>
      </w:r>
      <w:r>
        <w:rPr>
          <w:b w:val="0"/>
        </w:rPr>
        <w:fldChar w:fldCharType="begin"/>
      </w:r>
      <w:r>
        <w:rPr>
          <w:b w:val="0"/>
        </w:rPr>
        <w:instrText xml:space="preserve"> PAGEREF _Toc37926017 \h </w:instrText>
      </w:r>
      <w:r>
        <w:rPr>
          <w:b w:val="0"/>
        </w:rPr>
        <w:fldChar w:fldCharType="separate"/>
      </w:r>
      <w:r>
        <w:rPr>
          <w:b w:val="0"/>
        </w:rPr>
        <w:t>6</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"_Toc37926018" </w:instrText>
      </w:r>
      <w:r>
        <w:fldChar w:fldCharType="separate"/>
      </w:r>
      <w:r>
        <w:rPr>
          <w:rStyle w:val="23"/>
          <w:b w:val="0"/>
        </w:rPr>
        <w:t xml:space="preserve">7. </w:t>
      </w:r>
      <w:r>
        <w:rPr>
          <w:rStyle w:val="23"/>
          <w:rFonts w:hint="eastAsia"/>
          <w:b w:val="0"/>
        </w:rPr>
        <w:t>其他要求</w:t>
      </w:r>
      <w:r>
        <w:rPr>
          <w:b w:val="0"/>
        </w:rPr>
        <w:tab/>
      </w:r>
      <w:r>
        <w:rPr>
          <w:b w:val="0"/>
        </w:rPr>
        <w:fldChar w:fldCharType="begin"/>
      </w:r>
      <w:r>
        <w:rPr>
          <w:b w:val="0"/>
        </w:rPr>
        <w:instrText xml:space="preserve"> PAGEREF _Toc37926018 \h </w:instrText>
      </w:r>
      <w:r>
        <w:rPr>
          <w:b w:val="0"/>
        </w:rPr>
        <w:fldChar w:fldCharType="separate"/>
      </w:r>
      <w:r>
        <w:rPr>
          <w:b w:val="0"/>
        </w:rPr>
        <w:t>6</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"_Toc37926019" </w:instrText>
      </w:r>
      <w:r>
        <w:fldChar w:fldCharType="separate"/>
      </w:r>
      <w:r>
        <w:rPr>
          <w:rStyle w:val="23"/>
          <w:b w:val="0"/>
        </w:rPr>
        <w:t>8.</w:t>
      </w:r>
      <w:r>
        <w:rPr>
          <w:rFonts w:asciiTheme="minorHAnsi" w:hAnsiTheme="minorHAnsi" w:eastAsiaTheme="minorEastAsia" w:cstheme="minorBidi"/>
          <w:b w:val="0"/>
          <w:bCs w:val="0"/>
          <w:kern w:val="2"/>
          <w:sz w:val="21"/>
          <w:szCs w:val="22"/>
          <w:lang w:val="en-US" w:bidi="ar-SA"/>
        </w:rPr>
        <w:tab/>
      </w:r>
      <w:r>
        <w:rPr>
          <w:rStyle w:val="23"/>
          <w:rFonts w:hint="eastAsia"/>
          <w:b w:val="0"/>
        </w:rPr>
        <w:t>发布公告的媒介</w:t>
      </w:r>
      <w:r>
        <w:rPr>
          <w:b w:val="0"/>
        </w:rPr>
        <w:tab/>
      </w:r>
      <w:r>
        <w:rPr>
          <w:b w:val="0"/>
        </w:rPr>
        <w:fldChar w:fldCharType="begin"/>
      </w:r>
      <w:r>
        <w:rPr>
          <w:b w:val="0"/>
        </w:rPr>
        <w:instrText xml:space="preserve"> PAGEREF _Toc37926019 \h </w:instrText>
      </w:r>
      <w:r>
        <w:rPr>
          <w:b w:val="0"/>
        </w:rPr>
        <w:fldChar w:fldCharType="separate"/>
      </w:r>
      <w:r>
        <w:rPr>
          <w:b w:val="0"/>
        </w:rPr>
        <w:t>7</w:t>
      </w:r>
      <w:r>
        <w:rPr>
          <w:b w:val="0"/>
        </w:rPr>
        <w:fldChar w:fldCharType="end"/>
      </w:r>
      <w:r>
        <w:rPr>
          <w:b w:val="0"/>
        </w:rPr>
        <w:fldChar w:fldCharType="end"/>
      </w:r>
    </w:p>
    <w:p>
      <w:pPr>
        <w:pStyle w:val="12"/>
        <w:tabs>
          <w:tab w:val="left" w:pos="567"/>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"_Toc37926020" </w:instrText>
      </w:r>
      <w:r>
        <w:fldChar w:fldCharType="separate"/>
      </w:r>
      <w:r>
        <w:rPr>
          <w:rStyle w:val="23"/>
          <w:b w:val="0"/>
        </w:rPr>
        <w:t>9.</w:t>
      </w:r>
      <w:r>
        <w:rPr>
          <w:rFonts w:asciiTheme="minorHAnsi" w:hAnsiTheme="minorHAnsi" w:eastAsiaTheme="minorEastAsia" w:cstheme="minorBidi"/>
          <w:b w:val="0"/>
          <w:bCs w:val="0"/>
          <w:kern w:val="2"/>
          <w:sz w:val="21"/>
          <w:szCs w:val="22"/>
          <w:lang w:val="en-US" w:bidi="ar-SA"/>
        </w:rPr>
        <w:tab/>
      </w:r>
      <w:r>
        <w:rPr>
          <w:rStyle w:val="23"/>
          <w:rFonts w:hint="eastAsia"/>
          <w:b w:val="0"/>
        </w:rPr>
        <w:t>联系方式</w:t>
      </w:r>
      <w:r>
        <w:rPr>
          <w:b w:val="0"/>
        </w:rPr>
        <w:tab/>
      </w:r>
      <w:r>
        <w:rPr>
          <w:b w:val="0"/>
        </w:rPr>
        <w:fldChar w:fldCharType="begin"/>
      </w:r>
      <w:r>
        <w:rPr>
          <w:b w:val="0"/>
        </w:rPr>
        <w:instrText xml:space="preserve"> PAGEREF _Toc37926020 \h </w:instrText>
      </w:r>
      <w:r>
        <w:rPr>
          <w:b w:val="0"/>
        </w:rPr>
        <w:fldChar w:fldCharType="separate"/>
      </w:r>
      <w:r>
        <w:rPr>
          <w:b w:val="0"/>
        </w:rPr>
        <w:t>7</w:t>
      </w:r>
      <w:r>
        <w:rPr>
          <w:b w:val="0"/>
        </w:rPr>
        <w:fldChar w:fldCharType="end"/>
      </w:r>
      <w:r>
        <w:rPr>
          <w:b w:val="0"/>
        </w:rP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"_Toc37926021" </w:instrText>
      </w:r>
      <w:r>
        <w:fldChar w:fldCharType="separate"/>
      </w:r>
      <w:r>
        <w:rPr>
          <w:rStyle w:val="23"/>
          <w:rFonts w:hint="eastAsia"/>
        </w:rPr>
        <w:t>第二章</w:t>
      </w:r>
      <w:r>
        <w:rPr>
          <w:rStyle w:val="23"/>
        </w:rPr>
        <w:t xml:space="preserve"> </w:t>
      </w:r>
      <w:r>
        <w:rPr>
          <w:rStyle w:val="23"/>
          <w:rFonts w:hint="eastAsia"/>
        </w:rPr>
        <w:t>投标人须知</w:t>
      </w:r>
      <w:r>
        <w:tab/>
      </w:r>
      <w:r>
        <w:fldChar w:fldCharType="begin"/>
      </w:r>
      <w:r>
        <w:instrText xml:space="preserve"> PAGEREF _Toc37926021 \h </w:instrText>
      </w:r>
      <w:r>
        <w:fldChar w:fldCharType="separate"/>
      </w:r>
      <w:r>
        <w:t>8</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"_Toc37926022" </w:instrText>
      </w:r>
      <w:r>
        <w:fldChar w:fldCharType="separate"/>
      </w:r>
      <w:r>
        <w:rPr>
          <w:rStyle w:val="23"/>
          <w:rFonts w:hint="eastAsia"/>
        </w:rPr>
        <w:t>投标人须知前附表</w:t>
      </w:r>
      <w:r>
        <w:tab/>
      </w:r>
      <w:r>
        <w:fldChar w:fldCharType="begin"/>
      </w:r>
      <w:r>
        <w:instrText xml:space="preserve"> PAGEREF _Toc37926022 \h </w:instrText>
      </w:r>
      <w:r>
        <w:fldChar w:fldCharType="separate"/>
      </w:r>
      <w:r>
        <w:t>8</w:t>
      </w:r>
      <w:r>
        <w:fldChar w:fldCharType="end"/>
      </w:r>
      <w:r>
        <w:fldChar w:fldCharType="end"/>
      </w:r>
    </w:p>
    <w:p>
      <w:pPr>
        <w:pStyle w:val="20"/>
        <w:tabs>
          <w:tab w:val="left" w:pos="10206"/>
          <w:tab w:val="right" w:leader="dot" w:pos="10403"/>
        </w:tabs>
        <w:wordWrap w:val="0"/>
        <w:ind w:left="284" w:right="9279" w:hanging="142"/>
        <w:rPr>
          <w:rFonts w:asciiTheme="minorHAnsi" w:hAnsiTheme="minorHAnsi" w:eastAsiaTheme="minorEastAsia" w:cstheme="minorBidi"/>
          <w:kern w:val="2"/>
          <w:sz w:val="21"/>
          <w:szCs w:val="22"/>
          <w:lang w:val="en-US" w:bidi="ar-SA"/>
        </w:rPr>
      </w:pPr>
      <w:r>
        <w:fldChar w:fldCharType="begin"/>
      </w:r>
      <w:r>
        <w:instrText xml:space="preserve"> HYPERLINK \l "_Toc37926023" </w:instrText>
      </w:r>
      <w:r>
        <w:fldChar w:fldCharType="separate"/>
      </w:r>
      <w:r>
        <w:rPr>
          <w:rStyle w:val="23"/>
          <w:rFonts w:ascii="Arial" w:hAnsi="Arial" w:eastAsia="Arial" w:cs="Arial"/>
          <w:bCs/>
          <w:w w:val="99"/>
        </w:rPr>
        <w:t>1.</w:t>
      </w:r>
      <w:r>
        <w:rPr>
          <w:rStyle w:val="23"/>
          <w:rFonts w:hint="eastAsia" w:ascii="黑体" w:eastAsia="黑体"/>
        </w:rPr>
        <w:t>总则</w:t>
      </w:r>
      <w:r>
        <w:rPr>
          <w:u w:val="dottedHeavy"/>
        </w:rPr>
        <w:tab/>
      </w:r>
      <w:r>
        <w:tab/>
      </w:r>
      <w:r>
        <w:fldChar w:fldCharType="begin"/>
      </w:r>
      <w:r>
        <w:instrText xml:space="preserve"> PAGEREF _Toc37926023 \h </w:instrText>
      </w:r>
      <w:r>
        <w:fldChar w:fldCharType="separate"/>
      </w:r>
      <w:r>
        <w:t>23</w:t>
      </w:r>
      <w:r>
        <w:fldChar w:fldCharType="end"/>
      </w:r>
      <w:r>
        <w:fldChar w:fldCharType="end"/>
      </w:r>
    </w:p>
    <w:p>
      <w:pPr>
        <w:pStyle w:val="20"/>
        <w:tabs>
          <w:tab w:val="left" w:pos="10206"/>
          <w:tab w:val="right" w:leader="dot" w:pos="10403"/>
        </w:tabs>
        <w:ind w:left="426" w:hanging="284"/>
        <w:rPr>
          <w:rFonts w:asciiTheme="minorHAnsi" w:hAnsiTheme="minorHAnsi" w:eastAsiaTheme="minorEastAsia" w:cstheme="minorBidi"/>
          <w:kern w:val="2"/>
          <w:sz w:val="21"/>
          <w:szCs w:val="22"/>
          <w:lang w:val="en-US" w:bidi="ar-SA"/>
        </w:rPr>
      </w:pPr>
      <w:r>
        <w:fldChar w:fldCharType="begin"/>
      </w:r>
      <w:r>
        <w:instrText xml:space="preserve"> HYPERLINK \l "_Toc37926024" </w:instrText>
      </w:r>
      <w:r>
        <w:fldChar w:fldCharType="separate"/>
      </w:r>
      <w:r>
        <w:rPr>
          <w:rStyle w:val="23"/>
        </w:rPr>
        <w:t>2</w:t>
      </w:r>
      <w:r>
        <w:rPr>
          <w:rFonts w:hint="eastAsia" w:asciiTheme="minorHAnsi" w:hAnsiTheme="minorHAnsi" w:eastAsiaTheme="minorEastAsia" w:cstheme="minorBidi"/>
          <w:kern w:val="2"/>
          <w:sz w:val="21"/>
          <w:szCs w:val="22"/>
          <w:lang w:val="en-US" w:bidi="ar-SA"/>
        </w:rPr>
        <w:t>.</w:t>
      </w:r>
      <w:r>
        <w:rPr>
          <w:rStyle w:val="23"/>
          <w:rFonts w:hint="eastAsia"/>
        </w:rPr>
        <w:t>招标文件</w:t>
      </w:r>
      <w:r>
        <w:rPr>
          <w:rStyle w:val="23"/>
          <w:sz w:val="10"/>
          <w:u w:val="dottedHeavy"/>
        </w:rPr>
        <w:tab/>
      </w:r>
      <w:r>
        <w:tab/>
      </w:r>
      <w:r>
        <w:fldChar w:fldCharType="begin"/>
      </w:r>
      <w:r>
        <w:instrText xml:space="preserve"> PAGEREF _Toc37926024 \h </w:instrText>
      </w:r>
      <w:r>
        <w:fldChar w:fldCharType="separate"/>
      </w:r>
      <w:r>
        <w:t>25</w:t>
      </w:r>
      <w:r>
        <w:fldChar w:fldCharType="end"/>
      </w:r>
      <w:r>
        <w:fldChar w:fldCharType="end"/>
      </w:r>
    </w:p>
    <w:p>
      <w:pPr>
        <w:pStyle w:val="20"/>
        <w:tabs>
          <w:tab w:val="left" w:pos="10206"/>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"_Toc37926025" </w:instrText>
      </w:r>
      <w:r>
        <w:fldChar w:fldCharType="separate"/>
      </w:r>
      <w:r>
        <w:rPr>
          <w:rStyle w:val="23"/>
        </w:rPr>
        <w:t>3</w:t>
      </w:r>
      <w:r>
        <w:rPr>
          <w:rFonts w:asciiTheme="minorHAnsi" w:hAnsiTheme="minorHAnsi" w:eastAsiaTheme="minorEastAsia" w:cstheme="minorBidi"/>
          <w:kern w:val="2"/>
          <w:sz w:val="21"/>
          <w:szCs w:val="22"/>
          <w:lang w:val="en-US" w:bidi="ar-SA"/>
        </w:rPr>
        <w:tab/>
      </w:r>
      <w:r>
        <w:rPr>
          <w:rStyle w:val="23"/>
          <w:rFonts w:hint="eastAsia"/>
        </w:rPr>
        <w:t>投标文件</w:t>
      </w:r>
      <w:r>
        <w:rPr>
          <w:sz w:val="15"/>
          <w:u w:val="dottedHeavy"/>
        </w:rPr>
        <w:tab/>
      </w:r>
      <w:r>
        <w:fldChar w:fldCharType="begin"/>
      </w:r>
      <w:r>
        <w:instrText xml:space="preserve"> PAGEREF _Toc37926025 \h </w:instrText>
      </w:r>
      <w:r>
        <w:fldChar w:fldCharType="separate"/>
      </w:r>
      <w:r>
        <w:t>27</w:t>
      </w:r>
      <w:r>
        <w:fldChar w:fldCharType="end"/>
      </w:r>
      <w:r>
        <w:fldChar w:fldCharType="end"/>
      </w:r>
    </w:p>
    <w:p>
      <w:pPr>
        <w:pStyle w:val="20"/>
        <w:tabs>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"_Toc37926026" </w:instrText>
      </w:r>
      <w:r>
        <w:fldChar w:fldCharType="separate"/>
      </w:r>
      <w:r>
        <w:rPr>
          <w:rStyle w:val="23"/>
        </w:rPr>
        <w:t>4</w:t>
      </w:r>
      <w:r>
        <w:rPr>
          <w:rFonts w:asciiTheme="minorHAnsi" w:hAnsiTheme="minorHAnsi" w:eastAsiaTheme="minorEastAsia" w:cstheme="minorBidi"/>
          <w:kern w:val="2"/>
          <w:sz w:val="21"/>
          <w:szCs w:val="22"/>
          <w:lang w:val="en-US" w:bidi="ar-SA"/>
        </w:rPr>
        <w:tab/>
      </w:r>
      <w:r>
        <w:rPr>
          <w:rStyle w:val="23"/>
          <w:rFonts w:hint="eastAsia"/>
        </w:rPr>
        <w:t>投标</w:t>
      </w:r>
      <w:r>
        <w:tab/>
      </w:r>
      <w:r>
        <w:fldChar w:fldCharType="begin"/>
      </w:r>
      <w:r>
        <w:instrText xml:space="preserve"> PAGEREF _Toc37926026 \h </w:instrText>
      </w:r>
      <w:r>
        <w:fldChar w:fldCharType="separate"/>
      </w:r>
      <w:r>
        <w:t>29</w:t>
      </w:r>
      <w:r>
        <w:fldChar w:fldCharType="end"/>
      </w:r>
      <w:r>
        <w:fldChar w:fldCharType="end"/>
      </w:r>
    </w:p>
    <w:p>
      <w:pPr>
        <w:pStyle w:val="20"/>
        <w:tabs>
          <w:tab w:val="left" w:pos="10206"/>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"_Toc37926027" </w:instrText>
      </w:r>
      <w:r>
        <w:fldChar w:fldCharType="separate"/>
      </w:r>
      <w:r>
        <w:rPr>
          <w:rStyle w:val="23"/>
        </w:rPr>
        <w:t>5</w:t>
      </w:r>
      <w:r>
        <w:rPr>
          <w:rFonts w:asciiTheme="minorHAnsi" w:hAnsiTheme="minorHAnsi" w:eastAsiaTheme="minorEastAsia" w:cstheme="minorBidi"/>
          <w:kern w:val="2"/>
          <w:sz w:val="21"/>
          <w:szCs w:val="22"/>
          <w:lang w:val="en-US" w:bidi="ar-SA"/>
        </w:rPr>
        <w:tab/>
      </w:r>
      <w:r>
        <w:rPr>
          <w:rStyle w:val="23"/>
          <w:rFonts w:hint="eastAsia"/>
        </w:rPr>
        <w:t>开标</w:t>
      </w:r>
      <w:r>
        <w:rPr>
          <w:u w:val="dottedHeavy"/>
        </w:rPr>
        <w:tab/>
      </w:r>
      <w:r>
        <w:fldChar w:fldCharType="begin"/>
      </w:r>
      <w:r>
        <w:instrText xml:space="preserve"> PAGEREF _Toc37926027 \h </w:instrText>
      </w:r>
      <w:r>
        <w:fldChar w:fldCharType="separate"/>
      </w:r>
      <w:r>
        <w:t>29</w:t>
      </w:r>
      <w:r>
        <w:fldChar w:fldCharType="end"/>
      </w:r>
      <w:r>
        <w:fldChar w:fldCharType="end"/>
      </w:r>
    </w:p>
    <w:p>
      <w:pPr>
        <w:pStyle w:val="20"/>
        <w:tabs>
          <w:tab w:val="left" w:pos="10206"/>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"_Toc37926028" </w:instrText>
      </w:r>
      <w:r>
        <w:fldChar w:fldCharType="separate"/>
      </w:r>
      <w:r>
        <w:rPr>
          <w:rStyle w:val="23"/>
        </w:rPr>
        <w:t>6</w:t>
      </w:r>
      <w:r>
        <w:rPr>
          <w:rFonts w:asciiTheme="minorHAnsi" w:hAnsiTheme="minorHAnsi" w:eastAsiaTheme="minorEastAsia" w:cstheme="minorBidi"/>
          <w:kern w:val="2"/>
          <w:sz w:val="21"/>
          <w:szCs w:val="22"/>
          <w:lang w:val="en-US" w:bidi="ar-SA"/>
        </w:rPr>
        <w:tab/>
      </w:r>
      <w:r>
        <w:rPr>
          <w:rStyle w:val="23"/>
          <w:rFonts w:hint="eastAsia"/>
        </w:rPr>
        <w:t>评标</w:t>
      </w:r>
      <w:r>
        <w:rPr>
          <w:u w:val="dottedHeavy"/>
        </w:rPr>
        <w:tab/>
      </w:r>
      <w:r>
        <w:fldChar w:fldCharType="begin"/>
      </w:r>
      <w:r>
        <w:instrText xml:space="preserve"> PAGEREF _Toc37926028 \h </w:instrText>
      </w:r>
      <w:r>
        <w:fldChar w:fldCharType="separate"/>
      </w:r>
      <w:r>
        <w:t>30</w:t>
      </w:r>
      <w:r>
        <w:fldChar w:fldCharType="end"/>
      </w:r>
      <w:r>
        <w:fldChar w:fldCharType="end"/>
      </w:r>
    </w:p>
    <w:p>
      <w:pPr>
        <w:pStyle w:val="20"/>
        <w:tabs>
          <w:tab w:val="left" w:pos="10206"/>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"_Toc37926029" </w:instrText>
      </w:r>
      <w:r>
        <w:fldChar w:fldCharType="separate"/>
      </w:r>
      <w:r>
        <w:rPr>
          <w:rStyle w:val="23"/>
        </w:rPr>
        <w:t>7</w:t>
      </w:r>
      <w:r>
        <w:rPr>
          <w:rFonts w:asciiTheme="minorHAnsi" w:hAnsiTheme="minorHAnsi" w:eastAsiaTheme="minorEastAsia" w:cstheme="minorBidi"/>
          <w:kern w:val="2"/>
          <w:sz w:val="21"/>
          <w:szCs w:val="22"/>
          <w:lang w:val="en-US" w:bidi="ar-SA"/>
        </w:rPr>
        <w:tab/>
      </w:r>
      <w:r>
        <w:rPr>
          <w:rStyle w:val="23"/>
          <w:rFonts w:hint="eastAsia"/>
        </w:rPr>
        <w:t>合同授予</w:t>
      </w:r>
      <w:r>
        <w:rPr>
          <w:u w:val="dottedHeavy"/>
        </w:rPr>
        <w:tab/>
      </w:r>
      <w:r>
        <w:fldChar w:fldCharType="begin"/>
      </w:r>
      <w:r>
        <w:instrText xml:space="preserve"> PAGEREF _Toc37926029 \h </w:instrText>
      </w:r>
      <w:r>
        <w:fldChar w:fldCharType="separate"/>
      </w:r>
      <w:r>
        <w:t>31</w:t>
      </w:r>
      <w:r>
        <w:fldChar w:fldCharType="end"/>
      </w:r>
      <w:r>
        <w:fldChar w:fldCharType="end"/>
      </w:r>
    </w:p>
    <w:p>
      <w:pPr>
        <w:pStyle w:val="20"/>
        <w:tabs>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"_Toc37926030" </w:instrText>
      </w:r>
      <w:r>
        <w:fldChar w:fldCharType="separate"/>
      </w:r>
      <w:r>
        <w:rPr>
          <w:rStyle w:val="23"/>
        </w:rPr>
        <w:t>8</w:t>
      </w:r>
      <w:r>
        <w:rPr>
          <w:rFonts w:asciiTheme="minorHAnsi" w:hAnsiTheme="minorHAnsi" w:eastAsiaTheme="minorEastAsia" w:cstheme="minorBidi"/>
          <w:kern w:val="2"/>
          <w:sz w:val="21"/>
          <w:szCs w:val="22"/>
          <w:lang w:val="en-US" w:bidi="ar-SA"/>
        </w:rPr>
        <w:tab/>
      </w:r>
      <w:r>
        <w:rPr>
          <w:rStyle w:val="23"/>
          <w:rFonts w:hint="eastAsia"/>
        </w:rPr>
        <w:t>纪律和监督</w:t>
      </w:r>
      <w:r>
        <w:tab/>
      </w:r>
      <w:r>
        <w:fldChar w:fldCharType="begin"/>
      </w:r>
      <w:r>
        <w:instrText xml:space="preserve"> PAGEREF _Toc37926030 \h </w:instrText>
      </w:r>
      <w:r>
        <w:fldChar w:fldCharType="separate"/>
      </w:r>
      <w:r>
        <w:t>32</w:t>
      </w:r>
      <w:r>
        <w:fldChar w:fldCharType="end"/>
      </w:r>
      <w:r>
        <w:fldChar w:fldCharType="end"/>
      </w:r>
    </w:p>
    <w:p>
      <w:pPr>
        <w:pStyle w:val="20"/>
        <w:tabs>
          <w:tab w:val="right" w:leader="dot" w:pos="10403"/>
        </w:tabs>
        <w:ind w:left="284" w:hanging="142"/>
        <w:rPr>
          <w:rFonts w:asciiTheme="minorHAnsi" w:hAnsiTheme="minorHAnsi" w:eastAsiaTheme="minorEastAsia" w:cstheme="minorBidi"/>
          <w:kern w:val="2"/>
          <w:sz w:val="21"/>
          <w:szCs w:val="22"/>
          <w:lang w:val="en-US" w:bidi="ar-SA"/>
        </w:rPr>
      </w:pPr>
      <w:r>
        <w:fldChar w:fldCharType="begin"/>
      </w:r>
      <w:r>
        <w:instrText xml:space="preserve"> HYPERLINK \l "_Toc37926031" </w:instrText>
      </w:r>
      <w:r>
        <w:fldChar w:fldCharType="separate"/>
      </w:r>
      <w:r>
        <w:rPr>
          <w:rStyle w:val="23"/>
        </w:rPr>
        <w:t>9</w:t>
      </w:r>
      <w:r>
        <w:rPr>
          <w:rFonts w:asciiTheme="minorHAnsi" w:hAnsiTheme="minorHAnsi" w:eastAsiaTheme="minorEastAsia" w:cstheme="minorBidi"/>
          <w:kern w:val="2"/>
          <w:sz w:val="21"/>
          <w:szCs w:val="22"/>
          <w:lang w:val="en-US" w:bidi="ar-SA"/>
        </w:rPr>
        <w:tab/>
      </w:r>
      <w:r>
        <w:rPr>
          <w:rStyle w:val="23"/>
          <w:rFonts w:hint="eastAsia"/>
        </w:rPr>
        <w:t>需要补充的其他内容</w:t>
      </w:r>
      <w:r>
        <w:tab/>
      </w:r>
      <w:r>
        <w:fldChar w:fldCharType="begin"/>
      </w:r>
      <w:r>
        <w:instrText xml:space="preserve"> PAGEREF _Toc37926031 \h </w:instrText>
      </w:r>
      <w:r>
        <w:fldChar w:fldCharType="separate"/>
      </w:r>
      <w:r>
        <w:t>33</w:t>
      </w:r>
      <w:r>
        <w:fldChar w:fldCharType="end"/>
      </w:r>
      <w:r>
        <w:fldChar w:fldCharType="end"/>
      </w:r>
    </w:p>
    <w:p>
      <w:pPr>
        <w:pStyle w:val="20"/>
        <w:tabs>
          <w:tab w:val="right" w:leader="dot" w:pos="10403"/>
        </w:tabs>
        <w:ind w:left="426" w:hanging="284"/>
        <w:rPr>
          <w:rFonts w:asciiTheme="minorHAnsi" w:hAnsiTheme="minorHAnsi" w:eastAsiaTheme="minorEastAsia" w:cstheme="minorBidi"/>
          <w:kern w:val="2"/>
          <w:sz w:val="21"/>
          <w:szCs w:val="22"/>
          <w:lang w:val="en-US" w:bidi="ar-SA"/>
        </w:rPr>
      </w:pPr>
      <w:r>
        <w:fldChar w:fldCharType="begin"/>
      </w:r>
      <w:r>
        <w:instrText xml:space="preserve"> HYPERLINK \l "_Toc37926032" </w:instrText>
      </w:r>
      <w:r>
        <w:fldChar w:fldCharType="separate"/>
      </w:r>
      <w:r>
        <w:rPr>
          <w:rStyle w:val="23"/>
        </w:rPr>
        <w:t>10</w:t>
      </w:r>
      <w:r>
        <w:rPr>
          <w:rFonts w:asciiTheme="minorHAnsi" w:hAnsiTheme="minorHAnsi" w:eastAsiaTheme="minorEastAsia" w:cstheme="minorBidi"/>
          <w:kern w:val="2"/>
          <w:sz w:val="21"/>
          <w:szCs w:val="22"/>
          <w:lang w:val="en-US" w:bidi="ar-SA"/>
        </w:rPr>
        <w:tab/>
      </w:r>
      <w:r>
        <w:rPr>
          <w:rStyle w:val="23"/>
          <w:rFonts w:hint="eastAsia"/>
        </w:rPr>
        <w:t>电子招标投标</w:t>
      </w:r>
      <w:r>
        <w:tab/>
      </w:r>
      <w:r>
        <w:fldChar w:fldCharType="begin"/>
      </w:r>
      <w:r>
        <w:instrText xml:space="preserve"> PAGEREF _Toc37926032 \h </w:instrText>
      </w:r>
      <w:r>
        <w:fldChar w:fldCharType="separate"/>
      </w:r>
      <w:r>
        <w:t>33</w:t>
      </w:r>
      <w:r>
        <w:fldChar w:fldCharType="end"/>
      </w:r>
      <w: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"_Toc37926033" </w:instrText>
      </w:r>
      <w:r>
        <w:fldChar w:fldCharType="separate"/>
      </w:r>
      <w:r>
        <w:rPr>
          <w:rStyle w:val="23"/>
          <w:rFonts w:hint="eastAsia"/>
        </w:rPr>
        <w:t>第三章</w:t>
      </w:r>
      <w:r>
        <w:rPr>
          <w:rStyle w:val="23"/>
        </w:rPr>
        <w:t xml:space="preserve"> </w:t>
      </w:r>
      <w:r>
        <w:rPr>
          <w:rStyle w:val="23"/>
          <w:rFonts w:hint="eastAsia"/>
        </w:rPr>
        <w:t>评标办法（综合评估法）</w:t>
      </w:r>
      <w:r>
        <w:tab/>
      </w:r>
      <w:r>
        <w:fldChar w:fldCharType="begin"/>
      </w:r>
      <w:r>
        <w:instrText xml:space="preserve"> PAGEREF _Toc37926033 \h </w:instrText>
      </w:r>
      <w:r>
        <w:fldChar w:fldCharType="separate"/>
      </w:r>
      <w:r>
        <w:t>40</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"_Toc37926034" </w:instrText>
      </w:r>
      <w:r>
        <w:fldChar w:fldCharType="separate"/>
      </w:r>
      <w:r>
        <w:rPr>
          <w:rStyle w:val="23"/>
          <w:rFonts w:hint="eastAsia"/>
        </w:rPr>
        <w:t>评标办法前附表</w:t>
      </w:r>
      <w:r>
        <w:tab/>
      </w:r>
      <w:r>
        <w:fldChar w:fldCharType="begin"/>
      </w:r>
      <w:r>
        <w:instrText xml:space="preserve"> PAGEREF _Toc37926034 \h </w:instrText>
      </w:r>
      <w:r>
        <w:fldChar w:fldCharType="separate"/>
      </w:r>
      <w:r>
        <w:t>40</w:t>
      </w:r>
      <w:r>
        <w:fldChar w:fldCharType="end"/>
      </w:r>
      <w:r>
        <w:fldChar w:fldCharType="end"/>
      </w:r>
    </w:p>
    <w:p>
      <w:pPr>
        <w:pStyle w:val="20"/>
        <w:tabs>
          <w:tab w:val="right" w:leader="dot" w:pos="10403"/>
        </w:tabs>
        <w:ind w:left="426" w:hanging="284"/>
        <w:rPr>
          <w:rFonts w:asciiTheme="minorHAnsi" w:hAnsiTheme="minorHAnsi" w:eastAsiaTheme="minorEastAsia" w:cstheme="minorBidi"/>
          <w:kern w:val="2"/>
          <w:sz w:val="21"/>
          <w:szCs w:val="22"/>
          <w:lang w:val="en-US" w:bidi="ar-SA"/>
        </w:rPr>
      </w:pPr>
      <w:r>
        <w:fldChar w:fldCharType="begin"/>
      </w:r>
      <w:r>
        <w:instrText xml:space="preserve"> HYPERLINK \l "_Toc37926035" </w:instrText>
      </w:r>
      <w:r>
        <w:fldChar w:fldCharType="separate"/>
      </w:r>
      <w:r>
        <w:rPr>
          <w:rStyle w:val="23"/>
          <w:rFonts w:ascii="Arial" w:hAnsi="Arial" w:eastAsia="Arial" w:cs="Arial"/>
          <w:bCs/>
          <w:w w:val="99"/>
        </w:rPr>
        <w:t>1.</w:t>
      </w:r>
      <w:r>
        <w:rPr>
          <w:rFonts w:asciiTheme="minorHAnsi" w:hAnsiTheme="minorHAnsi" w:eastAsiaTheme="minorEastAsia" w:cstheme="minorBidi"/>
          <w:kern w:val="2"/>
          <w:sz w:val="21"/>
          <w:szCs w:val="22"/>
          <w:lang w:val="en-US" w:bidi="ar-SA"/>
        </w:rPr>
        <w:tab/>
      </w:r>
      <w:r>
        <w:rPr>
          <w:rStyle w:val="23"/>
          <w:rFonts w:hint="eastAsia" w:ascii="黑体" w:eastAsia="黑体"/>
        </w:rPr>
        <w:t>评标方法</w:t>
      </w:r>
      <w:r>
        <w:tab/>
      </w:r>
      <w:r>
        <w:fldChar w:fldCharType="begin"/>
      </w:r>
      <w:r>
        <w:instrText xml:space="preserve"> PAGEREF _Toc37926035 \h </w:instrText>
      </w:r>
      <w:r>
        <w:fldChar w:fldCharType="separate"/>
      </w:r>
      <w:r>
        <w:t>47</w:t>
      </w:r>
      <w:r>
        <w:fldChar w:fldCharType="end"/>
      </w:r>
      <w:r>
        <w:fldChar w:fldCharType="end"/>
      </w:r>
    </w:p>
    <w:p>
      <w:pPr>
        <w:pStyle w:val="20"/>
        <w:tabs>
          <w:tab w:val="right" w:leader="dot" w:pos="10403"/>
        </w:tabs>
        <w:ind w:left="426" w:hanging="284"/>
        <w:rPr>
          <w:rFonts w:asciiTheme="minorHAnsi" w:hAnsiTheme="minorHAnsi" w:eastAsiaTheme="minorEastAsia" w:cstheme="minorBidi"/>
          <w:kern w:val="2"/>
          <w:sz w:val="21"/>
          <w:szCs w:val="22"/>
          <w:lang w:val="en-US" w:bidi="ar-SA"/>
        </w:rPr>
      </w:pPr>
      <w:r>
        <w:fldChar w:fldCharType="begin"/>
      </w:r>
      <w:r>
        <w:instrText xml:space="preserve"> HYPERLINK \l "_Toc37926036" </w:instrText>
      </w:r>
      <w:r>
        <w:fldChar w:fldCharType="separate"/>
      </w:r>
      <w:r>
        <w:rPr>
          <w:rStyle w:val="23"/>
          <w:rFonts w:ascii="Arial" w:hAnsi="Arial" w:eastAsia="Arial" w:cs="Arial"/>
          <w:w w:val="99"/>
        </w:rPr>
        <w:t>2.</w:t>
      </w:r>
      <w:r>
        <w:rPr>
          <w:rFonts w:asciiTheme="minorHAnsi" w:hAnsiTheme="minorHAnsi" w:eastAsiaTheme="minorEastAsia" w:cstheme="minorBidi"/>
          <w:kern w:val="2"/>
          <w:sz w:val="21"/>
          <w:szCs w:val="22"/>
          <w:lang w:val="en-US" w:bidi="ar-SA"/>
        </w:rPr>
        <w:tab/>
      </w:r>
      <w:r>
        <w:rPr>
          <w:rStyle w:val="23"/>
          <w:rFonts w:hint="eastAsia"/>
        </w:rPr>
        <w:t>评审标准</w:t>
      </w:r>
      <w:r>
        <w:tab/>
      </w:r>
      <w:r>
        <w:fldChar w:fldCharType="begin"/>
      </w:r>
      <w:r>
        <w:instrText xml:space="preserve"> PAGEREF _Toc37926036 \h </w:instrText>
      </w:r>
      <w:r>
        <w:fldChar w:fldCharType="separate"/>
      </w:r>
      <w:r>
        <w:t>47</w:t>
      </w:r>
      <w:r>
        <w:fldChar w:fldCharType="end"/>
      </w:r>
      <w: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"_Toc37926037" </w:instrText>
      </w:r>
      <w:r>
        <w:fldChar w:fldCharType="separate"/>
      </w:r>
      <w:r>
        <w:rPr>
          <w:rStyle w:val="23"/>
          <w:b w:val="0"/>
        </w:rPr>
        <w:t xml:space="preserve">2.1 </w:t>
      </w:r>
      <w:r>
        <w:rPr>
          <w:rStyle w:val="23"/>
          <w:rFonts w:hint="eastAsia"/>
          <w:b w:val="0"/>
        </w:rPr>
        <w:t>初步评审标准</w:t>
      </w:r>
      <w:r>
        <w:rPr>
          <w:b w:val="0"/>
        </w:rPr>
        <w:tab/>
      </w:r>
      <w:r>
        <w:rPr>
          <w:b w:val="0"/>
        </w:rPr>
        <w:fldChar w:fldCharType="begin"/>
      </w:r>
      <w:r>
        <w:rPr>
          <w:b w:val="0"/>
        </w:rPr>
        <w:instrText xml:space="preserve"> PAGEREF _Toc37926037 \h </w:instrText>
      </w:r>
      <w:r>
        <w:rPr>
          <w:b w:val="0"/>
        </w:rPr>
        <w:fldChar w:fldCharType="separate"/>
      </w:r>
      <w:r>
        <w:rPr>
          <w:b w:val="0"/>
        </w:rPr>
        <w:t>47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"_Toc37926038" </w:instrText>
      </w:r>
      <w:r>
        <w:fldChar w:fldCharType="separate"/>
      </w:r>
      <w:r>
        <w:rPr>
          <w:rStyle w:val="23"/>
          <w:b w:val="0"/>
        </w:rPr>
        <w:t xml:space="preserve">2.2 </w:t>
      </w:r>
      <w:r>
        <w:rPr>
          <w:rStyle w:val="23"/>
          <w:rFonts w:hint="eastAsia"/>
          <w:b w:val="0"/>
        </w:rPr>
        <w:t>分值构成与评分标准</w:t>
      </w:r>
      <w:r>
        <w:rPr>
          <w:b w:val="0"/>
        </w:rPr>
        <w:tab/>
      </w:r>
      <w:r>
        <w:rPr>
          <w:b w:val="0"/>
        </w:rPr>
        <w:fldChar w:fldCharType="begin"/>
      </w:r>
      <w:r>
        <w:rPr>
          <w:b w:val="0"/>
        </w:rPr>
        <w:instrText xml:space="preserve"> PAGEREF _Toc37926038 \h </w:instrText>
      </w:r>
      <w:r>
        <w:rPr>
          <w:b w:val="0"/>
        </w:rPr>
        <w:fldChar w:fldCharType="separate"/>
      </w:r>
      <w:r>
        <w:rPr>
          <w:b w:val="0"/>
        </w:rPr>
        <w:t>47</w:t>
      </w:r>
      <w:r>
        <w:rPr>
          <w:b w:val="0"/>
        </w:rPr>
        <w:fldChar w:fldCharType="end"/>
      </w:r>
      <w:r>
        <w:rPr>
          <w:b w:val="0"/>
        </w:rPr>
        <w:fldChar w:fldCharType="end"/>
      </w:r>
    </w:p>
    <w:p>
      <w:pPr>
        <w:pStyle w:val="20"/>
        <w:tabs>
          <w:tab w:val="left" w:pos="10165"/>
          <w:tab w:val="right" w:leader="dot" w:pos="10403"/>
        </w:tabs>
        <w:ind w:left="426" w:hanging="284"/>
        <w:rPr>
          <w:rFonts w:asciiTheme="minorHAnsi" w:hAnsiTheme="minorHAnsi" w:eastAsiaTheme="minorEastAsia" w:cstheme="minorBidi"/>
          <w:kern w:val="2"/>
          <w:sz w:val="21"/>
          <w:szCs w:val="22"/>
          <w:lang w:val="en-US" w:bidi="ar-SA"/>
        </w:rPr>
      </w:pPr>
      <w:r>
        <w:fldChar w:fldCharType="begin"/>
      </w:r>
      <w:r>
        <w:instrText xml:space="preserve"> HYPERLINK \l "_Toc37926039" </w:instrText>
      </w:r>
      <w:r>
        <w:fldChar w:fldCharType="separate"/>
      </w:r>
      <w:r>
        <w:rPr>
          <w:rStyle w:val="23"/>
          <w:rFonts w:ascii="Arial" w:hAnsi="Arial" w:eastAsia="Arial" w:cs="Arial"/>
          <w:w w:val="99"/>
        </w:rPr>
        <w:t>3.</w:t>
      </w:r>
      <w:r>
        <w:rPr>
          <w:rFonts w:asciiTheme="minorHAnsi" w:hAnsiTheme="minorHAnsi" w:eastAsiaTheme="minorEastAsia" w:cstheme="minorBidi"/>
          <w:kern w:val="2"/>
          <w:sz w:val="21"/>
          <w:szCs w:val="22"/>
          <w:lang w:val="en-US" w:bidi="ar-SA"/>
        </w:rPr>
        <w:tab/>
      </w:r>
      <w:r>
        <w:rPr>
          <w:rStyle w:val="23"/>
          <w:rFonts w:hint="eastAsia"/>
        </w:rPr>
        <w:t>评标程序</w:t>
      </w:r>
      <w:r>
        <w:rPr>
          <w:sz w:val="16"/>
          <w:u w:val="dottedHeavy"/>
        </w:rPr>
        <w:tab/>
      </w:r>
      <w:r>
        <w:fldChar w:fldCharType="begin"/>
      </w:r>
      <w:r>
        <w:instrText xml:space="preserve"> PAGEREF _Toc37926039 \h </w:instrText>
      </w:r>
      <w:r>
        <w:fldChar w:fldCharType="separate"/>
      </w:r>
      <w:r>
        <w:t>48</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"_Toc37926040" </w:instrText>
      </w:r>
      <w:r>
        <w:fldChar w:fldCharType="separate"/>
      </w:r>
      <w:r>
        <w:rPr>
          <w:rStyle w:val="23"/>
          <w:rFonts w:hint="eastAsia"/>
        </w:rPr>
        <w:t>评标详细程序</w:t>
      </w:r>
      <w:r>
        <w:tab/>
      </w:r>
      <w:r>
        <w:fldChar w:fldCharType="begin"/>
      </w:r>
      <w:r>
        <w:instrText xml:space="preserve"> PAGEREF _Toc37926040 \h </w:instrText>
      </w:r>
      <w:r>
        <w:fldChar w:fldCharType="separate"/>
      </w:r>
      <w:r>
        <w:t>49</w:t>
      </w:r>
      <w:r>
        <w:fldChar w:fldCharType="end"/>
      </w:r>
      <w: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"_Toc37926041" </w:instrText>
      </w:r>
      <w:r>
        <w:fldChar w:fldCharType="separate"/>
      </w:r>
      <w:r>
        <w:rPr>
          <w:rStyle w:val="23"/>
          <w:rFonts w:hint="eastAsia"/>
        </w:rPr>
        <w:t>第四章</w:t>
      </w:r>
      <w:r>
        <w:rPr>
          <w:rStyle w:val="23"/>
        </w:rPr>
        <w:t xml:space="preserve"> </w:t>
      </w:r>
      <w:r>
        <w:rPr>
          <w:rStyle w:val="23"/>
          <w:rFonts w:hint="eastAsia"/>
        </w:rPr>
        <w:t>合同条款及格式</w:t>
      </w:r>
      <w:r>
        <w:tab/>
      </w:r>
      <w:r>
        <w:fldChar w:fldCharType="begin"/>
      </w:r>
      <w:r>
        <w:instrText xml:space="preserve"> PAGEREF _Toc37926041 \h </w:instrText>
      </w:r>
      <w:r>
        <w:fldChar w:fldCharType="separate"/>
      </w:r>
      <w:r>
        <w:t>64</w:t>
      </w:r>
      <w:r>
        <w:fldChar w:fldCharType="end"/>
      </w:r>
      <w: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"_Toc37926042" </w:instrText>
      </w:r>
      <w:r>
        <w:fldChar w:fldCharType="separate"/>
      </w:r>
      <w:r>
        <w:rPr>
          <w:rStyle w:val="23"/>
          <w:rFonts w:hint="eastAsia"/>
        </w:rPr>
        <w:t>《建设项目工程总承包合同》</w:t>
      </w:r>
      <w:r>
        <w:tab/>
      </w:r>
      <w:r>
        <w:fldChar w:fldCharType="begin"/>
      </w:r>
      <w:r>
        <w:instrText xml:space="preserve"> PAGEREF _Toc37926042 \h </w:instrText>
      </w:r>
      <w:r>
        <w:fldChar w:fldCharType="separate"/>
      </w:r>
      <w:r>
        <w:t>64</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"_Toc37926043" </w:instrText>
      </w:r>
      <w:r>
        <w:fldChar w:fldCharType="separate"/>
      </w:r>
      <w:r>
        <w:rPr>
          <w:rStyle w:val="23"/>
          <w:rFonts w:hint="eastAsia"/>
        </w:rPr>
        <w:t>第一部分</w:t>
      </w:r>
      <w:r>
        <w:rPr>
          <w:rStyle w:val="23"/>
        </w:rPr>
        <w:t xml:space="preserve">  </w:t>
      </w:r>
      <w:r>
        <w:rPr>
          <w:rStyle w:val="23"/>
          <w:rFonts w:hint="eastAsia"/>
        </w:rPr>
        <w:t>合同协议书</w:t>
      </w:r>
      <w:r>
        <w:tab/>
      </w:r>
      <w:r>
        <w:fldChar w:fldCharType="begin"/>
      </w:r>
      <w:r>
        <w:instrText xml:space="preserve"> PAGEREF _Toc37926043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"_Toc37926044" </w:instrText>
      </w:r>
      <w:r>
        <w:fldChar w:fldCharType="separate"/>
      </w:r>
      <w:r>
        <w:rPr>
          <w:rStyle w:val="23"/>
          <w:rFonts w:hint="eastAsia"/>
        </w:rPr>
        <w:t>一、工程概况</w:t>
      </w:r>
      <w:r>
        <w:tab/>
      </w:r>
      <w:r>
        <w:fldChar w:fldCharType="begin"/>
      </w:r>
      <w:r>
        <w:instrText xml:space="preserve"> PAGEREF _Toc37926044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"_Toc37926045" </w:instrText>
      </w:r>
      <w:r>
        <w:fldChar w:fldCharType="separate"/>
      </w:r>
      <w:r>
        <w:rPr>
          <w:rStyle w:val="23"/>
          <w:rFonts w:hint="eastAsia"/>
        </w:rPr>
        <w:t>二、工程主要生产技术（或建筑设计方案）来源</w:t>
      </w:r>
      <w:r>
        <w:tab/>
      </w:r>
      <w:r>
        <w:fldChar w:fldCharType="begin"/>
      </w:r>
      <w:r>
        <w:instrText xml:space="preserve"> PAGEREF _Toc37926045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"_Toc37926046" </w:instrText>
      </w:r>
      <w:r>
        <w:fldChar w:fldCharType="separate"/>
      </w:r>
      <w:r>
        <w:rPr>
          <w:rStyle w:val="23"/>
          <w:rFonts w:hint="eastAsia"/>
        </w:rPr>
        <w:t>三、主要日期</w:t>
      </w:r>
      <w:r>
        <w:tab/>
      </w:r>
      <w:r>
        <w:fldChar w:fldCharType="begin"/>
      </w:r>
      <w:r>
        <w:instrText xml:space="preserve"> PAGEREF _Toc37926046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"_Toc37926047" </w:instrText>
      </w:r>
      <w:r>
        <w:fldChar w:fldCharType="separate"/>
      </w:r>
      <w:r>
        <w:rPr>
          <w:rStyle w:val="23"/>
          <w:rFonts w:hint="eastAsia"/>
        </w:rPr>
        <w:t>四、工程质量标准</w:t>
      </w:r>
      <w:r>
        <w:tab/>
      </w:r>
      <w:r>
        <w:fldChar w:fldCharType="begin"/>
      </w:r>
      <w:r>
        <w:instrText xml:space="preserve"> PAGEREF _Toc37926047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"_Toc37926048" </w:instrText>
      </w:r>
      <w:r>
        <w:fldChar w:fldCharType="separate"/>
      </w:r>
      <w:r>
        <w:rPr>
          <w:rStyle w:val="23"/>
          <w:rFonts w:hint="eastAsia"/>
        </w:rPr>
        <w:t>五、合同价格和付款货币</w:t>
      </w:r>
      <w:r>
        <w:tab/>
      </w:r>
      <w:r>
        <w:fldChar w:fldCharType="begin"/>
      </w:r>
      <w:r>
        <w:instrText xml:space="preserve"> PAGEREF _Toc37926048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"_Toc37926049" </w:instrText>
      </w:r>
      <w:r>
        <w:fldChar w:fldCharType="separate"/>
      </w:r>
      <w:r>
        <w:rPr>
          <w:rStyle w:val="23"/>
          <w:rFonts w:hint="eastAsia"/>
        </w:rPr>
        <w:t>六、定义与解释</w:t>
      </w:r>
      <w:r>
        <w:tab/>
      </w:r>
      <w:r>
        <w:fldChar w:fldCharType="begin"/>
      </w:r>
      <w:r>
        <w:instrText xml:space="preserve"> PAGEREF _Toc37926049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"_Toc37926050" </w:instrText>
      </w:r>
      <w:r>
        <w:fldChar w:fldCharType="separate"/>
      </w:r>
      <w:r>
        <w:rPr>
          <w:rStyle w:val="23"/>
          <w:rFonts w:hint="eastAsia"/>
        </w:rPr>
        <w:t>七、特别约定</w:t>
      </w:r>
      <w:r>
        <w:tab/>
      </w:r>
      <w:r>
        <w:fldChar w:fldCharType="begin"/>
      </w:r>
      <w:r>
        <w:instrText xml:space="preserve"> PAGEREF _Toc37926050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"_Toc37926051" </w:instrText>
      </w:r>
      <w:r>
        <w:fldChar w:fldCharType="separate"/>
      </w:r>
      <w:r>
        <w:rPr>
          <w:rStyle w:val="23"/>
          <w:rFonts w:hint="eastAsia"/>
        </w:rPr>
        <w:t>八、合同生效</w:t>
      </w:r>
      <w:r>
        <w:tab/>
      </w:r>
      <w:r>
        <w:fldChar w:fldCharType="begin"/>
      </w:r>
      <w:r>
        <w:instrText xml:space="preserve"> PAGEREF _Toc37926051 \h </w:instrText>
      </w:r>
      <w:r>
        <w:fldChar w:fldCharType="separate"/>
      </w:r>
      <w:r>
        <w:t>66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"_Toc37926052" </w:instrText>
      </w:r>
      <w:r>
        <w:fldChar w:fldCharType="separate"/>
      </w:r>
      <w:r>
        <w:rPr>
          <w:rStyle w:val="23"/>
          <w:rFonts w:hint="eastAsia"/>
        </w:rPr>
        <w:t>第一节</w:t>
      </w:r>
      <w:r>
        <w:rPr>
          <w:rFonts w:asciiTheme="minorHAnsi" w:hAnsiTheme="minorHAnsi" w:eastAsiaTheme="minorEastAsia" w:cstheme="minorBidi"/>
          <w:kern w:val="2"/>
          <w:sz w:val="21"/>
          <w:szCs w:val="22"/>
          <w:lang w:val="en-US" w:bidi="ar-SA"/>
        </w:rPr>
        <w:tab/>
      </w:r>
      <w:r>
        <w:rPr>
          <w:rStyle w:val="23"/>
          <w:rFonts w:hint="eastAsia"/>
        </w:rPr>
        <w:t>通用合同条款</w:t>
      </w:r>
      <w:r>
        <w:tab/>
      </w:r>
      <w:r>
        <w:fldChar w:fldCharType="begin"/>
      </w:r>
      <w:r>
        <w:instrText xml:space="preserve"> PAGEREF _Toc37926052 \h </w:instrText>
      </w:r>
      <w:r>
        <w:fldChar w:fldCharType="separate"/>
      </w:r>
      <w:r>
        <w:t>68</w:t>
      </w:r>
      <w:r>
        <w:fldChar w:fldCharType="end"/>
      </w:r>
      <w:r>
        <w:fldChar w:fldCharType="end"/>
      </w:r>
    </w:p>
    <w:p>
      <w:pPr>
        <w:pStyle w:val="12"/>
        <w:tabs>
          <w:tab w:val="left" w:pos="986"/>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"_Toc37926053" </w:instrText>
      </w:r>
      <w:r>
        <w:fldChar w:fldCharType="separate"/>
      </w:r>
      <w:r>
        <w:rPr>
          <w:rStyle w:val="23"/>
          <w:rFonts w:ascii="Arial" w:hAnsi="Arial" w:eastAsia="Arial" w:cs="Arial"/>
          <w:b w:val="0"/>
          <w:w w:val="99"/>
        </w:rPr>
        <w:t>1.</w:t>
      </w:r>
      <w:r>
        <w:rPr>
          <w:rStyle w:val="23"/>
          <w:rFonts w:hint="eastAsia" w:ascii="黑体" w:eastAsia="黑体"/>
          <w:b w:val="0"/>
        </w:rPr>
        <w:t>一般约定</w:t>
      </w:r>
      <w:r>
        <w:rPr>
          <w:b w:val="0"/>
        </w:rPr>
        <w:tab/>
      </w:r>
      <w:r>
        <w:rPr>
          <w:b w:val="0"/>
        </w:rPr>
        <w:fldChar w:fldCharType="begin"/>
      </w:r>
      <w:r>
        <w:rPr>
          <w:b w:val="0"/>
        </w:rPr>
        <w:instrText xml:space="preserve"> PAGEREF _Toc37926053 \h </w:instrText>
      </w:r>
      <w:r>
        <w:rPr>
          <w:b w:val="0"/>
        </w:rPr>
        <w:fldChar w:fldCharType="separate"/>
      </w:r>
      <w:r>
        <w:rPr>
          <w:b w:val="0"/>
        </w:rPr>
        <w:t>68</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"_Toc37926054" </w:instrText>
      </w:r>
      <w:r>
        <w:fldChar w:fldCharType="separate"/>
      </w:r>
      <w:r>
        <w:rPr>
          <w:rStyle w:val="23"/>
          <w:b w:val="0"/>
        </w:rPr>
        <w:t>2.</w:t>
      </w:r>
      <w:r>
        <w:rPr>
          <w:rStyle w:val="23"/>
          <w:rFonts w:hint="eastAsia"/>
          <w:b w:val="0"/>
        </w:rPr>
        <w:t>发包人义务</w:t>
      </w:r>
      <w:r>
        <w:rPr>
          <w:b w:val="0"/>
        </w:rPr>
        <w:tab/>
      </w:r>
      <w:r>
        <w:rPr>
          <w:b w:val="0"/>
        </w:rPr>
        <w:fldChar w:fldCharType="begin"/>
      </w:r>
      <w:r>
        <w:rPr>
          <w:b w:val="0"/>
        </w:rPr>
        <w:instrText xml:space="preserve"> PAGEREF _Toc37926054 \h </w:instrText>
      </w:r>
      <w:r>
        <w:rPr>
          <w:b w:val="0"/>
        </w:rPr>
        <w:fldChar w:fldCharType="separate"/>
      </w:r>
      <w:r>
        <w:rPr>
          <w:b w:val="0"/>
        </w:rPr>
        <w:t>74</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"_Toc37926055" </w:instrText>
      </w:r>
      <w:r>
        <w:fldChar w:fldCharType="separate"/>
      </w:r>
      <w:r>
        <w:rPr>
          <w:rStyle w:val="23"/>
          <w:b w:val="0"/>
        </w:rPr>
        <w:t xml:space="preserve">3 </w:t>
      </w:r>
      <w:r>
        <w:rPr>
          <w:rStyle w:val="23"/>
          <w:rFonts w:hint="eastAsia"/>
          <w:b w:val="0"/>
        </w:rPr>
        <w:t>监理人</w:t>
      </w:r>
      <w:r>
        <w:rPr>
          <w:b w:val="0"/>
        </w:rPr>
        <w:tab/>
      </w:r>
      <w:r>
        <w:rPr>
          <w:b w:val="0"/>
        </w:rPr>
        <w:fldChar w:fldCharType="begin"/>
      </w:r>
      <w:r>
        <w:rPr>
          <w:b w:val="0"/>
        </w:rPr>
        <w:instrText xml:space="preserve"> PAGEREF _Toc37926055 \h </w:instrText>
      </w:r>
      <w:r>
        <w:rPr>
          <w:b w:val="0"/>
        </w:rPr>
        <w:fldChar w:fldCharType="separate"/>
      </w:r>
      <w:r>
        <w:rPr>
          <w:b w:val="0"/>
        </w:rPr>
        <w:t>75</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"_Toc37926056" </w:instrText>
      </w:r>
      <w:r>
        <w:fldChar w:fldCharType="separate"/>
      </w:r>
      <w:r>
        <w:rPr>
          <w:rStyle w:val="23"/>
          <w:b w:val="0"/>
        </w:rPr>
        <w:t xml:space="preserve">4 </w:t>
      </w:r>
      <w:r>
        <w:rPr>
          <w:rStyle w:val="23"/>
          <w:rFonts w:hint="eastAsia"/>
          <w:b w:val="0"/>
        </w:rPr>
        <w:t>承包人</w:t>
      </w:r>
      <w:r>
        <w:rPr>
          <w:b w:val="0"/>
        </w:rPr>
        <w:tab/>
      </w:r>
      <w:r>
        <w:rPr>
          <w:b w:val="0"/>
        </w:rPr>
        <w:fldChar w:fldCharType="begin"/>
      </w:r>
      <w:r>
        <w:rPr>
          <w:b w:val="0"/>
        </w:rPr>
        <w:instrText xml:space="preserve"> PAGEREF _Toc37926056 \h </w:instrText>
      </w:r>
      <w:r>
        <w:rPr>
          <w:b w:val="0"/>
        </w:rPr>
        <w:fldChar w:fldCharType="separate"/>
      </w:r>
      <w:r>
        <w:rPr>
          <w:b w:val="0"/>
        </w:rPr>
        <w:t>76</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"_Toc37926057" </w:instrText>
      </w:r>
      <w:r>
        <w:fldChar w:fldCharType="separate"/>
      </w:r>
      <w:r>
        <w:rPr>
          <w:rStyle w:val="23"/>
          <w:b w:val="0"/>
        </w:rPr>
        <w:t>5.</w:t>
      </w:r>
      <w:r>
        <w:rPr>
          <w:rStyle w:val="23"/>
          <w:rFonts w:hint="eastAsia"/>
          <w:b w:val="0"/>
        </w:rPr>
        <w:t>设计</w:t>
      </w:r>
      <w:r>
        <w:rPr>
          <w:b w:val="0"/>
        </w:rPr>
        <w:tab/>
      </w:r>
      <w:r>
        <w:rPr>
          <w:b w:val="0"/>
        </w:rPr>
        <w:fldChar w:fldCharType="begin"/>
      </w:r>
      <w:r>
        <w:rPr>
          <w:b w:val="0"/>
        </w:rPr>
        <w:instrText xml:space="preserve"> PAGEREF _Toc37926057 \h </w:instrText>
      </w:r>
      <w:r>
        <w:rPr>
          <w:b w:val="0"/>
        </w:rPr>
        <w:fldChar w:fldCharType="separate"/>
      </w:r>
      <w:r>
        <w:rPr>
          <w:b w:val="0"/>
        </w:rPr>
        <w:t>81</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"_Toc37926058" </w:instrText>
      </w:r>
      <w:r>
        <w:fldChar w:fldCharType="separate"/>
      </w:r>
      <w:r>
        <w:rPr>
          <w:rStyle w:val="23"/>
          <w:b w:val="0"/>
        </w:rPr>
        <w:t>6.</w:t>
      </w:r>
      <w:r>
        <w:rPr>
          <w:rStyle w:val="23"/>
          <w:rFonts w:hint="eastAsia"/>
          <w:b w:val="0"/>
        </w:rPr>
        <w:t>材料和工程设备</w:t>
      </w:r>
      <w:r>
        <w:rPr>
          <w:b w:val="0"/>
        </w:rPr>
        <w:tab/>
      </w:r>
      <w:r>
        <w:rPr>
          <w:b w:val="0"/>
        </w:rPr>
        <w:fldChar w:fldCharType="begin"/>
      </w:r>
      <w:r>
        <w:rPr>
          <w:b w:val="0"/>
        </w:rPr>
        <w:instrText xml:space="preserve"> PAGEREF _Toc37926058 \h </w:instrText>
      </w:r>
      <w:r>
        <w:rPr>
          <w:b w:val="0"/>
        </w:rPr>
        <w:fldChar w:fldCharType="separate"/>
      </w:r>
      <w:r>
        <w:rPr>
          <w:b w:val="0"/>
        </w:rPr>
        <w:t>83</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"_Toc37926059" </w:instrText>
      </w:r>
      <w:r>
        <w:fldChar w:fldCharType="separate"/>
      </w:r>
      <w:r>
        <w:rPr>
          <w:rStyle w:val="23"/>
          <w:rFonts w:hint="eastAsia"/>
          <w:b w:val="0"/>
        </w:rPr>
        <w:t>７施工设备和临时设施</w:t>
      </w:r>
      <w:r>
        <w:rPr>
          <w:b w:val="0"/>
        </w:rPr>
        <w:tab/>
      </w:r>
      <w:r>
        <w:rPr>
          <w:b w:val="0"/>
        </w:rPr>
        <w:fldChar w:fldCharType="begin"/>
      </w:r>
      <w:r>
        <w:rPr>
          <w:b w:val="0"/>
        </w:rPr>
        <w:instrText xml:space="preserve"> PAGEREF _Toc37926059 \h </w:instrText>
      </w:r>
      <w:r>
        <w:rPr>
          <w:b w:val="0"/>
        </w:rPr>
        <w:fldChar w:fldCharType="separate"/>
      </w:r>
      <w:r>
        <w:rPr>
          <w:b w:val="0"/>
        </w:rPr>
        <w:t>84</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"_Toc37926060" </w:instrText>
      </w:r>
      <w:r>
        <w:fldChar w:fldCharType="separate"/>
      </w:r>
      <w:r>
        <w:rPr>
          <w:rStyle w:val="23"/>
          <w:rFonts w:hint="eastAsia"/>
          <w:b w:val="0"/>
        </w:rPr>
        <w:t>８交通运输</w:t>
      </w:r>
      <w:r>
        <w:rPr>
          <w:b w:val="0"/>
        </w:rPr>
        <w:tab/>
      </w:r>
      <w:r>
        <w:rPr>
          <w:b w:val="0"/>
        </w:rPr>
        <w:fldChar w:fldCharType="begin"/>
      </w:r>
      <w:r>
        <w:rPr>
          <w:b w:val="0"/>
        </w:rPr>
        <w:instrText xml:space="preserve"> PAGEREF _Toc37926060 \h </w:instrText>
      </w:r>
      <w:r>
        <w:rPr>
          <w:b w:val="0"/>
        </w:rPr>
        <w:fldChar w:fldCharType="separate"/>
      </w:r>
      <w:r>
        <w:rPr>
          <w:b w:val="0"/>
        </w:rPr>
        <w:t>85</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"_Toc37926061" </w:instrText>
      </w:r>
      <w:r>
        <w:fldChar w:fldCharType="separate"/>
      </w:r>
      <w:r>
        <w:rPr>
          <w:rStyle w:val="23"/>
          <w:rFonts w:hint="eastAsia"/>
          <w:b w:val="0"/>
        </w:rPr>
        <w:t>９测量放线</w:t>
      </w:r>
      <w:r>
        <w:rPr>
          <w:b w:val="0"/>
        </w:rPr>
        <w:tab/>
      </w:r>
      <w:r>
        <w:rPr>
          <w:b w:val="0"/>
        </w:rPr>
        <w:fldChar w:fldCharType="begin"/>
      </w:r>
      <w:r>
        <w:rPr>
          <w:b w:val="0"/>
        </w:rPr>
        <w:instrText xml:space="preserve"> PAGEREF _Toc37926061 \h </w:instrText>
      </w:r>
      <w:r>
        <w:rPr>
          <w:b w:val="0"/>
        </w:rPr>
        <w:fldChar w:fldCharType="separate"/>
      </w:r>
      <w:r>
        <w:rPr>
          <w:b w:val="0"/>
        </w:rPr>
        <w:t>87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"_Toc37926062" </w:instrText>
      </w:r>
      <w:r>
        <w:fldChar w:fldCharType="separate"/>
      </w:r>
      <w:r>
        <w:rPr>
          <w:rStyle w:val="23"/>
          <w:b w:val="0"/>
        </w:rPr>
        <w:t xml:space="preserve">10 </w:t>
      </w:r>
      <w:r>
        <w:rPr>
          <w:rStyle w:val="23"/>
          <w:rFonts w:hint="eastAsia"/>
          <w:b w:val="0"/>
        </w:rPr>
        <w:t>安全、治安保卫和环境保护</w:t>
      </w:r>
      <w:r>
        <w:rPr>
          <w:b w:val="0"/>
        </w:rPr>
        <w:tab/>
      </w:r>
      <w:r>
        <w:rPr>
          <w:b w:val="0"/>
        </w:rPr>
        <w:fldChar w:fldCharType="begin"/>
      </w:r>
      <w:r>
        <w:rPr>
          <w:b w:val="0"/>
        </w:rPr>
        <w:instrText xml:space="preserve"> PAGEREF _Toc37926062 \h </w:instrText>
      </w:r>
      <w:r>
        <w:rPr>
          <w:b w:val="0"/>
        </w:rPr>
        <w:fldChar w:fldCharType="separate"/>
      </w:r>
      <w:r>
        <w:rPr>
          <w:b w:val="0"/>
        </w:rPr>
        <w:t>88</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"_Toc37926063" </w:instrText>
      </w:r>
      <w:r>
        <w:fldChar w:fldCharType="separate"/>
      </w:r>
      <w:r>
        <w:rPr>
          <w:rStyle w:val="23"/>
          <w:b w:val="0"/>
        </w:rPr>
        <w:t>11</w:t>
      </w:r>
      <w:r>
        <w:rPr>
          <w:rStyle w:val="23"/>
          <w:rFonts w:hint="eastAsia"/>
          <w:b w:val="0"/>
        </w:rPr>
        <w:t>开始工作和竣工</w:t>
      </w:r>
      <w:r>
        <w:rPr>
          <w:b w:val="0"/>
        </w:rPr>
        <w:tab/>
      </w:r>
      <w:r>
        <w:rPr>
          <w:b w:val="0"/>
        </w:rPr>
        <w:fldChar w:fldCharType="begin"/>
      </w:r>
      <w:r>
        <w:rPr>
          <w:b w:val="0"/>
        </w:rPr>
        <w:instrText xml:space="preserve"> PAGEREF _Toc37926063 \h </w:instrText>
      </w:r>
      <w:r>
        <w:rPr>
          <w:b w:val="0"/>
        </w:rPr>
        <w:fldChar w:fldCharType="separate"/>
      </w:r>
      <w:r>
        <w:rPr>
          <w:b w:val="0"/>
        </w:rPr>
        <w:t>90</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"_Toc37926064" </w:instrText>
      </w:r>
      <w:r>
        <w:fldChar w:fldCharType="separate"/>
      </w:r>
      <w:r>
        <w:rPr>
          <w:rStyle w:val="23"/>
          <w:b w:val="0"/>
        </w:rPr>
        <w:t xml:space="preserve">12 </w:t>
      </w:r>
      <w:r>
        <w:rPr>
          <w:rStyle w:val="23"/>
          <w:rFonts w:hint="eastAsia"/>
          <w:b w:val="0"/>
        </w:rPr>
        <w:t>暂停工作</w:t>
      </w:r>
      <w:r>
        <w:rPr>
          <w:b w:val="0"/>
        </w:rPr>
        <w:tab/>
      </w:r>
      <w:r>
        <w:rPr>
          <w:b w:val="0"/>
        </w:rPr>
        <w:fldChar w:fldCharType="begin"/>
      </w:r>
      <w:r>
        <w:rPr>
          <w:b w:val="0"/>
        </w:rPr>
        <w:instrText xml:space="preserve"> PAGEREF _Toc37926064 \h </w:instrText>
      </w:r>
      <w:r>
        <w:rPr>
          <w:b w:val="0"/>
        </w:rPr>
        <w:fldChar w:fldCharType="separate"/>
      </w:r>
      <w:r>
        <w:rPr>
          <w:b w:val="0"/>
        </w:rPr>
        <w:t>91</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"_Toc37926065" </w:instrText>
      </w:r>
      <w:r>
        <w:fldChar w:fldCharType="separate"/>
      </w:r>
      <w:r>
        <w:rPr>
          <w:rStyle w:val="23"/>
          <w:b w:val="0"/>
        </w:rPr>
        <w:t>13</w:t>
      </w:r>
      <w:r>
        <w:rPr>
          <w:rStyle w:val="23"/>
          <w:rFonts w:hint="eastAsia"/>
          <w:b w:val="0"/>
        </w:rPr>
        <w:t>工程质量</w:t>
      </w:r>
      <w:r>
        <w:rPr>
          <w:b w:val="0"/>
        </w:rPr>
        <w:tab/>
      </w:r>
      <w:r>
        <w:rPr>
          <w:b w:val="0"/>
        </w:rPr>
        <w:fldChar w:fldCharType="begin"/>
      </w:r>
      <w:r>
        <w:rPr>
          <w:b w:val="0"/>
        </w:rPr>
        <w:instrText xml:space="preserve"> PAGEREF _Toc37926065 \h </w:instrText>
      </w:r>
      <w:r>
        <w:rPr>
          <w:b w:val="0"/>
        </w:rPr>
        <w:fldChar w:fldCharType="separate"/>
      </w:r>
      <w:r>
        <w:rPr>
          <w:b w:val="0"/>
        </w:rPr>
        <w:t>93</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"_Toc37926066" </w:instrText>
      </w:r>
      <w:r>
        <w:fldChar w:fldCharType="separate"/>
      </w:r>
      <w:r>
        <w:rPr>
          <w:rStyle w:val="23"/>
          <w:b w:val="0"/>
        </w:rPr>
        <w:t>14</w:t>
      </w:r>
      <w:r>
        <w:rPr>
          <w:rStyle w:val="23"/>
          <w:rFonts w:hint="eastAsia"/>
          <w:b w:val="0"/>
        </w:rPr>
        <w:t>试验和检验</w:t>
      </w:r>
      <w:r>
        <w:rPr>
          <w:b w:val="0"/>
        </w:rPr>
        <w:tab/>
      </w:r>
      <w:r>
        <w:rPr>
          <w:b w:val="0"/>
        </w:rPr>
        <w:fldChar w:fldCharType="begin"/>
      </w:r>
      <w:r>
        <w:rPr>
          <w:b w:val="0"/>
        </w:rPr>
        <w:instrText xml:space="preserve"> PAGEREF _Toc37926066 \h </w:instrText>
      </w:r>
      <w:r>
        <w:rPr>
          <w:b w:val="0"/>
        </w:rPr>
        <w:fldChar w:fldCharType="separate"/>
      </w:r>
      <w:r>
        <w:rPr>
          <w:b w:val="0"/>
        </w:rPr>
        <w:t>94</w:t>
      </w:r>
      <w:r>
        <w:rPr>
          <w:b w:val="0"/>
        </w:rPr>
        <w:fldChar w:fldCharType="end"/>
      </w:r>
      <w:r>
        <w:rPr>
          <w:b w:val="0"/>
        </w:rPr>
        <w:fldChar w:fldCharType="end"/>
      </w:r>
    </w:p>
    <w:p>
      <w:pPr>
        <w:pStyle w:val="12"/>
        <w:tabs>
          <w:tab w:val="left" w:pos="575"/>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"_Toc37926067" </w:instrText>
      </w:r>
      <w:r>
        <w:fldChar w:fldCharType="separate"/>
      </w:r>
      <w:r>
        <w:rPr>
          <w:rStyle w:val="23"/>
          <w:b w:val="0"/>
        </w:rPr>
        <w:t>15</w:t>
      </w:r>
      <w:r>
        <w:rPr>
          <w:rFonts w:asciiTheme="minorHAnsi" w:hAnsiTheme="minorHAnsi" w:eastAsiaTheme="minorEastAsia" w:cstheme="minorBidi"/>
          <w:b w:val="0"/>
          <w:bCs w:val="0"/>
          <w:kern w:val="2"/>
          <w:sz w:val="21"/>
          <w:szCs w:val="22"/>
          <w:lang w:val="en-US" w:bidi="ar-SA"/>
        </w:rPr>
        <w:tab/>
      </w:r>
      <w:r>
        <w:rPr>
          <w:rStyle w:val="23"/>
          <w:rFonts w:hint="eastAsia"/>
          <w:b w:val="0"/>
        </w:rPr>
        <w:t>变更</w:t>
      </w:r>
      <w:r>
        <w:rPr>
          <w:b w:val="0"/>
        </w:rPr>
        <w:tab/>
      </w:r>
      <w:r>
        <w:rPr>
          <w:b w:val="0"/>
        </w:rPr>
        <w:fldChar w:fldCharType="begin"/>
      </w:r>
      <w:r>
        <w:rPr>
          <w:b w:val="0"/>
        </w:rPr>
        <w:instrText xml:space="preserve"> PAGEREF _Toc37926067 \h </w:instrText>
      </w:r>
      <w:r>
        <w:rPr>
          <w:b w:val="0"/>
        </w:rPr>
        <w:fldChar w:fldCharType="separate"/>
      </w:r>
      <w:r>
        <w:rPr>
          <w:b w:val="0"/>
        </w:rPr>
        <w:t>95</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"_Toc37926068" </w:instrText>
      </w:r>
      <w:r>
        <w:fldChar w:fldCharType="separate"/>
      </w:r>
      <w:r>
        <w:rPr>
          <w:rStyle w:val="23"/>
          <w:b w:val="0"/>
        </w:rPr>
        <w:t>16.</w:t>
      </w:r>
      <w:r>
        <w:rPr>
          <w:rStyle w:val="23"/>
          <w:rFonts w:hint="eastAsia"/>
          <w:b w:val="0"/>
        </w:rPr>
        <w:t>价格调整</w:t>
      </w:r>
      <w:r>
        <w:rPr>
          <w:b w:val="0"/>
        </w:rPr>
        <w:tab/>
      </w:r>
      <w:r>
        <w:rPr>
          <w:b w:val="0"/>
        </w:rPr>
        <w:fldChar w:fldCharType="begin"/>
      </w:r>
      <w:r>
        <w:rPr>
          <w:b w:val="0"/>
        </w:rPr>
        <w:instrText xml:space="preserve"> PAGEREF _Toc37926068 \h </w:instrText>
      </w:r>
      <w:r>
        <w:rPr>
          <w:b w:val="0"/>
        </w:rPr>
        <w:fldChar w:fldCharType="separate"/>
      </w:r>
      <w:r>
        <w:rPr>
          <w:b w:val="0"/>
        </w:rPr>
        <w:t>97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"_Toc37926069" </w:instrText>
      </w:r>
      <w:r>
        <w:fldChar w:fldCharType="separate"/>
      </w:r>
      <w:r>
        <w:rPr>
          <w:rStyle w:val="23"/>
          <w:b w:val="0"/>
        </w:rPr>
        <w:t xml:space="preserve">17 </w:t>
      </w:r>
      <w:r>
        <w:rPr>
          <w:rStyle w:val="23"/>
          <w:rFonts w:hint="eastAsia"/>
          <w:b w:val="0"/>
        </w:rPr>
        <w:t>合同价格与支付</w:t>
      </w:r>
      <w:r>
        <w:rPr>
          <w:b w:val="0"/>
        </w:rPr>
        <w:tab/>
      </w:r>
      <w:r>
        <w:rPr>
          <w:b w:val="0"/>
        </w:rPr>
        <w:fldChar w:fldCharType="begin"/>
      </w:r>
      <w:r>
        <w:rPr>
          <w:b w:val="0"/>
        </w:rPr>
        <w:instrText xml:space="preserve"> PAGEREF _Toc37926069 \h </w:instrText>
      </w:r>
      <w:r>
        <w:rPr>
          <w:b w:val="0"/>
        </w:rPr>
        <w:fldChar w:fldCharType="separate"/>
      </w:r>
      <w:r>
        <w:rPr>
          <w:b w:val="0"/>
        </w:rPr>
        <w:t>97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"_Toc37926070" </w:instrText>
      </w:r>
      <w:r>
        <w:fldChar w:fldCharType="separate"/>
      </w:r>
      <w:r>
        <w:rPr>
          <w:rStyle w:val="23"/>
          <w:b w:val="0"/>
        </w:rPr>
        <w:t xml:space="preserve">18 </w:t>
      </w:r>
      <w:r>
        <w:rPr>
          <w:rStyle w:val="23"/>
          <w:rFonts w:hint="eastAsia"/>
          <w:b w:val="0"/>
        </w:rPr>
        <w:t>竣工试验和竣工验收</w:t>
      </w:r>
      <w:r>
        <w:rPr>
          <w:b w:val="0"/>
        </w:rPr>
        <w:tab/>
      </w:r>
      <w:r>
        <w:rPr>
          <w:b w:val="0"/>
        </w:rPr>
        <w:fldChar w:fldCharType="begin"/>
      </w:r>
      <w:r>
        <w:rPr>
          <w:b w:val="0"/>
        </w:rPr>
        <w:instrText xml:space="preserve"> PAGEREF _Toc37926070 \h </w:instrText>
      </w:r>
      <w:r>
        <w:rPr>
          <w:b w:val="0"/>
        </w:rPr>
        <w:fldChar w:fldCharType="separate"/>
      </w:r>
      <w:r>
        <w:rPr>
          <w:b w:val="0"/>
        </w:rPr>
        <w:t>101</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"_Toc37926071" </w:instrText>
      </w:r>
      <w:r>
        <w:fldChar w:fldCharType="separate"/>
      </w:r>
      <w:r>
        <w:rPr>
          <w:rStyle w:val="23"/>
          <w:b w:val="0"/>
        </w:rPr>
        <w:t xml:space="preserve">19 </w:t>
      </w:r>
      <w:r>
        <w:rPr>
          <w:rStyle w:val="23"/>
          <w:rFonts w:hint="eastAsia"/>
          <w:b w:val="0"/>
        </w:rPr>
        <w:t>缺陷责任与保修责任</w:t>
      </w:r>
      <w:r>
        <w:rPr>
          <w:b w:val="0"/>
        </w:rPr>
        <w:tab/>
      </w:r>
      <w:r>
        <w:rPr>
          <w:b w:val="0"/>
        </w:rPr>
        <w:fldChar w:fldCharType="begin"/>
      </w:r>
      <w:r>
        <w:rPr>
          <w:b w:val="0"/>
        </w:rPr>
        <w:instrText xml:space="preserve"> PAGEREF _Toc37926071 \h </w:instrText>
      </w:r>
      <w:r>
        <w:rPr>
          <w:b w:val="0"/>
        </w:rPr>
        <w:fldChar w:fldCharType="separate"/>
      </w:r>
      <w:r>
        <w:rPr>
          <w:b w:val="0"/>
        </w:rPr>
        <w:t>104</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"_Toc37926072" </w:instrText>
      </w:r>
      <w:r>
        <w:fldChar w:fldCharType="separate"/>
      </w:r>
      <w:r>
        <w:rPr>
          <w:rStyle w:val="23"/>
          <w:b w:val="0"/>
        </w:rPr>
        <w:t xml:space="preserve">20 </w:t>
      </w:r>
      <w:r>
        <w:rPr>
          <w:rStyle w:val="23"/>
          <w:rFonts w:hint="eastAsia"/>
          <w:b w:val="0"/>
        </w:rPr>
        <w:t>保险</w:t>
      </w:r>
      <w:r>
        <w:rPr>
          <w:b w:val="0"/>
        </w:rPr>
        <w:tab/>
      </w:r>
      <w:r>
        <w:rPr>
          <w:b w:val="0"/>
        </w:rPr>
        <w:fldChar w:fldCharType="begin"/>
      </w:r>
      <w:r>
        <w:rPr>
          <w:b w:val="0"/>
        </w:rPr>
        <w:instrText xml:space="preserve"> PAGEREF _Toc37926072 \h </w:instrText>
      </w:r>
      <w:r>
        <w:rPr>
          <w:b w:val="0"/>
        </w:rPr>
        <w:fldChar w:fldCharType="separate"/>
      </w:r>
      <w:r>
        <w:rPr>
          <w:b w:val="0"/>
        </w:rPr>
        <w:t>105</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"_Toc37926073" </w:instrText>
      </w:r>
      <w:r>
        <w:fldChar w:fldCharType="separate"/>
      </w:r>
      <w:r>
        <w:rPr>
          <w:rStyle w:val="23"/>
          <w:b w:val="0"/>
        </w:rPr>
        <w:t xml:space="preserve">21 </w:t>
      </w:r>
      <w:r>
        <w:rPr>
          <w:rStyle w:val="23"/>
          <w:rFonts w:hint="eastAsia"/>
          <w:b w:val="0"/>
        </w:rPr>
        <w:t>不可抗力</w:t>
      </w:r>
      <w:r>
        <w:rPr>
          <w:b w:val="0"/>
        </w:rPr>
        <w:tab/>
      </w:r>
      <w:r>
        <w:rPr>
          <w:b w:val="0"/>
        </w:rPr>
        <w:fldChar w:fldCharType="begin"/>
      </w:r>
      <w:r>
        <w:rPr>
          <w:b w:val="0"/>
        </w:rPr>
        <w:instrText xml:space="preserve"> PAGEREF _Toc37926073 \h </w:instrText>
      </w:r>
      <w:r>
        <w:rPr>
          <w:b w:val="0"/>
        </w:rPr>
        <w:fldChar w:fldCharType="separate"/>
      </w:r>
      <w:r>
        <w:rPr>
          <w:b w:val="0"/>
        </w:rPr>
        <w:t>106</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"_Toc37926074" </w:instrText>
      </w:r>
      <w:r>
        <w:fldChar w:fldCharType="separate"/>
      </w:r>
      <w:r>
        <w:rPr>
          <w:rStyle w:val="23"/>
          <w:b w:val="0"/>
        </w:rPr>
        <w:t xml:space="preserve">22 </w:t>
      </w:r>
      <w:r>
        <w:rPr>
          <w:rStyle w:val="23"/>
          <w:rFonts w:hint="eastAsia"/>
          <w:b w:val="0"/>
        </w:rPr>
        <w:t>违约</w:t>
      </w:r>
      <w:r>
        <w:rPr>
          <w:b w:val="0"/>
        </w:rPr>
        <w:tab/>
      </w:r>
      <w:r>
        <w:rPr>
          <w:b w:val="0"/>
        </w:rPr>
        <w:fldChar w:fldCharType="begin"/>
      </w:r>
      <w:r>
        <w:rPr>
          <w:b w:val="0"/>
        </w:rPr>
        <w:instrText xml:space="preserve"> PAGEREF _Toc37926074 \h </w:instrText>
      </w:r>
      <w:r>
        <w:rPr>
          <w:b w:val="0"/>
        </w:rPr>
        <w:fldChar w:fldCharType="separate"/>
      </w:r>
      <w:r>
        <w:rPr>
          <w:b w:val="0"/>
        </w:rPr>
        <w:t>108</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"_Toc37926075" </w:instrText>
      </w:r>
      <w:r>
        <w:fldChar w:fldCharType="separate"/>
      </w:r>
      <w:r>
        <w:rPr>
          <w:rStyle w:val="23"/>
          <w:b w:val="0"/>
        </w:rPr>
        <w:t xml:space="preserve">24 </w:t>
      </w:r>
      <w:r>
        <w:rPr>
          <w:rStyle w:val="23"/>
          <w:rFonts w:hint="eastAsia"/>
          <w:b w:val="0"/>
        </w:rPr>
        <w:t>争议的解决</w:t>
      </w:r>
      <w:r>
        <w:rPr>
          <w:b w:val="0"/>
        </w:rPr>
        <w:tab/>
      </w:r>
      <w:r>
        <w:rPr>
          <w:b w:val="0"/>
        </w:rPr>
        <w:fldChar w:fldCharType="begin"/>
      </w:r>
      <w:r>
        <w:rPr>
          <w:b w:val="0"/>
        </w:rPr>
        <w:instrText xml:space="preserve"> PAGEREF _Toc37926075 \h </w:instrText>
      </w:r>
      <w:r>
        <w:rPr>
          <w:b w:val="0"/>
        </w:rPr>
        <w:fldChar w:fldCharType="separate"/>
      </w:r>
      <w:r>
        <w:rPr>
          <w:b w:val="0"/>
        </w:rPr>
        <w:t>112</w:t>
      </w:r>
      <w:r>
        <w:rPr>
          <w:b w:val="0"/>
        </w:rPr>
        <w:fldChar w:fldCharType="end"/>
      </w:r>
      <w:r>
        <w:rPr>
          <w:b w:val="0"/>
        </w:rP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"_Toc37926076" </w:instrText>
      </w:r>
      <w:r>
        <w:fldChar w:fldCharType="separate"/>
      </w:r>
      <w:r>
        <w:rPr>
          <w:rStyle w:val="23"/>
          <w:rFonts w:hint="eastAsia"/>
        </w:rPr>
        <w:t>第二节</w:t>
      </w:r>
      <w:r>
        <w:rPr>
          <w:rStyle w:val="23"/>
        </w:rPr>
        <w:t xml:space="preserve"> </w:t>
      </w:r>
      <w:r>
        <w:rPr>
          <w:rStyle w:val="23"/>
          <w:rFonts w:hint="eastAsia"/>
        </w:rPr>
        <w:t>专用合同条款</w:t>
      </w:r>
      <w:r>
        <w:tab/>
      </w:r>
      <w:r>
        <w:fldChar w:fldCharType="begin"/>
      </w:r>
      <w:r>
        <w:instrText xml:space="preserve"> PAGEREF _Toc37926076 \h </w:instrText>
      </w:r>
      <w:r>
        <w:fldChar w:fldCharType="separate"/>
      </w:r>
      <w:r>
        <w:t>114</w:t>
      </w:r>
      <w:r>
        <w:fldChar w:fldCharType="end"/>
      </w:r>
      <w: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"_Toc37926077" </w:instrText>
      </w:r>
      <w:r>
        <w:fldChar w:fldCharType="separate"/>
      </w:r>
      <w:r>
        <w:rPr>
          <w:rStyle w:val="23"/>
          <w:b w:val="0"/>
        </w:rPr>
        <w:t xml:space="preserve">1. </w:t>
      </w:r>
      <w:r>
        <w:rPr>
          <w:rStyle w:val="23"/>
          <w:rFonts w:hint="eastAsia"/>
          <w:b w:val="0"/>
        </w:rPr>
        <w:t>一般约定</w:t>
      </w:r>
      <w:r>
        <w:rPr>
          <w:b w:val="0"/>
        </w:rPr>
        <w:tab/>
      </w:r>
      <w:r>
        <w:rPr>
          <w:b w:val="0"/>
        </w:rPr>
        <w:fldChar w:fldCharType="begin"/>
      </w:r>
      <w:r>
        <w:rPr>
          <w:b w:val="0"/>
        </w:rPr>
        <w:instrText xml:space="preserve"> PAGEREF _Toc37926077 \h </w:instrText>
      </w:r>
      <w:r>
        <w:rPr>
          <w:b w:val="0"/>
        </w:rPr>
        <w:fldChar w:fldCharType="separate"/>
      </w:r>
      <w:r>
        <w:rPr>
          <w:b w:val="0"/>
        </w:rPr>
        <w:t>114</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"_Toc37926078" </w:instrText>
      </w:r>
      <w:r>
        <w:fldChar w:fldCharType="separate"/>
      </w:r>
      <w:r>
        <w:rPr>
          <w:rStyle w:val="23"/>
          <w:b w:val="0"/>
        </w:rPr>
        <w:t xml:space="preserve">2. </w:t>
      </w:r>
      <w:r>
        <w:rPr>
          <w:rStyle w:val="23"/>
          <w:rFonts w:hint="eastAsia"/>
          <w:b w:val="0"/>
        </w:rPr>
        <w:t>发包人的义务</w:t>
      </w:r>
      <w:r>
        <w:rPr>
          <w:b w:val="0"/>
        </w:rPr>
        <w:tab/>
      </w:r>
      <w:r>
        <w:rPr>
          <w:b w:val="0"/>
        </w:rPr>
        <w:fldChar w:fldCharType="begin"/>
      </w:r>
      <w:r>
        <w:rPr>
          <w:b w:val="0"/>
        </w:rPr>
        <w:instrText xml:space="preserve"> PAGEREF _Toc37926078 \h </w:instrText>
      </w:r>
      <w:r>
        <w:rPr>
          <w:b w:val="0"/>
        </w:rPr>
        <w:fldChar w:fldCharType="separate"/>
      </w:r>
      <w:r>
        <w:rPr>
          <w:b w:val="0"/>
        </w:rPr>
        <w:t>116</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"_Toc37926079" </w:instrText>
      </w:r>
      <w:r>
        <w:fldChar w:fldCharType="separate"/>
      </w:r>
      <w:r>
        <w:rPr>
          <w:rStyle w:val="23"/>
          <w:b w:val="0"/>
        </w:rPr>
        <w:t xml:space="preserve">3. </w:t>
      </w:r>
      <w:r>
        <w:rPr>
          <w:rStyle w:val="23"/>
          <w:rFonts w:hint="eastAsia"/>
          <w:b w:val="0"/>
        </w:rPr>
        <w:t>监理人</w:t>
      </w:r>
      <w:r>
        <w:rPr>
          <w:b w:val="0"/>
        </w:rPr>
        <w:tab/>
      </w:r>
      <w:r>
        <w:rPr>
          <w:b w:val="0"/>
        </w:rPr>
        <w:fldChar w:fldCharType="begin"/>
      </w:r>
      <w:r>
        <w:rPr>
          <w:b w:val="0"/>
        </w:rPr>
        <w:instrText xml:space="preserve"> PAGEREF _Toc37926079 \h </w:instrText>
      </w:r>
      <w:r>
        <w:rPr>
          <w:b w:val="0"/>
        </w:rPr>
        <w:fldChar w:fldCharType="separate"/>
      </w:r>
      <w:r>
        <w:rPr>
          <w:b w:val="0"/>
        </w:rPr>
        <w:t>116</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"_Toc37926080" </w:instrText>
      </w:r>
      <w:r>
        <w:fldChar w:fldCharType="separate"/>
      </w:r>
      <w:r>
        <w:rPr>
          <w:rStyle w:val="23"/>
          <w:b w:val="0"/>
        </w:rPr>
        <w:t xml:space="preserve">4. </w:t>
      </w:r>
      <w:r>
        <w:rPr>
          <w:rStyle w:val="23"/>
          <w:rFonts w:hint="eastAsia"/>
          <w:b w:val="0"/>
        </w:rPr>
        <w:t>承包人</w:t>
      </w:r>
      <w:r>
        <w:rPr>
          <w:b w:val="0"/>
        </w:rPr>
        <w:tab/>
      </w:r>
      <w:r>
        <w:rPr>
          <w:b w:val="0"/>
        </w:rPr>
        <w:fldChar w:fldCharType="begin"/>
      </w:r>
      <w:r>
        <w:rPr>
          <w:b w:val="0"/>
        </w:rPr>
        <w:instrText xml:space="preserve"> PAGEREF _Toc37926080 \h </w:instrText>
      </w:r>
      <w:r>
        <w:rPr>
          <w:b w:val="0"/>
        </w:rPr>
        <w:fldChar w:fldCharType="separate"/>
      </w:r>
      <w:r>
        <w:rPr>
          <w:b w:val="0"/>
        </w:rPr>
        <w:t>116</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"_Toc37926081" </w:instrText>
      </w:r>
      <w:r>
        <w:fldChar w:fldCharType="separate"/>
      </w:r>
      <w:r>
        <w:rPr>
          <w:rStyle w:val="23"/>
          <w:b w:val="0"/>
          <w:spacing w:val="-1"/>
        </w:rPr>
        <w:t xml:space="preserve">6. </w:t>
      </w:r>
      <w:r>
        <w:rPr>
          <w:rStyle w:val="23"/>
          <w:rFonts w:hint="eastAsia"/>
          <w:b w:val="0"/>
          <w:spacing w:val="-1"/>
        </w:rPr>
        <w:t>材料和工程设备</w:t>
      </w:r>
      <w:r>
        <w:rPr>
          <w:b w:val="0"/>
        </w:rPr>
        <w:tab/>
      </w:r>
      <w:r>
        <w:rPr>
          <w:b w:val="0"/>
        </w:rPr>
        <w:fldChar w:fldCharType="begin"/>
      </w:r>
      <w:r>
        <w:rPr>
          <w:b w:val="0"/>
        </w:rPr>
        <w:instrText xml:space="preserve"> PAGEREF _Toc37926081 \h </w:instrText>
      </w:r>
      <w:r>
        <w:rPr>
          <w:b w:val="0"/>
        </w:rPr>
        <w:fldChar w:fldCharType="separate"/>
      </w:r>
      <w:r>
        <w:rPr>
          <w:b w:val="0"/>
        </w:rPr>
        <w:t>117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"_Toc37926082" </w:instrText>
      </w:r>
      <w:r>
        <w:fldChar w:fldCharType="separate"/>
      </w:r>
      <w:r>
        <w:rPr>
          <w:rStyle w:val="23"/>
          <w:b w:val="0"/>
          <w:spacing w:val="-3"/>
        </w:rPr>
        <w:t xml:space="preserve">7. </w:t>
      </w:r>
      <w:r>
        <w:rPr>
          <w:rStyle w:val="23"/>
          <w:rFonts w:hint="eastAsia"/>
          <w:b w:val="0"/>
          <w:spacing w:val="-3"/>
        </w:rPr>
        <w:t>施工设备和临时设施</w:t>
      </w:r>
      <w:r>
        <w:rPr>
          <w:b w:val="0"/>
        </w:rPr>
        <w:tab/>
      </w:r>
      <w:r>
        <w:rPr>
          <w:b w:val="0"/>
        </w:rPr>
        <w:fldChar w:fldCharType="begin"/>
      </w:r>
      <w:r>
        <w:rPr>
          <w:b w:val="0"/>
        </w:rPr>
        <w:instrText xml:space="preserve"> PAGEREF _Toc37926082 \h </w:instrText>
      </w:r>
      <w:r>
        <w:rPr>
          <w:b w:val="0"/>
        </w:rPr>
        <w:fldChar w:fldCharType="separate"/>
      </w:r>
      <w:r>
        <w:rPr>
          <w:b w:val="0"/>
        </w:rPr>
        <w:t>117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"_Toc37926083" </w:instrText>
      </w:r>
      <w:r>
        <w:fldChar w:fldCharType="separate"/>
      </w:r>
      <w:r>
        <w:rPr>
          <w:rStyle w:val="23"/>
          <w:b w:val="0"/>
          <w:spacing w:val="-1"/>
        </w:rPr>
        <w:t xml:space="preserve">8. </w:t>
      </w:r>
      <w:r>
        <w:rPr>
          <w:rStyle w:val="23"/>
          <w:rFonts w:hint="eastAsia"/>
          <w:b w:val="0"/>
          <w:spacing w:val="-1"/>
        </w:rPr>
        <w:t>交通运输</w:t>
      </w:r>
      <w:r>
        <w:rPr>
          <w:b w:val="0"/>
        </w:rPr>
        <w:tab/>
      </w:r>
      <w:r>
        <w:rPr>
          <w:b w:val="0"/>
        </w:rPr>
        <w:fldChar w:fldCharType="begin"/>
      </w:r>
      <w:r>
        <w:rPr>
          <w:b w:val="0"/>
        </w:rPr>
        <w:instrText xml:space="preserve"> PAGEREF _Toc37926083 \h </w:instrText>
      </w:r>
      <w:r>
        <w:rPr>
          <w:b w:val="0"/>
        </w:rPr>
        <w:fldChar w:fldCharType="separate"/>
      </w:r>
      <w:r>
        <w:rPr>
          <w:b w:val="0"/>
        </w:rPr>
        <w:t>117</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"_Toc37926084" </w:instrText>
      </w:r>
      <w:r>
        <w:fldChar w:fldCharType="separate"/>
      </w:r>
      <w:r>
        <w:rPr>
          <w:rStyle w:val="23"/>
          <w:b w:val="0"/>
        </w:rPr>
        <w:t>9.</w:t>
      </w:r>
      <w:r>
        <w:rPr>
          <w:rStyle w:val="23"/>
          <w:rFonts w:hint="eastAsia"/>
          <w:b w:val="0"/>
        </w:rPr>
        <w:t>测量放线</w:t>
      </w:r>
      <w:r>
        <w:rPr>
          <w:b w:val="0"/>
        </w:rPr>
        <w:tab/>
      </w:r>
      <w:r>
        <w:rPr>
          <w:b w:val="0"/>
        </w:rPr>
        <w:fldChar w:fldCharType="begin"/>
      </w:r>
      <w:r>
        <w:rPr>
          <w:b w:val="0"/>
        </w:rPr>
        <w:instrText xml:space="preserve"> PAGEREF _Toc37926084 \h </w:instrText>
      </w:r>
      <w:r>
        <w:rPr>
          <w:b w:val="0"/>
        </w:rPr>
        <w:fldChar w:fldCharType="separate"/>
      </w:r>
      <w:r>
        <w:rPr>
          <w:b w:val="0"/>
        </w:rPr>
        <w:t>118</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"_Toc37926085" </w:instrText>
      </w:r>
      <w:r>
        <w:fldChar w:fldCharType="separate"/>
      </w:r>
      <w:r>
        <w:rPr>
          <w:rStyle w:val="23"/>
          <w:b w:val="0"/>
        </w:rPr>
        <w:t xml:space="preserve">11. </w:t>
      </w:r>
      <w:r>
        <w:rPr>
          <w:rStyle w:val="23"/>
          <w:rFonts w:hint="eastAsia"/>
          <w:b w:val="0"/>
        </w:rPr>
        <w:t>开始工作和竣工</w:t>
      </w:r>
      <w:r>
        <w:rPr>
          <w:b w:val="0"/>
        </w:rPr>
        <w:tab/>
      </w:r>
      <w:r>
        <w:rPr>
          <w:b w:val="0"/>
        </w:rPr>
        <w:fldChar w:fldCharType="begin"/>
      </w:r>
      <w:r>
        <w:rPr>
          <w:b w:val="0"/>
        </w:rPr>
        <w:instrText xml:space="preserve"> PAGEREF _Toc37926085 \h </w:instrText>
      </w:r>
      <w:r>
        <w:rPr>
          <w:b w:val="0"/>
        </w:rPr>
        <w:fldChar w:fldCharType="separate"/>
      </w:r>
      <w:r>
        <w:rPr>
          <w:b w:val="0"/>
        </w:rPr>
        <w:t>118</w:t>
      </w:r>
      <w:r>
        <w:rPr>
          <w:b w:val="0"/>
        </w:rPr>
        <w:fldChar w:fldCharType="end"/>
      </w:r>
      <w:r>
        <w:rPr>
          <w:b w:val="0"/>
        </w:rPr>
        <w:fldChar w:fldCharType="end"/>
      </w:r>
    </w:p>
    <w:p>
      <w:pPr>
        <w:pStyle w:val="12"/>
        <w:tabs>
          <w:tab w:val="left" w:pos="575"/>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"_Toc37926086" </w:instrText>
      </w:r>
      <w:r>
        <w:fldChar w:fldCharType="separate"/>
      </w:r>
      <w:r>
        <w:rPr>
          <w:rStyle w:val="23"/>
          <w:rFonts w:ascii="Arial" w:eastAsia="Arial"/>
          <w:b w:val="0"/>
          <w:spacing w:val="-1"/>
        </w:rPr>
        <w:t>16.</w:t>
      </w:r>
      <w:r>
        <w:rPr>
          <w:rFonts w:asciiTheme="minorHAnsi" w:hAnsiTheme="minorHAnsi" w:eastAsiaTheme="minorEastAsia" w:cstheme="minorBidi"/>
          <w:b w:val="0"/>
          <w:bCs w:val="0"/>
          <w:kern w:val="2"/>
          <w:sz w:val="21"/>
          <w:szCs w:val="22"/>
          <w:lang w:val="en-US" w:bidi="ar-SA"/>
        </w:rPr>
        <w:tab/>
      </w:r>
      <w:r>
        <w:rPr>
          <w:rStyle w:val="23"/>
          <w:rFonts w:hint="eastAsia"/>
          <w:b w:val="0"/>
        </w:rPr>
        <w:t>价格调整</w:t>
      </w:r>
      <w:r>
        <w:rPr>
          <w:b w:val="0"/>
        </w:rPr>
        <w:tab/>
      </w:r>
      <w:r>
        <w:rPr>
          <w:b w:val="0"/>
        </w:rPr>
        <w:fldChar w:fldCharType="begin"/>
      </w:r>
      <w:r>
        <w:rPr>
          <w:b w:val="0"/>
        </w:rPr>
        <w:instrText xml:space="preserve"> PAGEREF _Toc37926086 \h </w:instrText>
      </w:r>
      <w:r>
        <w:rPr>
          <w:b w:val="0"/>
        </w:rPr>
        <w:fldChar w:fldCharType="separate"/>
      </w:r>
      <w:r>
        <w:rPr>
          <w:b w:val="0"/>
        </w:rPr>
        <w:t>118</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"_Toc37926087" </w:instrText>
      </w:r>
      <w:r>
        <w:fldChar w:fldCharType="separate"/>
      </w:r>
      <w:r>
        <w:rPr>
          <w:rStyle w:val="23"/>
          <w:b w:val="0"/>
          <w:spacing w:val="-1"/>
        </w:rPr>
        <w:t>17.</w:t>
      </w:r>
      <w:r>
        <w:rPr>
          <w:rStyle w:val="23"/>
          <w:rFonts w:hint="eastAsia"/>
          <w:b w:val="0"/>
          <w:spacing w:val="-1"/>
        </w:rPr>
        <w:t>合同价款与支付</w:t>
      </w:r>
      <w:r>
        <w:rPr>
          <w:b w:val="0"/>
        </w:rPr>
        <w:tab/>
      </w:r>
      <w:r>
        <w:rPr>
          <w:b w:val="0"/>
        </w:rPr>
        <w:fldChar w:fldCharType="begin"/>
      </w:r>
      <w:r>
        <w:rPr>
          <w:b w:val="0"/>
        </w:rPr>
        <w:instrText xml:space="preserve"> PAGEREF _Toc37926087 \h </w:instrText>
      </w:r>
      <w:r>
        <w:rPr>
          <w:b w:val="0"/>
        </w:rPr>
        <w:fldChar w:fldCharType="separate"/>
      </w:r>
      <w:r>
        <w:rPr>
          <w:b w:val="0"/>
        </w:rPr>
        <w:t>119</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"_Toc37926088" </w:instrText>
      </w:r>
      <w:r>
        <w:fldChar w:fldCharType="separate"/>
      </w:r>
      <w:r>
        <w:rPr>
          <w:rStyle w:val="23"/>
          <w:b w:val="0"/>
          <w:spacing w:val="-2"/>
        </w:rPr>
        <w:t xml:space="preserve">18. </w:t>
      </w:r>
      <w:r>
        <w:rPr>
          <w:rStyle w:val="23"/>
          <w:rFonts w:hint="eastAsia"/>
          <w:b w:val="0"/>
          <w:spacing w:val="-2"/>
        </w:rPr>
        <w:t>竣工试验和竣工验收</w:t>
      </w:r>
      <w:r>
        <w:rPr>
          <w:b w:val="0"/>
        </w:rPr>
        <w:tab/>
      </w:r>
      <w:r>
        <w:rPr>
          <w:b w:val="0"/>
        </w:rPr>
        <w:fldChar w:fldCharType="begin"/>
      </w:r>
      <w:r>
        <w:rPr>
          <w:b w:val="0"/>
        </w:rPr>
        <w:instrText xml:space="preserve"> PAGEREF _Toc37926088 \h </w:instrText>
      </w:r>
      <w:r>
        <w:rPr>
          <w:b w:val="0"/>
        </w:rPr>
        <w:fldChar w:fldCharType="separate"/>
      </w:r>
      <w:r>
        <w:rPr>
          <w:b w:val="0"/>
        </w:rPr>
        <w:t>122</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"_Toc37926089" </w:instrText>
      </w:r>
      <w:r>
        <w:fldChar w:fldCharType="separate"/>
      </w:r>
      <w:r>
        <w:rPr>
          <w:rStyle w:val="23"/>
          <w:b w:val="0"/>
        </w:rPr>
        <w:t xml:space="preserve">19. </w:t>
      </w:r>
      <w:r>
        <w:rPr>
          <w:rStyle w:val="23"/>
          <w:rFonts w:hint="eastAsia"/>
          <w:b w:val="0"/>
        </w:rPr>
        <w:t>缺陷责任与保修责任</w:t>
      </w:r>
      <w:r>
        <w:rPr>
          <w:b w:val="0"/>
        </w:rPr>
        <w:tab/>
      </w:r>
      <w:r>
        <w:rPr>
          <w:b w:val="0"/>
        </w:rPr>
        <w:fldChar w:fldCharType="begin"/>
      </w:r>
      <w:r>
        <w:rPr>
          <w:b w:val="0"/>
        </w:rPr>
        <w:instrText xml:space="preserve"> PAGEREF _Toc37926089 \h </w:instrText>
      </w:r>
      <w:r>
        <w:rPr>
          <w:b w:val="0"/>
        </w:rPr>
        <w:fldChar w:fldCharType="separate"/>
      </w:r>
      <w:r>
        <w:rPr>
          <w:b w:val="0"/>
        </w:rPr>
        <w:t>122</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"_Toc37926090" </w:instrText>
      </w:r>
      <w:r>
        <w:fldChar w:fldCharType="separate"/>
      </w:r>
      <w:r>
        <w:rPr>
          <w:rStyle w:val="23"/>
          <w:b w:val="0"/>
        </w:rPr>
        <w:t>20.</w:t>
      </w:r>
      <w:r>
        <w:rPr>
          <w:rStyle w:val="23"/>
          <w:rFonts w:hint="eastAsia"/>
          <w:b w:val="0"/>
        </w:rPr>
        <w:t>保险</w:t>
      </w:r>
      <w:r>
        <w:rPr>
          <w:b w:val="0"/>
        </w:rPr>
        <w:tab/>
      </w:r>
      <w:r>
        <w:rPr>
          <w:b w:val="0"/>
        </w:rPr>
        <w:fldChar w:fldCharType="begin"/>
      </w:r>
      <w:r>
        <w:rPr>
          <w:b w:val="0"/>
        </w:rPr>
        <w:instrText xml:space="preserve"> PAGEREF _Toc37926090 \h </w:instrText>
      </w:r>
      <w:r>
        <w:rPr>
          <w:b w:val="0"/>
        </w:rPr>
        <w:fldChar w:fldCharType="separate"/>
      </w:r>
      <w:r>
        <w:rPr>
          <w:b w:val="0"/>
        </w:rPr>
        <w:t>123</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"_Toc37926091" </w:instrText>
      </w:r>
      <w:r>
        <w:fldChar w:fldCharType="separate"/>
      </w:r>
      <w:r>
        <w:rPr>
          <w:rStyle w:val="23"/>
          <w:b w:val="0"/>
        </w:rPr>
        <w:t>21</w:t>
      </w:r>
      <w:r>
        <w:rPr>
          <w:rStyle w:val="23"/>
          <w:rFonts w:hint="eastAsia"/>
          <w:b w:val="0"/>
        </w:rPr>
        <w:t>．不可抗力</w:t>
      </w:r>
      <w:r>
        <w:rPr>
          <w:b w:val="0"/>
        </w:rPr>
        <w:tab/>
      </w:r>
      <w:r>
        <w:rPr>
          <w:b w:val="0"/>
        </w:rPr>
        <w:fldChar w:fldCharType="begin"/>
      </w:r>
      <w:r>
        <w:rPr>
          <w:b w:val="0"/>
        </w:rPr>
        <w:instrText xml:space="preserve"> PAGEREF _Toc37926091 \h </w:instrText>
      </w:r>
      <w:r>
        <w:rPr>
          <w:b w:val="0"/>
        </w:rPr>
        <w:fldChar w:fldCharType="separate"/>
      </w:r>
      <w:r>
        <w:rPr>
          <w:b w:val="0"/>
        </w:rPr>
        <w:t>124</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"_Toc37926092" </w:instrText>
      </w:r>
      <w:r>
        <w:fldChar w:fldCharType="separate"/>
      </w:r>
      <w:r>
        <w:rPr>
          <w:rStyle w:val="23"/>
          <w:b w:val="0"/>
        </w:rPr>
        <w:t xml:space="preserve">24. </w:t>
      </w:r>
      <w:r>
        <w:rPr>
          <w:rStyle w:val="23"/>
          <w:rFonts w:hint="eastAsia"/>
          <w:b w:val="0"/>
        </w:rPr>
        <w:t>争议的解决</w:t>
      </w:r>
      <w:r>
        <w:rPr>
          <w:b w:val="0"/>
        </w:rPr>
        <w:tab/>
      </w:r>
      <w:r>
        <w:rPr>
          <w:b w:val="0"/>
        </w:rPr>
        <w:fldChar w:fldCharType="begin"/>
      </w:r>
      <w:r>
        <w:rPr>
          <w:b w:val="0"/>
        </w:rPr>
        <w:instrText xml:space="preserve"> PAGEREF _Toc37926092 \h </w:instrText>
      </w:r>
      <w:r>
        <w:rPr>
          <w:b w:val="0"/>
        </w:rPr>
        <w:fldChar w:fldCharType="separate"/>
      </w:r>
      <w:r>
        <w:rPr>
          <w:b w:val="0"/>
        </w:rPr>
        <w:t>124</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"_Toc37926093" </w:instrText>
      </w:r>
      <w:r>
        <w:fldChar w:fldCharType="separate"/>
      </w:r>
      <w:r>
        <w:rPr>
          <w:rStyle w:val="23"/>
          <w:rFonts w:hint="eastAsia"/>
          <w:b w:val="0"/>
        </w:rPr>
        <w:t>补充条款：</w:t>
      </w:r>
      <w:r>
        <w:rPr>
          <w:b w:val="0"/>
        </w:rPr>
        <w:tab/>
      </w:r>
      <w:r>
        <w:rPr>
          <w:b w:val="0"/>
        </w:rPr>
        <w:fldChar w:fldCharType="begin"/>
      </w:r>
      <w:r>
        <w:rPr>
          <w:b w:val="0"/>
        </w:rPr>
        <w:instrText xml:space="preserve"> PAGEREF _Toc37926093 \h </w:instrText>
      </w:r>
      <w:r>
        <w:rPr>
          <w:b w:val="0"/>
        </w:rPr>
        <w:fldChar w:fldCharType="separate"/>
      </w:r>
      <w:r>
        <w:rPr>
          <w:b w:val="0"/>
        </w:rPr>
        <w:t>124</w:t>
      </w:r>
      <w:r>
        <w:rPr>
          <w:b w:val="0"/>
        </w:rPr>
        <w:fldChar w:fldCharType="end"/>
      </w:r>
      <w:r>
        <w:rPr>
          <w:b w:val="0"/>
        </w:rP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"_Toc37926094" </w:instrText>
      </w:r>
      <w:r>
        <w:fldChar w:fldCharType="separate"/>
      </w:r>
      <w:r>
        <w:rPr>
          <w:rStyle w:val="23"/>
          <w:rFonts w:hint="eastAsia"/>
        </w:rPr>
        <w:t>第二卷</w:t>
      </w:r>
      <w:r>
        <w:tab/>
      </w:r>
      <w:r>
        <w:fldChar w:fldCharType="begin"/>
      </w:r>
      <w:r>
        <w:instrText xml:space="preserve"> PAGEREF _Toc37926094 \h </w:instrText>
      </w:r>
      <w:r>
        <w:fldChar w:fldCharType="separate"/>
      </w:r>
      <w:r>
        <w:t>131</w:t>
      </w:r>
      <w:r>
        <w:fldChar w:fldCharType="end"/>
      </w:r>
      <w:r>
        <w:fldChar w:fldCharType="end"/>
      </w:r>
    </w:p>
    <w:p>
      <w:pPr>
        <w:pStyle w:val="18"/>
        <w:tabs>
          <w:tab w:val="left" w:pos="986"/>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"_Toc37926095" </w:instrText>
      </w:r>
      <w:r>
        <w:fldChar w:fldCharType="separate"/>
      </w:r>
      <w:r>
        <w:rPr>
          <w:rStyle w:val="23"/>
          <w:rFonts w:hint="eastAsia"/>
        </w:rPr>
        <w:t>第五章</w:t>
      </w:r>
      <w:r>
        <w:rPr>
          <w:rFonts w:asciiTheme="minorHAnsi" w:hAnsiTheme="minorHAnsi" w:eastAsiaTheme="minorEastAsia" w:cstheme="minorBidi"/>
          <w:b w:val="0"/>
          <w:bCs w:val="0"/>
          <w:kern w:val="2"/>
          <w:sz w:val="21"/>
          <w:szCs w:val="22"/>
          <w:lang w:val="en-US" w:bidi="ar-SA"/>
        </w:rPr>
        <w:tab/>
      </w:r>
      <w:r>
        <w:rPr>
          <w:rStyle w:val="23"/>
          <w:rFonts w:hint="eastAsia"/>
        </w:rPr>
        <w:t>发包人要求</w:t>
      </w:r>
      <w:r>
        <w:tab/>
      </w:r>
      <w:r>
        <w:fldChar w:fldCharType="begin"/>
      </w:r>
      <w:r>
        <w:instrText xml:space="preserve"> PAGEREF _Toc37926095 \h </w:instrText>
      </w:r>
      <w:r>
        <w:fldChar w:fldCharType="separate"/>
      </w:r>
      <w:r>
        <w:t>132</w:t>
      </w:r>
      <w:r>
        <w:fldChar w:fldCharType="end"/>
      </w:r>
      <w:r>
        <w:fldChar w:fldCharType="end"/>
      </w:r>
    </w:p>
    <w:p>
      <w:pPr>
        <w:pStyle w:val="18"/>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"_Toc37926096" </w:instrText>
      </w:r>
      <w:r>
        <w:fldChar w:fldCharType="separate"/>
      </w:r>
      <w:r>
        <w:rPr>
          <w:rStyle w:val="23"/>
          <w:rFonts w:hint="eastAsia"/>
        </w:rPr>
        <w:t>第三卷</w:t>
      </w:r>
      <w:r>
        <w:tab/>
      </w:r>
      <w:r>
        <w:fldChar w:fldCharType="begin"/>
      </w:r>
      <w:r>
        <w:instrText xml:space="preserve"> PAGEREF _Toc37926096 \h </w:instrText>
      </w:r>
      <w:r>
        <w:fldChar w:fldCharType="separate"/>
      </w:r>
      <w:r>
        <w:t>143</w:t>
      </w:r>
      <w:r>
        <w:fldChar w:fldCharType="end"/>
      </w:r>
      <w:r>
        <w:fldChar w:fldCharType="end"/>
      </w:r>
    </w:p>
    <w:p>
      <w:pPr>
        <w:pStyle w:val="18"/>
        <w:tabs>
          <w:tab w:val="left" w:pos="785"/>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"_Toc37926097" </w:instrText>
      </w:r>
      <w:r>
        <w:fldChar w:fldCharType="separate"/>
      </w:r>
      <w:r>
        <w:rPr>
          <w:rStyle w:val="23"/>
          <w:rFonts w:hint="eastAsia"/>
        </w:rPr>
        <w:t>第六章</w:t>
      </w:r>
      <w:r>
        <w:rPr>
          <w:rFonts w:asciiTheme="minorHAnsi" w:hAnsiTheme="minorHAnsi" w:eastAsiaTheme="minorEastAsia" w:cstheme="minorBidi"/>
          <w:b w:val="0"/>
          <w:bCs w:val="0"/>
          <w:kern w:val="2"/>
          <w:sz w:val="21"/>
          <w:szCs w:val="22"/>
          <w:lang w:val="en-US" w:bidi="ar-SA"/>
        </w:rPr>
        <w:tab/>
      </w:r>
      <w:r>
        <w:rPr>
          <w:rStyle w:val="23"/>
          <w:rFonts w:hint="eastAsia"/>
        </w:rPr>
        <w:t>投标文件格式</w:t>
      </w:r>
      <w:r>
        <w:tab/>
      </w:r>
      <w:r>
        <w:fldChar w:fldCharType="begin"/>
      </w:r>
      <w:r>
        <w:instrText xml:space="preserve"> PAGEREF _Toc37926097 \h </w:instrText>
      </w:r>
      <w:r>
        <w:fldChar w:fldCharType="separate"/>
      </w:r>
      <w:r>
        <w:t>144</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"_Toc37926098" </w:instrText>
      </w:r>
      <w:r>
        <w:fldChar w:fldCharType="separate"/>
      </w:r>
      <w:r>
        <w:rPr>
          <w:rStyle w:val="23"/>
          <w:rFonts w:hint="eastAsia"/>
        </w:rPr>
        <w:t>一、投标函及投标函附录</w:t>
      </w:r>
      <w:r>
        <w:tab/>
      </w:r>
      <w:r>
        <w:fldChar w:fldCharType="begin"/>
      </w:r>
      <w:r>
        <w:instrText xml:space="preserve"> PAGEREF _Toc37926098 \h </w:instrText>
      </w:r>
      <w:r>
        <w:fldChar w:fldCharType="separate"/>
      </w:r>
      <w:r>
        <w:t>149</w:t>
      </w:r>
      <w:r>
        <w:fldChar w:fldCharType="end"/>
      </w:r>
      <w: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"_Toc37926099" </w:instrText>
      </w:r>
      <w:r>
        <w:fldChar w:fldCharType="separate"/>
      </w:r>
      <w:r>
        <w:rPr>
          <w:rStyle w:val="23"/>
          <w:rFonts w:hint="eastAsia"/>
          <w:b w:val="0"/>
        </w:rPr>
        <w:t>（一）投标函</w:t>
      </w:r>
      <w:r>
        <w:rPr>
          <w:b w:val="0"/>
        </w:rPr>
        <w:tab/>
      </w:r>
      <w:r>
        <w:rPr>
          <w:b w:val="0"/>
        </w:rPr>
        <w:fldChar w:fldCharType="begin"/>
      </w:r>
      <w:r>
        <w:rPr>
          <w:b w:val="0"/>
        </w:rPr>
        <w:instrText xml:space="preserve"> PAGEREF _Toc37926099 \h </w:instrText>
      </w:r>
      <w:r>
        <w:rPr>
          <w:b w:val="0"/>
        </w:rPr>
        <w:fldChar w:fldCharType="separate"/>
      </w:r>
      <w:r>
        <w:rPr>
          <w:b w:val="0"/>
        </w:rPr>
        <w:t>149</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"_Toc37926100" </w:instrText>
      </w:r>
      <w:r>
        <w:fldChar w:fldCharType="separate"/>
      </w:r>
      <w:r>
        <w:rPr>
          <w:rStyle w:val="23"/>
          <w:rFonts w:hint="eastAsia"/>
          <w:b w:val="0"/>
        </w:rPr>
        <w:t>（二）投标函附录</w:t>
      </w:r>
      <w:r>
        <w:rPr>
          <w:b w:val="0"/>
        </w:rPr>
        <w:tab/>
      </w:r>
      <w:r>
        <w:rPr>
          <w:b w:val="0"/>
        </w:rPr>
        <w:fldChar w:fldCharType="begin"/>
      </w:r>
      <w:r>
        <w:rPr>
          <w:b w:val="0"/>
        </w:rPr>
        <w:instrText xml:space="preserve"> PAGEREF _Toc37926100 \h </w:instrText>
      </w:r>
      <w:r>
        <w:rPr>
          <w:b w:val="0"/>
        </w:rPr>
        <w:fldChar w:fldCharType="separate"/>
      </w:r>
      <w:r>
        <w:rPr>
          <w:b w:val="0"/>
        </w:rPr>
        <w:t>150</w:t>
      </w:r>
      <w:r>
        <w:rPr>
          <w:b w:val="0"/>
        </w:rPr>
        <w:fldChar w:fldCharType="end"/>
      </w:r>
      <w:r>
        <w:rPr>
          <w:b w:val="0"/>
        </w:rPr>
        <w:fldChar w:fldCharType="end"/>
      </w:r>
    </w:p>
    <w:p>
      <w:pPr>
        <w:pStyle w:val="12"/>
        <w:tabs>
          <w:tab w:val="right" w:leader="dot" w:pos="10403"/>
        </w:tabs>
        <w:rPr>
          <w:rFonts w:asciiTheme="minorHAnsi" w:hAnsiTheme="minorHAnsi" w:eastAsiaTheme="minorEastAsia" w:cstheme="minorBidi"/>
          <w:b w:val="0"/>
          <w:bCs w:val="0"/>
          <w:kern w:val="2"/>
          <w:sz w:val="21"/>
          <w:szCs w:val="22"/>
          <w:lang w:val="en-US" w:bidi="ar-SA"/>
        </w:rPr>
      </w:pPr>
      <w:r>
        <w:fldChar w:fldCharType="begin"/>
      </w:r>
      <w:r>
        <w:instrText xml:space="preserve"> HYPERLINK \l "_Toc37926101" </w:instrText>
      </w:r>
      <w:r>
        <w:fldChar w:fldCharType="separate"/>
      </w:r>
      <w:r>
        <w:rPr>
          <w:rStyle w:val="23"/>
          <w:rFonts w:hint="eastAsia"/>
          <w:b w:val="0"/>
        </w:rPr>
        <w:t>（三）价格清单</w:t>
      </w:r>
      <w:r>
        <w:rPr>
          <w:b w:val="0"/>
        </w:rPr>
        <w:tab/>
      </w:r>
      <w:r>
        <w:rPr>
          <w:b w:val="0"/>
        </w:rPr>
        <w:fldChar w:fldCharType="begin"/>
      </w:r>
      <w:r>
        <w:rPr>
          <w:b w:val="0"/>
        </w:rPr>
        <w:instrText xml:space="preserve"> PAGEREF _Toc37926101 \h </w:instrText>
      </w:r>
      <w:r>
        <w:rPr>
          <w:b w:val="0"/>
        </w:rPr>
        <w:fldChar w:fldCharType="separate"/>
      </w:r>
      <w:r>
        <w:rPr>
          <w:b w:val="0"/>
        </w:rPr>
        <w:t>151</w:t>
      </w:r>
      <w:r>
        <w:rPr>
          <w:b w:val="0"/>
        </w:rPr>
        <w:fldChar w:fldCharType="end"/>
      </w:r>
      <w:r>
        <w:rPr>
          <w:b w:val="0"/>
        </w:rP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"_Toc37926102" </w:instrText>
      </w:r>
      <w:r>
        <w:fldChar w:fldCharType="separate"/>
      </w:r>
      <w:r>
        <w:rPr>
          <w:rStyle w:val="23"/>
          <w:rFonts w:hint="eastAsia"/>
        </w:rPr>
        <w:t>二、法定代表人身份证明或授权委托书</w:t>
      </w:r>
      <w:r>
        <w:tab/>
      </w:r>
      <w:r>
        <w:fldChar w:fldCharType="begin"/>
      </w:r>
      <w:r>
        <w:instrText xml:space="preserve"> PAGEREF _Toc37926102 \h </w:instrText>
      </w:r>
      <w:r>
        <w:fldChar w:fldCharType="separate"/>
      </w:r>
      <w:r>
        <w:t>152</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"_Toc37926103" </w:instrText>
      </w:r>
      <w:r>
        <w:fldChar w:fldCharType="separate"/>
      </w:r>
      <w:r>
        <w:rPr>
          <w:rStyle w:val="23"/>
          <w:rFonts w:hint="eastAsia"/>
        </w:rPr>
        <w:t>三、联合体协议书</w:t>
      </w:r>
      <w:r>
        <w:tab/>
      </w:r>
      <w:r>
        <w:fldChar w:fldCharType="begin"/>
      </w:r>
      <w:r>
        <w:instrText xml:space="preserve"> PAGEREF _Toc37926103 \h </w:instrText>
      </w:r>
      <w:r>
        <w:fldChar w:fldCharType="separate"/>
      </w:r>
      <w:r>
        <w:t>154</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"_Toc37926104" </w:instrText>
      </w:r>
      <w:r>
        <w:fldChar w:fldCharType="separate"/>
      </w:r>
      <w:r>
        <w:rPr>
          <w:rStyle w:val="23"/>
          <w:rFonts w:hint="eastAsia"/>
        </w:rPr>
        <w:t>四、投标保证金</w:t>
      </w:r>
      <w:r>
        <w:tab/>
      </w:r>
      <w:r>
        <w:fldChar w:fldCharType="begin"/>
      </w:r>
      <w:r>
        <w:instrText xml:space="preserve"> PAGEREF _Toc37926104 \h </w:instrText>
      </w:r>
      <w:r>
        <w:fldChar w:fldCharType="separate"/>
      </w:r>
      <w:r>
        <w:t>156</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"_Toc37926105" </w:instrText>
      </w:r>
      <w:r>
        <w:fldChar w:fldCharType="separate"/>
      </w:r>
      <w:r>
        <w:rPr>
          <w:rStyle w:val="23"/>
          <w:rFonts w:hint="eastAsia"/>
        </w:rPr>
        <w:t>五、资格审查资料</w:t>
      </w:r>
      <w:r>
        <w:tab/>
      </w:r>
      <w:r>
        <w:fldChar w:fldCharType="begin"/>
      </w:r>
      <w:r>
        <w:instrText xml:space="preserve"> PAGEREF _Toc37926105 \h </w:instrText>
      </w:r>
      <w:r>
        <w:fldChar w:fldCharType="separate"/>
      </w:r>
      <w:r>
        <w:t>157</w:t>
      </w:r>
      <w:r>
        <w:fldChar w:fldCharType="end"/>
      </w:r>
      <w:r>
        <w:fldChar w:fldCharType="end"/>
      </w:r>
    </w:p>
    <w:p>
      <w:pPr>
        <w:pStyle w:val="20"/>
        <w:tabs>
          <w:tab w:val="right" w:leader="dot" w:pos="10403"/>
        </w:tabs>
        <w:rPr>
          <w:rFonts w:asciiTheme="minorHAnsi" w:hAnsiTheme="minorHAnsi" w:eastAsiaTheme="minorEastAsia" w:cstheme="minorBidi"/>
          <w:kern w:val="2"/>
          <w:sz w:val="21"/>
          <w:szCs w:val="22"/>
          <w:lang w:val="en-US" w:bidi="ar-SA"/>
        </w:rPr>
      </w:pPr>
      <w:r>
        <w:fldChar w:fldCharType="begin"/>
      </w:r>
      <w:r>
        <w:instrText xml:space="preserve"> HYPERLINK \l "_Toc37926106" </w:instrText>
      </w:r>
      <w:r>
        <w:fldChar w:fldCharType="separate"/>
      </w:r>
      <w:r>
        <w:rPr>
          <w:rStyle w:val="23"/>
          <w:rFonts w:hint="eastAsia"/>
        </w:rPr>
        <w:t>六、技术或商务评审材料及其他资料</w:t>
      </w:r>
      <w:r>
        <w:tab/>
      </w:r>
      <w:r>
        <w:fldChar w:fldCharType="begin"/>
      </w:r>
      <w:r>
        <w:instrText xml:space="preserve"> PAGEREF _Toc37926106 \h </w:instrText>
      </w:r>
      <w:r>
        <w:fldChar w:fldCharType="separate"/>
      </w:r>
      <w:r>
        <w:t>163</w:t>
      </w:r>
      <w:r>
        <w:fldChar w:fldCharType="end"/>
      </w:r>
      <w:r>
        <w:fldChar w:fldCharType="end"/>
      </w:r>
    </w:p>
    <w:p>
      <w:pPr>
        <w:rPr>
          <w:rFonts w:ascii="Times New Roman"/>
          <w:sz w:val="20"/>
        </w:rPr>
        <w:sectPr>
          <w:type w:val="continuous"/>
          <w:pgSz w:w="11910" w:h="16840"/>
          <w:pgMar w:top="851" w:right="578" w:bottom="845" w:left="919" w:header="720" w:footer="720" w:gutter="0"/>
          <w:cols w:space="720" w:num="1"/>
        </w:sectPr>
      </w:pPr>
      <w:r>
        <w:rPr>
          <w:rFonts w:ascii="Times New Roman"/>
        </w:rPr>
        <w:fldChar w:fldCharType="end"/>
      </w:r>
    </w:p>
    <w:p>
      <w:pPr>
        <w:pStyle w:val="12"/>
        <w:tabs>
          <w:tab w:val="left" w:pos="1218"/>
          <w:tab w:val="right" w:leader="dot" w:pos="9845"/>
        </w:tabs>
        <w:rPr>
          <w:rFonts w:ascii="Times New Roman" w:eastAsia="Times New Roman"/>
        </w:rPr>
      </w:pPr>
      <w:bookmarkStart w:id="0" w:name="_bookmark0"/>
      <w:bookmarkEnd w:id="0"/>
    </w:p>
    <w:p>
      <w:pPr>
        <w:rPr>
          <w:rFonts w:ascii="Times New Roman" w:eastAsia="Times New Roman"/>
        </w:rPr>
        <w:sectPr>
          <w:footerReference r:id="rId3" w:type="default"/>
          <w:type w:val="continuous"/>
          <w:pgSz w:w="11910" w:h="16840"/>
          <w:pgMar w:top="1380" w:right="580" w:bottom="1469" w:left="920" w:header="720" w:footer="720" w:gutter="0"/>
          <w:cols w:space="720" w:num="1"/>
        </w:sectPr>
      </w:pPr>
    </w:p>
    <w:p>
      <w:pPr>
        <w:spacing w:before="34"/>
        <w:ind w:right="342"/>
        <w:jc w:val="center"/>
        <w:rPr>
          <w:rFonts w:ascii="黑体" w:eastAsia="黑体"/>
          <w:b/>
          <w:sz w:val="36"/>
        </w:rPr>
      </w:pPr>
      <w:bookmarkStart w:id="1" w:name="_bookmark1"/>
      <w:bookmarkEnd w:id="1"/>
      <w:r>
        <w:rPr>
          <w:rFonts w:hint="eastAsia" w:ascii="黑体" w:eastAsia="黑体"/>
          <w:b/>
          <w:sz w:val="36"/>
        </w:rPr>
        <w:t>投标文件否决性条款摘要</w:t>
      </w:r>
    </w:p>
    <w:p>
      <w:pPr>
        <w:pStyle w:val="10"/>
        <w:rPr>
          <w:rFonts w:ascii="黑体"/>
          <w:b/>
          <w:sz w:val="43"/>
        </w:rPr>
      </w:pPr>
    </w:p>
    <w:p>
      <w:pPr>
        <w:spacing w:line="312" w:lineRule="auto"/>
        <w:ind w:left="212" w:right="355" w:firstLine="482"/>
        <w:jc w:val="both"/>
        <w:rPr>
          <w:sz w:val="24"/>
        </w:rPr>
      </w:pPr>
      <w:r>
        <w:rPr>
          <w:b/>
          <w:sz w:val="24"/>
        </w:rPr>
        <w:t>重要提示：</w:t>
      </w:r>
      <w:r>
        <w:rPr>
          <w:spacing w:val="-4"/>
          <w:sz w:val="24"/>
        </w:rPr>
        <w:t>本摘要是本招标文件(含招标文件的澄清、修改、补充文件等)中涉及的所有否</w:t>
      </w:r>
      <w:r>
        <w:rPr>
          <w:spacing w:val="-3"/>
          <w:sz w:val="24"/>
        </w:rPr>
        <w:t>决性条款的集中列示，包括：招标文件规定的在开标会上当场宣布投标文件不予受理或为无效</w:t>
      </w:r>
      <w:r>
        <w:rPr>
          <w:spacing w:val="-2"/>
          <w:sz w:val="24"/>
        </w:rPr>
        <w:t>投标的情形，技术标、资格审查、商务标评审阶段发现重大偏差的情形。</w:t>
      </w:r>
      <w:r>
        <w:rPr>
          <w:b/>
          <w:spacing w:val="-2"/>
          <w:sz w:val="24"/>
        </w:rPr>
        <w:t>除出现本摘要集中列</w:t>
      </w:r>
      <w:r>
        <w:rPr>
          <w:b/>
          <w:spacing w:val="-3"/>
          <w:sz w:val="24"/>
        </w:rPr>
        <w:t>示的否决性条款规定的情形以外，投标文件出现的其他任何情形均不得作否决处理。招标文件中有关否决性条款的阐述与本摘要所列内容不一致的，以本摘要列示的内容为准</w:t>
      </w:r>
      <w:r>
        <w:rPr>
          <w:sz w:val="24"/>
        </w:rPr>
        <w:t>。</w:t>
      </w:r>
    </w:p>
    <w:p>
      <w:pPr>
        <w:spacing w:before="3" w:line="312" w:lineRule="auto"/>
        <w:ind w:left="212" w:right="356" w:firstLine="480"/>
        <w:jc w:val="both"/>
        <w:rPr>
          <w:sz w:val="24"/>
        </w:rPr>
      </w:pPr>
      <w:r>
        <w:rPr>
          <w:sz w:val="24"/>
        </w:rPr>
        <w:t>如招标人通过招标文件的澄清、修改、补充文件予以增加否决性条款的，招标人应当重新编写本摘要内容，将新增否决性条款列入本摘要，并发布新的完整的《投标文件否决性条款摘要》。否则，增加的否决性条款无效。</w:t>
      </w:r>
    </w:p>
    <w:p>
      <w:pPr>
        <w:spacing w:before="2" w:line="312" w:lineRule="auto"/>
        <w:ind w:left="212" w:right="356" w:firstLine="480"/>
        <w:rPr>
          <w:sz w:val="24"/>
        </w:rPr>
      </w:pPr>
      <w:r>
        <w:rPr>
          <w:sz w:val="24"/>
        </w:rPr>
        <w:t>评标委员会应将在技术标、资格审查、商务标评审阶段发现的投标文件中的重大偏差情况列入评标报告中的“否决投标情况说明”，对该投标文件作否决处理。</w:t>
      </w:r>
    </w:p>
    <w:p>
      <w:pPr>
        <w:spacing w:line="307" w:lineRule="exact"/>
        <w:ind w:left="695"/>
        <w:rPr>
          <w:b/>
          <w:sz w:val="24"/>
        </w:rPr>
      </w:pPr>
      <w:r>
        <w:rPr>
          <w:b/>
          <w:w w:val="99"/>
          <w:sz w:val="24"/>
        </w:rPr>
        <w:t>一、在开标会上，判定投标文件不予受理或为无效投标的情形</w:t>
      </w:r>
      <w:r>
        <w:rPr>
          <w:b/>
          <w:spacing w:val="2"/>
          <w:w w:val="99"/>
          <w:sz w:val="24"/>
        </w:rPr>
        <w:t>（</w:t>
      </w:r>
      <w:r>
        <w:rPr>
          <w:b/>
          <w:w w:val="99"/>
          <w:sz w:val="24"/>
        </w:rPr>
        <w:t>由招标人负责判定</w:t>
      </w:r>
      <w:r>
        <w:rPr>
          <w:b/>
          <w:spacing w:val="-120"/>
          <w:w w:val="99"/>
          <w:sz w:val="24"/>
        </w:rPr>
        <w:t>）</w:t>
      </w:r>
      <w:r>
        <w:rPr>
          <w:b/>
          <w:w w:val="99"/>
          <w:sz w:val="24"/>
        </w:rPr>
        <w:t>：</w:t>
      </w:r>
    </w:p>
    <w:p>
      <w:pPr>
        <w:spacing w:before="93"/>
        <w:ind w:left="693"/>
        <w:rPr>
          <w:sz w:val="24"/>
        </w:rPr>
      </w:pPr>
      <w:r>
        <w:rPr>
          <w:sz w:val="24"/>
        </w:rPr>
        <w:t>（一）判定投标文件不予受理的情形：</w:t>
      </w:r>
    </w:p>
    <w:p>
      <w:pPr>
        <w:spacing w:before="91"/>
        <w:ind w:left="693"/>
        <w:rPr>
          <w:sz w:val="24"/>
        </w:rPr>
      </w:pPr>
      <w:r>
        <w:rPr>
          <w:sz w:val="24"/>
        </w:rPr>
        <w:t>1、投标文件在投标截止时间以后送达或者未送达指定地点；</w:t>
      </w:r>
    </w:p>
    <w:p>
      <w:pPr>
        <w:spacing w:before="93"/>
        <w:ind w:left="693"/>
        <w:rPr>
          <w:sz w:val="24"/>
        </w:rPr>
      </w:pPr>
      <w:r>
        <w:rPr>
          <w:sz w:val="24"/>
        </w:rPr>
        <w:t>2、不同投标人的投标文件由同一投标人送达或者分发的；</w:t>
      </w:r>
    </w:p>
    <w:p>
      <w:pPr>
        <w:spacing w:before="93"/>
        <w:ind w:left="693"/>
        <w:rPr>
          <w:sz w:val="24"/>
        </w:rPr>
      </w:pPr>
      <w:r>
        <w:rPr>
          <w:sz w:val="24"/>
        </w:rPr>
        <w:t>3、投标文件未按要求密封、标记的；</w:t>
      </w:r>
    </w:p>
    <w:p>
      <w:pPr>
        <w:spacing w:before="91" w:line="312" w:lineRule="auto"/>
        <w:ind w:left="212" w:right="363" w:firstLine="480"/>
        <w:rPr>
          <w:sz w:val="24"/>
        </w:rPr>
      </w:pPr>
      <w:r>
        <w:rPr>
          <w:sz w:val="24"/>
        </w:rPr>
        <w:t>4、不提交投标保证金的（采用银行转账的，以投标截止时江门市公共资源交易中心出具的到账名单为准</w:t>
      </w:r>
      <w:r>
        <w:rPr>
          <w:spacing w:val="-120"/>
          <w:sz w:val="24"/>
        </w:rPr>
        <w:t>）</w:t>
      </w:r>
      <w:r>
        <w:rPr>
          <w:sz w:val="24"/>
        </w:rPr>
        <w:t>；</w:t>
      </w:r>
    </w:p>
    <w:p>
      <w:pPr>
        <w:spacing w:before="3" w:line="312" w:lineRule="auto"/>
        <w:ind w:left="212" w:right="352" w:firstLine="480"/>
        <w:rPr>
          <w:sz w:val="24"/>
        </w:rPr>
      </w:pPr>
      <w:r>
        <w:rPr>
          <w:sz w:val="24"/>
        </w:rPr>
        <w:t>5</w:t>
      </w:r>
      <w:r>
        <w:rPr>
          <w:spacing w:val="-6"/>
          <w:sz w:val="24"/>
        </w:rPr>
        <w:t>、投标人</w:t>
      </w:r>
      <w:r>
        <w:rPr>
          <w:sz w:val="24"/>
        </w:rPr>
        <w:t>（</w:t>
      </w:r>
      <w:r>
        <w:rPr>
          <w:spacing w:val="-1"/>
          <w:sz w:val="24"/>
        </w:rPr>
        <w:t>包括联合体所有成员</w:t>
      </w:r>
      <w:r>
        <w:rPr>
          <w:spacing w:val="-12"/>
          <w:sz w:val="24"/>
        </w:rPr>
        <w:t>）</w:t>
      </w:r>
      <w:r>
        <w:rPr>
          <w:spacing w:val="-4"/>
          <w:sz w:val="24"/>
        </w:rPr>
        <w:t>未被列入“江门市建筑业企业信用管理信息系统”</w:t>
      </w:r>
      <w:r>
        <w:rPr>
          <w:spacing w:val="-6"/>
          <w:sz w:val="24"/>
        </w:rPr>
        <w:t>C</w:t>
      </w:r>
      <w:r>
        <w:rPr>
          <w:spacing w:val="-38"/>
          <w:sz w:val="24"/>
        </w:rPr>
        <w:t xml:space="preserve"> 级</w:t>
      </w:r>
      <w:r>
        <w:rPr>
          <w:spacing w:val="-15"/>
          <w:sz w:val="24"/>
        </w:rPr>
        <w:t>或以上信用等级。</w:t>
      </w:r>
      <w:r>
        <w:rPr>
          <w:sz w:val="24"/>
        </w:rPr>
        <w:t>（项目不要求投标人具备建筑业企业资质的除外</w:t>
      </w:r>
      <w:r>
        <w:rPr>
          <w:spacing w:val="-120"/>
          <w:sz w:val="24"/>
        </w:rPr>
        <w:t>）</w:t>
      </w:r>
      <w:r>
        <w:rPr>
          <w:sz w:val="24"/>
        </w:rPr>
        <w:t>。</w:t>
      </w:r>
    </w:p>
    <w:p>
      <w:pPr>
        <w:spacing w:line="312" w:lineRule="auto"/>
        <w:ind w:left="693" w:right="5327"/>
        <w:rPr>
          <w:sz w:val="24"/>
        </w:rPr>
      </w:pPr>
      <w:r>
        <w:rPr>
          <w:sz w:val="24"/>
        </w:rPr>
        <w:t>（二）</w:t>
      </w:r>
      <w:r>
        <w:rPr>
          <w:spacing w:val="-2"/>
          <w:sz w:val="24"/>
        </w:rPr>
        <w:t>宣布投标文件为无效投标的情形：</w:t>
      </w:r>
    </w:p>
    <w:p>
      <w:pPr>
        <w:spacing w:before="93" w:line="312" w:lineRule="auto"/>
        <w:ind w:left="212" w:right="364" w:firstLine="480"/>
        <w:rPr>
          <w:sz w:val="24"/>
        </w:rPr>
      </w:pPr>
      <w:r>
        <w:rPr>
          <w:sz w:val="24"/>
        </w:rPr>
        <w:t>未在投标函上填写投标报价或投标文件中投标函以汉字形式（大写金额）记载的投标报价高于招标控制价</w:t>
      </w:r>
      <w:r>
        <w:rPr>
          <w:rFonts w:hint="eastAsia"/>
          <w:sz w:val="24"/>
        </w:rPr>
        <w:t>或投标函的</w:t>
      </w:r>
      <w:r>
        <w:rPr>
          <w:sz w:val="24"/>
        </w:rPr>
        <w:t>。</w:t>
      </w:r>
    </w:p>
    <w:p>
      <w:pPr>
        <w:spacing w:line="312" w:lineRule="auto"/>
        <w:ind w:left="212" w:right="352" w:firstLine="482"/>
        <w:rPr>
          <w:b/>
          <w:sz w:val="24"/>
        </w:rPr>
      </w:pPr>
      <w:r>
        <w:rPr>
          <w:b/>
          <w:spacing w:val="-7"/>
          <w:sz w:val="24"/>
        </w:rPr>
        <w:t>注：投标文件出现上述情形在开标会上被宣布为无效投标后，不再经评标委员会确认，亦</w:t>
      </w:r>
      <w:r>
        <w:rPr>
          <w:b/>
          <w:sz w:val="24"/>
        </w:rPr>
        <w:t>不进入评标程序。</w:t>
      </w:r>
    </w:p>
    <w:p>
      <w:pPr>
        <w:spacing w:before="2" w:line="312" w:lineRule="auto"/>
        <w:ind w:left="693" w:right="237" w:firstLine="2"/>
        <w:rPr>
          <w:b/>
          <w:spacing w:val="-13"/>
          <w:sz w:val="24"/>
        </w:rPr>
      </w:pPr>
      <w:r>
        <w:rPr>
          <w:b/>
          <w:spacing w:val="-13"/>
          <w:sz w:val="24"/>
        </w:rPr>
        <w:t xml:space="preserve">二、技术标、资格审查、商务标评审阶段有下列情形之一的，评标委员会应当否决其投标： </w:t>
      </w:r>
    </w:p>
    <w:p>
      <w:pPr>
        <w:spacing w:before="2" w:line="312" w:lineRule="auto"/>
        <w:ind w:left="693" w:right="237" w:firstLine="2"/>
        <w:rPr>
          <w:sz w:val="24"/>
        </w:rPr>
      </w:pPr>
      <w:r>
        <w:rPr>
          <w:sz w:val="24"/>
        </w:rPr>
        <w:t>1</w:t>
      </w:r>
      <w:r>
        <w:rPr>
          <w:spacing w:val="-5"/>
          <w:sz w:val="24"/>
        </w:rPr>
        <w:t xml:space="preserve">、有第二章“投标人须知”第 </w:t>
      </w:r>
      <w:r>
        <w:rPr>
          <w:sz w:val="24"/>
        </w:rPr>
        <w:t>1.4.3</w:t>
      </w:r>
      <w:r>
        <w:rPr>
          <w:spacing w:val="-8"/>
          <w:sz w:val="24"/>
        </w:rPr>
        <w:t xml:space="preserve"> 项规定的任何一种情形的；</w:t>
      </w:r>
    </w:p>
    <w:p>
      <w:pPr>
        <w:spacing w:line="312" w:lineRule="auto"/>
        <w:ind w:left="212" w:right="364" w:firstLine="480"/>
        <w:rPr>
          <w:sz w:val="24"/>
        </w:rPr>
      </w:pPr>
      <w:r>
        <w:rPr>
          <w:sz w:val="24"/>
        </w:rPr>
        <w:t>2、投标人有以他人的名义投标、串通投标、弄虚作假或有其他违法行为的；包含但不仅限于以下行为：</w:t>
      </w:r>
    </w:p>
    <w:p>
      <w:pPr>
        <w:spacing w:line="312" w:lineRule="auto"/>
        <w:ind w:right="1491" w:firstLine="720" w:firstLineChars="300"/>
        <w:rPr>
          <w:spacing w:val="-9"/>
          <w:sz w:val="24"/>
        </w:rPr>
      </w:pPr>
      <w:r>
        <w:rPr>
          <w:sz w:val="24"/>
        </w:rPr>
        <w:t>2.1</w:t>
      </w:r>
      <w:r>
        <w:rPr>
          <w:spacing w:val="-9"/>
          <w:sz w:val="24"/>
        </w:rPr>
        <w:t xml:space="preserve"> 不同投标人编制的投标文件的实质性内容存在两处以上细节错误一致； </w:t>
      </w:r>
    </w:p>
    <w:p>
      <w:pPr>
        <w:spacing w:line="312" w:lineRule="auto"/>
        <w:ind w:right="1491" w:firstLine="705" w:firstLineChars="294"/>
        <w:rPr>
          <w:sz w:val="24"/>
        </w:rPr>
      </w:pPr>
      <w:r>
        <w:rPr>
          <w:sz w:val="24"/>
        </w:rPr>
        <w:t>3、不按评标委员会要求澄清、说明或补正的；</w:t>
      </w:r>
    </w:p>
    <w:p>
      <w:pPr>
        <w:spacing w:line="312" w:lineRule="auto"/>
        <w:rPr>
          <w:sz w:val="24"/>
        </w:rPr>
        <w:sectPr>
          <w:footerReference r:id="rId4" w:type="default"/>
          <w:pgSz w:w="11910" w:h="16840"/>
          <w:pgMar w:top="1520" w:right="580" w:bottom="1140" w:left="920" w:header="0" w:footer="950" w:gutter="0"/>
          <w:pgNumType w:start="1"/>
          <w:cols w:space="720" w:num="1"/>
        </w:sectPr>
      </w:pPr>
    </w:p>
    <w:p>
      <w:pPr>
        <w:spacing w:before="39" w:line="312" w:lineRule="auto"/>
        <w:ind w:left="212" w:right="359" w:firstLine="480"/>
        <w:rPr>
          <w:sz w:val="24"/>
        </w:rPr>
      </w:pPr>
      <w:r>
        <w:rPr>
          <w:sz w:val="24"/>
        </w:rPr>
        <w:t>4、在技术标评审、资格审查评审、商务标评审中，评标委员会认定投标人的投标文件不符合评标办法前附表中规定的任何一项评审标准的；</w:t>
      </w:r>
    </w:p>
    <w:p>
      <w:pPr>
        <w:ind w:left="693"/>
        <w:rPr>
          <w:sz w:val="24"/>
        </w:rPr>
      </w:pPr>
      <w:r>
        <w:rPr>
          <w:sz w:val="24"/>
        </w:rPr>
        <w:t>5、评标委员会认定投标人以低于成本报价竞标的；</w:t>
      </w:r>
    </w:p>
    <w:p>
      <w:pPr>
        <w:spacing w:before="93"/>
        <w:ind w:left="693"/>
        <w:rPr>
          <w:sz w:val="24"/>
        </w:rPr>
      </w:pPr>
      <w:r>
        <w:rPr>
          <w:sz w:val="24"/>
        </w:rPr>
        <w:t>6、投标报价高于招标文件设定的招标控制价的；</w:t>
      </w:r>
    </w:p>
    <w:p>
      <w:pPr>
        <w:spacing w:before="91"/>
        <w:ind w:left="693"/>
        <w:rPr>
          <w:sz w:val="24"/>
        </w:rPr>
      </w:pPr>
      <w:r>
        <w:rPr>
          <w:sz w:val="24"/>
        </w:rPr>
        <w:t>7、投标人</w:t>
      </w:r>
      <w:r>
        <w:rPr>
          <w:rFonts w:hint="eastAsia"/>
          <w:sz w:val="24"/>
        </w:rPr>
        <w:t>未</w:t>
      </w:r>
      <w:r>
        <w:rPr>
          <w:sz w:val="24"/>
        </w:rPr>
        <w:t>对招标文件的要求和条件作出响应的；</w:t>
      </w:r>
    </w:p>
    <w:p>
      <w:pPr>
        <w:spacing w:before="94"/>
        <w:ind w:left="693"/>
        <w:rPr>
          <w:sz w:val="24"/>
        </w:rPr>
      </w:pPr>
      <w:r>
        <w:rPr>
          <w:sz w:val="24"/>
        </w:rPr>
        <w:t>8、投标文件未加盖单位公章、未有法定代表人或者被授权人签名</w:t>
      </w:r>
      <w:r>
        <w:rPr>
          <w:rFonts w:hint="eastAsia"/>
          <w:sz w:val="24"/>
        </w:rPr>
        <w:t>或盖章</w:t>
      </w:r>
      <w:r>
        <w:rPr>
          <w:sz w:val="24"/>
        </w:rPr>
        <w:t>的；</w:t>
      </w:r>
    </w:p>
    <w:p>
      <w:pPr>
        <w:spacing w:before="93" w:line="312" w:lineRule="auto"/>
        <w:ind w:left="212" w:right="364" w:firstLine="480"/>
        <w:rPr>
          <w:sz w:val="24"/>
        </w:rPr>
      </w:pPr>
      <w:r>
        <w:rPr>
          <w:sz w:val="24"/>
        </w:rPr>
        <w:t>9、评标委员会要求澄清、说明、补正，投标人拒不进行澄清、说明、补正的；或评标委员会根据评标办法对投标文件的计算错误进行修正后，投标人不接受修正后的投标报价的；</w:t>
      </w:r>
    </w:p>
    <w:p>
      <w:pPr>
        <w:spacing w:line="307" w:lineRule="exact"/>
        <w:ind w:left="693"/>
        <w:rPr>
          <w:sz w:val="24"/>
        </w:rPr>
      </w:pPr>
      <w:r>
        <w:rPr>
          <w:sz w:val="24"/>
        </w:rPr>
        <w:t>10、投标人递交两份或多份内容不同的投标文件的（投标文件另有规定除外</w:t>
      </w:r>
      <w:r>
        <w:rPr>
          <w:spacing w:val="-120"/>
          <w:sz w:val="24"/>
        </w:rPr>
        <w:t>）</w:t>
      </w:r>
      <w:r>
        <w:rPr>
          <w:sz w:val="24"/>
        </w:rPr>
        <w:t>；</w:t>
      </w:r>
    </w:p>
    <w:p>
      <w:pPr>
        <w:spacing w:before="93" w:line="312" w:lineRule="auto"/>
        <w:ind w:left="212" w:right="364" w:firstLine="480"/>
        <w:rPr>
          <w:sz w:val="24"/>
        </w:rPr>
      </w:pPr>
      <w:r>
        <w:rPr>
          <w:rFonts w:hint="eastAsia"/>
          <w:sz w:val="24"/>
        </w:rPr>
        <w:t>11、投标人需根据招标文件要求及有关建设规定对以下各点作出书面承诺（承诺书须加盖单位公章，未在投标文件中作出书面承诺的或书面承诺未盖公章或未按招标文件要求作出承诺的，视为不响应招标文件实质性内容，否决其投标）：</w:t>
      </w:r>
    </w:p>
    <w:p>
      <w:pPr>
        <w:spacing w:before="93" w:line="312" w:lineRule="auto"/>
        <w:ind w:left="212" w:right="364" w:firstLine="480"/>
        <w:rPr>
          <w:sz w:val="24"/>
        </w:rPr>
      </w:pPr>
      <w:r>
        <w:rPr>
          <w:rFonts w:hint="eastAsia"/>
          <w:sz w:val="24"/>
        </w:rPr>
        <w:t>A. 安全施工、安全责任方面、文明施工方面；</w:t>
      </w:r>
    </w:p>
    <w:p>
      <w:pPr>
        <w:spacing w:before="93" w:line="312" w:lineRule="auto"/>
        <w:ind w:left="212" w:right="364" w:firstLine="480"/>
        <w:rPr>
          <w:sz w:val="24"/>
        </w:rPr>
      </w:pPr>
      <w:r>
        <w:rPr>
          <w:rFonts w:hint="eastAsia"/>
          <w:sz w:val="24"/>
        </w:rPr>
        <w:t>B. 工程质量、工程进度方面；</w:t>
      </w:r>
    </w:p>
    <w:p>
      <w:pPr>
        <w:spacing w:before="93" w:line="312" w:lineRule="auto"/>
        <w:ind w:left="212" w:right="364" w:firstLine="480"/>
        <w:rPr>
          <w:sz w:val="24"/>
        </w:rPr>
      </w:pPr>
      <w:r>
        <w:rPr>
          <w:rFonts w:hint="eastAsia"/>
          <w:sz w:val="24"/>
        </w:rPr>
        <w:t>C. 投入本工程的技术人员和管理人员到位方面；</w:t>
      </w:r>
    </w:p>
    <w:p>
      <w:pPr>
        <w:spacing w:before="93" w:line="312" w:lineRule="auto"/>
        <w:ind w:left="212" w:right="364" w:firstLine="480"/>
        <w:rPr>
          <w:sz w:val="24"/>
        </w:rPr>
      </w:pPr>
      <w:r>
        <w:rPr>
          <w:rFonts w:hint="eastAsia"/>
          <w:sz w:val="24"/>
        </w:rPr>
        <w:t>D. 综合单价风险包干及招标文件关于投标报价的有关规定方面；</w:t>
      </w:r>
    </w:p>
    <w:p>
      <w:pPr>
        <w:spacing w:before="93" w:line="312" w:lineRule="auto"/>
        <w:ind w:left="212" w:right="364" w:firstLine="480"/>
        <w:rPr>
          <w:sz w:val="24"/>
        </w:rPr>
      </w:pPr>
      <w:r>
        <w:rPr>
          <w:rFonts w:hint="eastAsia"/>
          <w:sz w:val="24"/>
        </w:rPr>
        <w:t>E. 承诺实施完成本工程范围内的增加及变更工程，费用按照投标报价中的相应价格或经审定的价格完成；</w:t>
      </w:r>
    </w:p>
    <w:p>
      <w:pPr>
        <w:spacing w:before="93" w:line="312" w:lineRule="auto"/>
        <w:ind w:left="212" w:right="364" w:firstLine="480"/>
        <w:rPr>
          <w:sz w:val="24"/>
        </w:rPr>
      </w:pPr>
      <w:r>
        <w:rPr>
          <w:rFonts w:hint="eastAsia"/>
          <w:sz w:val="24"/>
        </w:rPr>
        <w:t>12、投标人未在投标文件中按招标文件要求作出诚信承诺或未在诚信承诺书加盖单位公章的；</w:t>
      </w:r>
    </w:p>
    <w:p>
      <w:pPr>
        <w:spacing w:before="93"/>
        <w:ind w:left="693"/>
        <w:rPr>
          <w:sz w:val="24"/>
        </w:rPr>
      </w:pPr>
      <w:r>
        <w:rPr>
          <w:sz w:val="24"/>
        </w:rPr>
        <w:t>1</w:t>
      </w:r>
      <w:r>
        <w:rPr>
          <w:rFonts w:hint="eastAsia"/>
          <w:sz w:val="24"/>
        </w:rPr>
        <w:t>3</w:t>
      </w:r>
      <w:r>
        <w:rPr>
          <w:sz w:val="24"/>
        </w:rPr>
        <w:t>、不按招标文件要求提交投标保证金的。</w:t>
      </w:r>
    </w:p>
    <w:p>
      <w:pPr>
        <w:spacing w:before="92"/>
        <w:ind w:left="693"/>
        <w:rPr>
          <w:sz w:val="24"/>
        </w:rPr>
      </w:pPr>
      <w:r>
        <w:rPr>
          <w:sz w:val="24"/>
        </w:rPr>
        <w:t>1</w:t>
      </w:r>
      <w:r>
        <w:rPr>
          <w:rFonts w:hint="eastAsia"/>
          <w:sz w:val="24"/>
        </w:rPr>
        <w:t>4</w:t>
      </w:r>
      <w:r>
        <w:rPr>
          <w:sz w:val="24"/>
        </w:rPr>
        <w:t>、投标文件未按招标文件要求进行签名或签章的；</w:t>
      </w:r>
    </w:p>
    <w:p>
      <w:pPr>
        <w:spacing w:before="93"/>
        <w:ind w:left="693"/>
        <w:rPr>
          <w:sz w:val="24"/>
        </w:rPr>
      </w:pPr>
      <w:r>
        <w:rPr>
          <w:sz w:val="24"/>
        </w:rPr>
        <w:t>1</w:t>
      </w:r>
      <w:r>
        <w:rPr>
          <w:rFonts w:hint="eastAsia"/>
          <w:sz w:val="24"/>
        </w:rPr>
        <w:t>5</w:t>
      </w:r>
      <w:r>
        <w:rPr>
          <w:sz w:val="24"/>
        </w:rPr>
        <w:t>、投标文件中投标人签名或签章不完整的；</w:t>
      </w:r>
    </w:p>
    <w:p>
      <w:pPr>
        <w:spacing w:before="93"/>
        <w:ind w:left="693"/>
        <w:rPr>
          <w:sz w:val="24"/>
        </w:rPr>
      </w:pPr>
      <w:r>
        <w:rPr>
          <w:sz w:val="24"/>
        </w:rPr>
        <w:t>1</w:t>
      </w:r>
      <w:r>
        <w:rPr>
          <w:rFonts w:hint="eastAsia"/>
          <w:sz w:val="24"/>
        </w:rPr>
        <w:t>6</w:t>
      </w:r>
      <w:r>
        <w:rPr>
          <w:sz w:val="24"/>
        </w:rPr>
        <w:t>、法律、法规、规章规定的其他情形。</w:t>
      </w:r>
    </w:p>
    <w:p>
      <w:pPr>
        <w:rPr>
          <w:sz w:val="24"/>
        </w:rPr>
        <w:sectPr>
          <w:pgSz w:w="11910" w:h="16840"/>
          <w:pgMar w:top="1440" w:right="580" w:bottom="1220" w:left="920" w:header="0" w:footer="950" w:gutter="0"/>
          <w:cols w:space="720" w:num="1"/>
        </w:sect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9"/>
        <w:rPr>
          <w:sz w:val="20"/>
        </w:rPr>
      </w:pPr>
    </w:p>
    <w:p>
      <w:pPr>
        <w:pStyle w:val="2"/>
      </w:pPr>
      <w:bookmarkStart w:id="2" w:name="_bookmark2"/>
      <w:bookmarkEnd w:id="2"/>
      <w:bookmarkStart w:id="3" w:name="_Toc37926010"/>
      <w:r>
        <w:t>第一卷</w:t>
      </w:r>
      <w:bookmarkEnd w:id="3"/>
    </w:p>
    <w:p>
      <w:pPr>
        <w:sectPr>
          <w:pgSz w:w="11910" w:h="16840"/>
          <w:pgMar w:top="1580" w:right="580" w:bottom="1220" w:left="920" w:header="0" w:footer="950" w:gutter="0"/>
          <w:cols w:space="720" w:num="1"/>
        </w:sectPr>
      </w:pPr>
    </w:p>
    <w:p>
      <w:pPr>
        <w:pStyle w:val="2"/>
        <w:spacing w:before="10"/>
      </w:pPr>
      <w:bookmarkStart w:id="4" w:name="_bookmark3"/>
      <w:bookmarkEnd w:id="4"/>
      <w:bookmarkStart w:id="5" w:name="_Toc37926011"/>
      <w:r>
        <w:t>第一章 招标公告</w:t>
      </w:r>
      <w:bookmarkEnd w:id="5"/>
      <w:r>
        <w:rPr>
          <w:rFonts w:hint="eastAsia"/>
        </w:rPr>
        <w:t>（适用于公开招标）</w:t>
      </w:r>
    </w:p>
    <w:p/>
    <w:p>
      <w:pPr>
        <w:ind w:right="338"/>
        <w:jc w:val="center"/>
        <w:rPr>
          <w:rFonts w:ascii="黑体" w:eastAsia="黑体"/>
          <w:sz w:val="28"/>
        </w:rPr>
      </w:pPr>
      <w:r>
        <w:rPr>
          <w:rFonts w:ascii="Times New Roman" w:eastAsia="Times New Roman"/>
          <w:sz w:val="28"/>
          <w:u w:val="single"/>
        </w:rPr>
        <w:t xml:space="preserve">  </w:t>
      </w:r>
      <w:r>
        <w:rPr>
          <w:rFonts w:hint="eastAsia" w:ascii="黑体" w:eastAsia="黑体"/>
          <w:sz w:val="28"/>
          <w:u w:val="single"/>
        </w:rPr>
        <w:t>广东省江门市气象局上川岛国家天气雷达项目设计施工总承包</w:t>
      </w:r>
      <w:r>
        <w:rPr>
          <w:rFonts w:hint="eastAsia" w:ascii="黑体" w:eastAsia="黑体"/>
          <w:sz w:val="28"/>
        </w:rPr>
        <w:t>招标公告</w:t>
      </w:r>
    </w:p>
    <w:p>
      <w:pPr>
        <w:pStyle w:val="10"/>
        <w:spacing w:before="11"/>
        <w:rPr>
          <w:rFonts w:ascii="黑体"/>
          <w:sz w:val="15"/>
        </w:rPr>
      </w:pPr>
    </w:p>
    <w:p>
      <w:pPr>
        <w:pStyle w:val="4"/>
        <w:numPr>
          <w:ilvl w:val="0"/>
          <w:numId w:val="1"/>
        </w:numPr>
        <w:tabs>
          <w:tab w:val="left" w:pos="588"/>
        </w:tabs>
        <w:ind w:hanging="376"/>
      </w:pPr>
      <w:bookmarkStart w:id="6" w:name="_bookmark4"/>
      <w:bookmarkEnd w:id="6"/>
      <w:bookmarkStart w:id="7" w:name="_Toc37926012"/>
      <w:r>
        <w:rPr>
          <w:w w:val="95"/>
        </w:rPr>
        <w:t>招标条件</w:t>
      </w:r>
      <w:bookmarkEnd w:id="7"/>
    </w:p>
    <w:p>
      <w:pPr>
        <w:pStyle w:val="10"/>
        <w:spacing w:before="10"/>
        <w:rPr>
          <w:rFonts w:ascii="黑体"/>
          <w:b/>
          <w:sz w:val="25"/>
        </w:rPr>
      </w:pPr>
    </w:p>
    <w:p>
      <w:pPr>
        <w:pStyle w:val="10"/>
        <w:spacing w:line="321" w:lineRule="auto"/>
        <w:ind w:left="212" w:right="443" w:firstLine="422"/>
        <w:rPr>
          <w:spacing w:val="-12"/>
        </w:rPr>
      </w:pPr>
      <w:r>
        <w:rPr>
          <w:spacing w:val="-3"/>
        </w:rPr>
        <w:t>本招标项目</w:t>
      </w:r>
      <w:r>
        <w:rPr>
          <w:spacing w:val="-3"/>
          <w:u w:val="single"/>
        </w:rPr>
        <w:t xml:space="preserve"> 广东省江门市气象局上川岛国家天气雷达项目设计施工总承包</w:t>
      </w:r>
      <w:r>
        <w:rPr>
          <w:rFonts w:hint="eastAsia"/>
          <w:spacing w:val="-3"/>
          <w:u w:val="single"/>
        </w:rPr>
        <w:t xml:space="preserve"> </w:t>
      </w:r>
      <w:r>
        <w:rPr>
          <w:spacing w:val="-2"/>
        </w:rPr>
        <w:t>已由</w:t>
      </w:r>
      <w:r>
        <w:rPr>
          <w:rFonts w:hint="eastAsia"/>
          <w:spacing w:val="-3"/>
          <w:u w:val="single"/>
        </w:rPr>
        <w:t>中国气象</w:t>
      </w:r>
      <w:r>
        <w:rPr>
          <w:spacing w:val="-3"/>
          <w:u w:val="single"/>
        </w:rPr>
        <w:t>局</w:t>
      </w:r>
      <w:r>
        <w:rPr>
          <w:rFonts w:hint="eastAsia"/>
          <w:spacing w:val="-3"/>
          <w:u w:val="single"/>
        </w:rPr>
        <w:t xml:space="preserve"> </w:t>
      </w:r>
      <w:r>
        <w:t>以</w:t>
      </w:r>
      <w:r>
        <w:rPr>
          <w:rFonts w:hint="eastAsia"/>
          <w:spacing w:val="-3"/>
          <w:u w:val="single"/>
        </w:rPr>
        <w:t>中气函</w:t>
      </w:r>
      <w:r>
        <w:rPr>
          <w:spacing w:val="-3"/>
          <w:u w:val="single"/>
        </w:rPr>
        <w:t>〔</w:t>
      </w:r>
      <w:r>
        <w:rPr>
          <w:rFonts w:ascii="Times New Roman" w:eastAsia="Times New Roman"/>
          <w:u w:val="single"/>
        </w:rPr>
        <w:t>20</w:t>
      </w:r>
      <w:r>
        <w:rPr>
          <w:rFonts w:hint="eastAsia" w:ascii="Times New Roman" w:eastAsiaTheme="minorEastAsia"/>
          <w:u w:val="single"/>
        </w:rPr>
        <w:t>19</w:t>
      </w:r>
      <w:r>
        <w:rPr>
          <w:spacing w:val="-3"/>
          <w:u w:val="single"/>
        </w:rPr>
        <w:t>〕</w:t>
      </w:r>
      <w:r>
        <w:rPr>
          <w:rFonts w:hint="eastAsia"/>
          <w:spacing w:val="-3"/>
          <w:u w:val="single"/>
        </w:rPr>
        <w:t>210</w:t>
      </w:r>
      <w:r>
        <w:rPr>
          <w:rFonts w:ascii="Times New Roman" w:eastAsia="Times New Roman"/>
          <w:spacing w:val="40"/>
          <w:u w:val="single"/>
        </w:rPr>
        <w:t xml:space="preserve"> </w:t>
      </w:r>
      <w:r>
        <w:rPr>
          <w:u w:val="single"/>
        </w:rPr>
        <w:t>号</w:t>
      </w:r>
      <w:r>
        <w:rPr>
          <w:spacing w:val="-3"/>
        </w:rPr>
        <w:t>批准建</w:t>
      </w:r>
      <w:r>
        <w:rPr>
          <w:spacing w:val="-2"/>
        </w:rPr>
        <w:t>设，投资项目统一代码为</w:t>
      </w:r>
      <w:r>
        <w:rPr>
          <w:rFonts w:hint="eastAsia" w:ascii="Times New Roman" w:eastAsiaTheme="minorEastAsia"/>
          <w:u w:val="single"/>
        </w:rPr>
        <w:t xml:space="preserve">    </w:t>
      </w:r>
      <w:r>
        <w:rPr>
          <w:u w:val="single"/>
        </w:rPr>
        <w:t>2019-440700-74-01-019216</w:t>
      </w:r>
      <w:r>
        <w:rPr>
          <w:rFonts w:hint="eastAsia"/>
          <w:u w:val="single"/>
        </w:rPr>
        <w:t xml:space="preserve"> </w:t>
      </w:r>
      <w:r>
        <w:rPr>
          <w:rFonts w:hint="eastAsia" w:ascii="Times New Roman" w:eastAsiaTheme="minorEastAsia"/>
          <w:u w:val="single"/>
        </w:rPr>
        <w:t xml:space="preserve">      </w:t>
      </w:r>
      <w:r>
        <w:rPr>
          <w:spacing w:val="-1"/>
        </w:rPr>
        <w:t>，招标人</w:t>
      </w:r>
      <w:r>
        <w:t>（</w:t>
      </w:r>
      <w:r>
        <w:rPr>
          <w:spacing w:val="-2"/>
        </w:rPr>
        <w:t>项目业主</w:t>
      </w:r>
      <w:r>
        <w:rPr>
          <w:spacing w:val="-3"/>
        </w:rPr>
        <w:t>）为</w:t>
      </w:r>
      <w:r>
        <w:rPr>
          <w:rFonts w:hint="eastAsia"/>
          <w:spacing w:val="-1"/>
          <w:u w:val="single"/>
        </w:rPr>
        <w:t>广东省江门市气象局</w:t>
      </w:r>
      <w:r>
        <w:rPr>
          <w:spacing w:val="-3"/>
        </w:rPr>
        <w:t>，建设资金来自</w:t>
      </w:r>
      <w:r>
        <w:rPr>
          <w:rFonts w:hint="eastAsia"/>
          <w:spacing w:val="-3"/>
          <w:u w:val="single"/>
        </w:rPr>
        <w:t xml:space="preserve">  财政资金     </w:t>
      </w:r>
      <w:r>
        <w:rPr>
          <w:spacing w:val="-10"/>
        </w:rPr>
        <w:t>，项目出资比例为</w:t>
      </w:r>
      <w:r>
        <w:rPr>
          <w:spacing w:val="27"/>
          <w:u w:val="single"/>
        </w:rPr>
        <w:t xml:space="preserve"> </w:t>
      </w:r>
      <w:r>
        <w:rPr>
          <w:rFonts w:ascii="Times New Roman" w:eastAsia="Times New Roman"/>
          <w:u w:val="single"/>
        </w:rPr>
        <w:t>100%</w:t>
      </w:r>
      <w:r>
        <w:rPr>
          <w:rFonts w:ascii="Times New Roman" w:eastAsia="Times New Roman"/>
          <w:spacing w:val="26"/>
          <w:u w:val="single"/>
        </w:rPr>
        <w:t xml:space="preserve"> </w:t>
      </w:r>
      <w:r>
        <w:rPr>
          <w:spacing w:val="-12"/>
        </w:rPr>
        <w:t>。项目已具备招标条件，</w:t>
      </w:r>
      <w:r>
        <w:rPr>
          <w:rFonts w:hint="eastAsia"/>
        </w:rPr>
        <w:t>现对该项目的施工进行公开招标。</w:t>
      </w:r>
    </w:p>
    <w:p>
      <w:pPr>
        <w:pStyle w:val="4"/>
        <w:numPr>
          <w:ilvl w:val="0"/>
          <w:numId w:val="1"/>
        </w:numPr>
        <w:tabs>
          <w:tab w:val="left" w:pos="588"/>
        </w:tabs>
        <w:ind w:hanging="376"/>
      </w:pPr>
      <w:bookmarkStart w:id="8" w:name="_bookmark5"/>
      <w:bookmarkEnd w:id="8"/>
      <w:bookmarkStart w:id="9" w:name="_Toc37926013"/>
      <w:r>
        <w:t>项目概况与招标范围</w:t>
      </w:r>
      <w:bookmarkEnd w:id="9"/>
    </w:p>
    <w:p>
      <w:pPr>
        <w:pStyle w:val="10"/>
        <w:rPr>
          <w:rFonts w:ascii="黑体"/>
          <w:b/>
          <w:sz w:val="26"/>
        </w:rPr>
      </w:pPr>
    </w:p>
    <w:p>
      <w:pPr>
        <w:pStyle w:val="10"/>
        <w:ind w:left="563" w:leftChars="207" w:hanging="108" w:hangingChars="51"/>
        <w:jc w:val="both"/>
        <w:rPr>
          <w:color w:val="FF0000"/>
        </w:rPr>
      </w:pPr>
      <w:r>
        <w:rPr>
          <w:b/>
        </w:rPr>
        <w:t>建设规模</w:t>
      </w:r>
      <w:r>
        <w:t>：</w:t>
      </w:r>
      <w:r>
        <w:rPr>
          <w:rFonts w:hint="eastAsia"/>
          <w:color w:val="FF0000"/>
        </w:rPr>
        <w:t>①雷达塔楼及配套的基础设施主要包括：新建雷达塔楼、值班用房、道路、</w:t>
      </w:r>
      <w:r>
        <w:rPr>
          <w:rFonts w:hint="eastAsia"/>
          <w:color w:val="FF0000"/>
          <w:highlight w:val="yellow"/>
        </w:rPr>
        <w:t>土墙、护坡、大门、</w:t>
      </w:r>
      <w:r>
        <w:rPr>
          <w:rFonts w:hint="eastAsia"/>
          <w:color w:val="FF0000"/>
        </w:rPr>
        <w:t>电梯、等配套基础设施（土建工程总建筑面积约1600平方米），重点按照雷达探测环境和气象观测探测环境保护要求的规定，对雷达站所在园区进行整体规划和布局，完成相应的</w:t>
      </w:r>
      <w:r>
        <w:rPr>
          <w:rFonts w:hint="eastAsia"/>
          <w:color w:val="FF0000"/>
          <w:highlight w:val="yellow"/>
        </w:rPr>
        <w:t>供水接入（上水）</w:t>
      </w:r>
      <w:r>
        <w:rPr>
          <w:rFonts w:hint="eastAsia"/>
          <w:color w:val="FF0000"/>
        </w:rPr>
        <w:t>、污水排放（下水）、供电、照明（雷达站上山道路至雷达塔楼）、道路建设、通信光缆接入、庭院场地平整与“三化”（硬化、美化、绿化）等建设，为雷达运行提供基础保障；</w:t>
      </w:r>
    </w:p>
    <w:p>
      <w:pPr>
        <w:pStyle w:val="10"/>
        <w:ind w:left="707" w:leftChars="192" w:hanging="285" w:hangingChars="136"/>
        <w:jc w:val="both"/>
        <w:rPr>
          <w:color w:val="FF0000"/>
        </w:rPr>
      </w:pPr>
      <w:r>
        <w:rPr>
          <w:rFonts w:hint="eastAsia"/>
          <w:color w:val="FF0000"/>
        </w:rPr>
        <w:t>②雷达信息接收处理中心配套设施建设：处理中心外墙翻新、玻璃窗更换、门口改造、大堂改造、</w:t>
      </w:r>
      <w:r>
        <w:rPr>
          <w:rFonts w:hint="eastAsia"/>
          <w:color w:val="FF0000"/>
          <w:highlight w:val="yellow"/>
        </w:rPr>
        <w:t>新业务用房门口广场改造、</w:t>
      </w:r>
      <w:r>
        <w:rPr>
          <w:rFonts w:hint="eastAsia"/>
          <w:color w:val="FF0000"/>
        </w:rPr>
        <w:t>机房场地环境改造、电梯和配置雷达数据存储资源池，配套道路、供水、供电、通信、防雷及绿化等基础设施。</w:t>
      </w:r>
    </w:p>
    <w:p>
      <w:pPr>
        <w:pStyle w:val="10"/>
        <w:ind w:firstLine="410" w:firstLineChars="200"/>
        <w:jc w:val="both"/>
        <w:rPr>
          <w:color w:val="FF0000"/>
          <w:spacing w:val="-9"/>
        </w:rPr>
      </w:pPr>
      <w:r>
        <w:rPr>
          <w:b/>
          <w:spacing w:val="-3"/>
        </w:rPr>
        <w:t>项目</w:t>
      </w:r>
      <w:r>
        <w:rPr>
          <w:rFonts w:hint="eastAsia"/>
          <w:b/>
          <w:spacing w:val="-3"/>
        </w:rPr>
        <w:t>估算最高限价</w:t>
      </w:r>
      <w:r>
        <w:rPr>
          <w:spacing w:val="-3"/>
        </w:rPr>
        <w:t>：</w:t>
      </w:r>
      <w:r>
        <w:rPr>
          <w:rFonts w:hint="eastAsia" w:ascii="Times New Roman" w:eastAsiaTheme="minorEastAsia"/>
        </w:rPr>
        <w:t xml:space="preserve">2100 </w:t>
      </w:r>
      <w:r>
        <w:rPr>
          <w:spacing w:val="-9"/>
        </w:rPr>
        <w:t>万元</w:t>
      </w:r>
      <w:r>
        <w:rPr>
          <w:rFonts w:hint="eastAsia"/>
        </w:rPr>
        <w:t>（包含</w:t>
      </w:r>
      <w:r>
        <w:t>工程建安费、工程设计费</w:t>
      </w:r>
      <w:r>
        <w:rPr>
          <w:rFonts w:hint="eastAsia"/>
        </w:rPr>
        <w:t>，</w:t>
      </w:r>
      <w:r>
        <w:t>投标报价不得超过招标控制价</w:t>
      </w:r>
      <w:r>
        <w:rPr>
          <w:rFonts w:hint="eastAsia"/>
        </w:rPr>
        <w:t>，绿色施工安全防护措施费、暂列金额及暂估价包含在招标控制价内，投标总价也必须包含该部分费用</w:t>
      </w:r>
      <w:r>
        <w:t>）</w:t>
      </w:r>
      <w:r>
        <w:rPr>
          <w:spacing w:val="-2"/>
        </w:rPr>
        <w:t>。</w:t>
      </w:r>
    </w:p>
    <w:p>
      <w:pPr>
        <w:pStyle w:val="10"/>
        <w:spacing w:line="268" w:lineRule="exact"/>
        <w:ind w:firstLine="422" w:firstLineChars="200"/>
        <w:jc w:val="both"/>
      </w:pPr>
      <w:r>
        <w:rPr>
          <w:b/>
        </w:rPr>
        <w:t>总工期</w:t>
      </w:r>
      <w:r>
        <w:t>：</w:t>
      </w:r>
      <w:r>
        <w:rPr>
          <w:rFonts w:hint="eastAsia" w:ascii="Times New Roman" w:eastAsiaTheme="minorEastAsia"/>
        </w:rPr>
        <w:t>365</w:t>
      </w:r>
      <w:r>
        <w:rPr>
          <w:rFonts w:ascii="Times New Roman" w:eastAsia="Times New Roman"/>
        </w:rPr>
        <w:t xml:space="preserve"> </w:t>
      </w:r>
      <w:r>
        <w:t>日历天</w:t>
      </w:r>
      <w:r>
        <w:rPr>
          <w:rFonts w:hint="eastAsia"/>
        </w:rPr>
        <w:t>，（含施工图设计、施工报建、施工、竣工验收时间等）</w:t>
      </w:r>
    </w:p>
    <w:p>
      <w:pPr>
        <w:pStyle w:val="10"/>
        <w:spacing w:before="91" w:line="321" w:lineRule="auto"/>
        <w:ind w:left="211" w:leftChars="96" w:right="546" w:firstLine="197" w:firstLineChars="98"/>
        <w:jc w:val="both"/>
      </w:pPr>
      <w:r>
        <w:rPr>
          <w:b/>
          <w:spacing w:val="-5"/>
        </w:rPr>
        <w:t>招标范围</w:t>
      </w:r>
      <w:r>
        <w:rPr>
          <w:spacing w:val="-5"/>
        </w:rPr>
        <w:t>：可行性研究报告内包括但不限于以下内容：</w:t>
      </w:r>
      <w:r>
        <w:t>①设计工作包含：</w:t>
      </w:r>
      <w:r>
        <w:rPr>
          <w:spacing w:val="-5"/>
        </w:rPr>
        <w:t>完成本项目的设计</w:t>
      </w:r>
      <w:r>
        <w:rPr>
          <w:spacing w:val="-3"/>
        </w:rPr>
        <w:t>（</w:t>
      </w:r>
      <w:r>
        <w:rPr>
          <w:spacing w:val="-4"/>
        </w:rPr>
        <w:t>包括方案设计</w:t>
      </w:r>
      <w:r>
        <w:rPr>
          <w:rFonts w:hint="eastAsia"/>
          <w:spacing w:val="-4"/>
        </w:rPr>
        <w:t>和工程估算编制</w:t>
      </w:r>
      <w:r>
        <w:rPr>
          <w:spacing w:val="-4"/>
        </w:rPr>
        <w:t>、</w:t>
      </w:r>
      <w:r>
        <w:rPr>
          <w:rFonts w:hint="eastAsia"/>
          <w:spacing w:val="-4"/>
        </w:rPr>
        <w:t>初步设计、</w:t>
      </w:r>
      <w:r>
        <w:rPr>
          <w:spacing w:val="-4"/>
        </w:rPr>
        <w:t>设计概算、施工图设计、施工图预算编制、竣工图编制、</w:t>
      </w:r>
      <w:r>
        <w:rPr>
          <w:rFonts w:hint="eastAsia"/>
          <w:spacing w:val="-4"/>
          <w:highlight w:val="yellow"/>
        </w:rPr>
        <w:t>结算编制</w:t>
      </w:r>
      <w:r>
        <w:rPr>
          <w:rFonts w:hint="eastAsia"/>
          <w:spacing w:val="-4"/>
        </w:rPr>
        <w:t>、</w:t>
      </w:r>
      <w:r>
        <w:rPr>
          <w:spacing w:val="-4"/>
        </w:rPr>
        <w:t>施工配合、现场服务等相关服务</w:t>
      </w:r>
      <w:r>
        <w:rPr>
          <w:spacing w:val="-106"/>
        </w:rPr>
        <w:t>）</w:t>
      </w:r>
      <w:r>
        <w:rPr>
          <w:rFonts w:hint="eastAsia"/>
        </w:rPr>
        <w:t>；</w:t>
      </w:r>
      <w:r>
        <w:t>②施工工作包含：包括但不限于土建工程、装修部分（工程施工范围包括工程图纸设计范围内的所有工程内容</w:t>
      </w:r>
      <w:r>
        <w:rPr>
          <w:spacing w:val="-104"/>
        </w:rPr>
        <w:t>）</w:t>
      </w:r>
      <w:r>
        <w:t>、工程竣工验收合格，工程保修期内的缺陷修复和保修</w:t>
      </w:r>
      <w:r>
        <w:rPr>
          <w:spacing w:val="-3"/>
        </w:rPr>
        <w:t>等工作。</w:t>
      </w:r>
    </w:p>
    <w:p>
      <w:pPr>
        <w:pStyle w:val="10"/>
        <w:spacing w:line="321" w:lineRule="auto"/>
        <w:ind w:right="6197" w:firstLine="422" w:firstLineChars="200"/>
      </w:pPr>
      <w:r>
        <w:rPr>
          <w:b/>
        </w:rPr>
        <w:t>标段划分</w:t>
      </w:r>
      <w:r>
        <w:t>：标段</w:t>
      </w:r>
      <w:r>
        <w:rPr>
          <w:rFonts w:hint="eastAsia"/>
        </w:rPr>
        <w:t>1</w:t>
      </w:r>
    </w:p>
    <w:p>
      <w:pPr>
        <w:pStyle w:val="10"/>
        <w:spacing w:line="321" w:lineRule="auto"/>
        <w:ind w:right="6197" w:firstLine="422" w:firstLineChars="200"/>
        <w:rPr>
          <w:b/>
        </w:rPr>
      </w:pPr>
      <w:r>
        <w:rPr>
          <w:rFonts w:hint="eastAsia"/>
          <w:b/>
        </w:rPr>
        <w:t>标段编号：</w:t>
      </w:r>
      <w:r>
        <w:rPr>
          <w:rFonts w:ascii="Times New Roman" w:hAnsi="Times New Roman" w:cs="Times New Roman"/>
          <w:szCs w:val="24"/>
        </w:rPr>
        <w:t>JM201074</w:t>
      </w:r>
    </w:p>
    <w:p>
      <w:pPr>
        <w:spacing w:line="360" w:lineRule="auto"/>
        <w:ind w:firstLine="442" w:firstLineChars="200"/>
      </w:pPr>
      <w:r>
        <w:rPr>
          <w:rFonts w:hint="eastAsia"/>
          <w:b/>
        </w:rPr>
        <w:t>招标方式</w:t>
      </w:r>
      <w:r>
        <w:rPr>
          <w:rFonts w:hint="eastAsia"/>
        </w:rPr>
        <w:t>：公开招标；</w:t>
      </w:r>
    </w:p>
    <w:p>
      <w:pPr>
        <w:spacing w:line="360" w:lineRule="auto"/>
        <w:ind w:firstLine="442" w:firstLineChars="200"/>
      </w:pPr>
      <w:r>
        <w:rPr>
          <w:rFonts w:hint="eastAsia"/>
          <w:b/>
        </w:rPr>
        <w:t>建设地点</w:t>
      </w:r>
      <w:r>
        <w:rPr>
          <w:rFonts w:hint="eastAsia"/>
        </w:rPr>
        <w:t>：①本项目雷达塔楼及值班用房配套设施建设地点在江门台山市上川岛；</w:t>
      </w:r>
    </w:p>
    <w:p>
      <w:pPr>
        <w:spacing w:line="360" w:lineRule="auto"/>
        <w:ind w:firstLine="1540" w:firstLineChars="700"/>
      </w:pPr>
      <w:r>
        <w:rPr>
          <w:rFonts w:hint="eastAsia"/>
        </w:rPr>
        <w:t>②本项目雷达信息接收处理中心及配套设施建设地点在江门市蓬江区。</w:t>
      </w:r>
    </w:p>
    <w:p>
      <w:pPr>
        <w:pStyle w:val="10"/>
        <w:spacing w:before="89" w:line="321" w:lineRule="auto"/>
        <w:ind w:left="211" w:leftChars="96" w:right="546" w:firstLine="175" w:firstLineChars="100"/>
        <w:jc w:val="both"/>
        <w:rPr>
          <w:spacing w:val="-3"/>
        </w:rPr>
      </w:pPr>
      <w:r>
        <w:rPr>
          <w:b/>
          <w:spacing w:val="-18"/>
        </w:rPr>
        <w:t>工程质量要求</w:t>
      </w:r>
      <w:r>
        <w:rPr>
          <w:spacing w:val="-18"/>
        </w:rPr>
        <w:t>：</w:t>
      </w:r>
      <w:r>
        <w:t>（</w:t>
      </w:r>
      <w:r>
        <w:rPr>
          <w:rFonts w:ascii="Times New Roman" w:eastAsia="Times New Roman"/>
          <w:spacing w:val="-3"/>
        </w:rPr>
        <w:t>1</w:t>
      </w:r>
      <w:r>
        <w:rPr>
          <w:spacing w:val="-8"/>
        </w:rPr>
        <w:t>）</w:t>
      </w:r>
      <w:r>
        <w:rPr>
          <w:spacing w:val="-5"/>
        </w:rPr>
        <w:t>设计质量要求：按国家、省或行业现行的工程设计准则和相关规范要求，满足招标人的功能需</w:t>
      </w:r>
      <w:r>
        <w:rPr>
          <w:spacing w:val="-9"/>
        </w:rPr>
        <w:t>求，并通过招标人及有关部门或专业机构的审查。</w:t>
      </w:r>
      <w:r>
        <w:t>（</w:t>
      </w:r>
      <w:r>
        <w:rPr>
          <w:rFonts w:hint="eastAsia" w:ascii="Times New Roman" w:eastAsiaTheme="minorEastAsia"/>
        </w:rPr>
        <w:t>2</w:t>
      </w:r>
      <w:r>
        <w:t>）</w:t>
      </w:r>
      <w:r>
        <w:rPr>
          <w:spacing w:val="-3"/>
        </w:rPr>
        <w:t>施工质量要求：合格。</w:t>
      </w:r>
    </w:p>
    <w:p>
      <w:pPr>
        <w:pStyle w:val="10"/>
        <w:spacing w:before="89" w:line="321" w:lineRule="auto"/>
        <w:ind w:left="211" w:leftChars="96" w:right="546" w:firstLine="210" w:firstLineChars="100"/>
        <w:jc w:val="both"/>
        <w:rPr>
          <w:spacing w:val="-3"/>
        </w:rPr>
      </w:pPr>
      <w:r>
        <w:rPr>
          <w:rFonts w:hint="eastAsia"/>
        </w:rPr>
        <w:t>（说明本招标项目的建设地点、规模、合同估算价、计划工期、招标范围、标段划分（如果有）等）</w:t>
      </w:r>
    </w:p>
    <w:p>
      <w:pPr>
        <w:pStyle w:val="10"/>
        <w:spacing w:line="321" w:lineRule="auto"/>
        <w:ind w:right="6197" w:firstLine="422" w:firstLineChars="200"/>
      </w:pPr>
      <w:r>
        <w:rPr>
          <w:rFonts w:hint="eastAsia"/>
          <w:b/>
        </w:rPr>
        <w:t>本次</w:t>
      </w:r>
      <w:r>
        <w:rPr>
          <w:b/>
        </w:rPr>
        <w:t>招标内容</w:t>
      </w:r>
      <w:r>
        <w:t>：设计、施工总承包。</w:t>
      </w:r>
    </w:p>
    <w:p>
      <w:pPr>
        <w:pStyle w:val="4"/>
        <w:numPr>
          <w:ilvl w:val="0"/>
          <w:numId w:val="1"/>
        </w:numPr>
        <w:tabs>
          <w:tab w:val="left" w:pos="588"/>
        </w:tabs>
        <w:spacing w:before="187"/>
        <w:ind w:hanging="376"/>
      </w:pPr>
      <w:bookmarkStart w:id="10" w:name="_bookmark6"/>
      <w:bookmarkEnd w:id="10"/>
      <w:bookmarkStart w:id="11" w:name="_Toc37926014"/>
      <w:r>
        <w:t>投标人资格要求</w:t>
      </w:r>
      <w:bookmarkEnd w:id="11"/>
    </w:p>
    <w:p>
      <w:pPr>
        <w:pStyle w:val="10"/>
        <w:spacing w:before="8"/>
        <w:rPr>
          <w:rFonts w:ascii="黑体"/>
          <w:b/>
          <w:sz w:val="24"/>
        </w:rPr>
      </w:pPr>
    </w:p>
    <w:p>
      <w:pPr>
        <w:pStyle w:val="35"/>
        <w:numPr>
          <w:ilvl w:val="1"/>
          <w:numId w:val="1"/>
        </w:numPr>
        <w:tabs>
          <w:tab w:val="left" w:pos="1003"/>
        </w:tabs>
        <w:spacing w:before="1" w:line="302" w:lineRule="auto"/>
        <w:ind w:right="443" w:firstLine="420"/>
        <w:jc w:val="both"/>
        <w:rPr>
          <w:rFonts w:ascii="Times New Roman" w:eastAsia="Times New Roman"/>
          <w:sz w:val="21"/>
        </w:rPr>
      </w:pPr>
      <w:r>
        <w:rPr>
          <w:spacing w:val="-3"/>
          <w:sz w:val="21"/>
        </w:rPr>
        <w:t>本次招标</w:t>
      </w:r>
      <w:r>
        <w:rPr>
          <w:spacing w:val="-7"/>
          <w:sz w:val="21"/>
          <w:u w:val="single"/>
        </w:rPr>
        <w:t xml:space="preserve"> 广东省江门市气象局上川岛国家天气雷达项目设计施工总承包</w:t>
      </w:r>
      <w:r>
        <w:rPr>
          <w:spacing w:val="-3"/>
          <w:sz w:val="21"/>
        </w:rPr>
        <w:t>要求投标人须具备</w:t>
      </w:r>
      <w:r>
        <w:rPr>
          <w:spacing w:val="-3"/>
          <w:sz w:val="21"/>
          <w:u w:val="single"/>
        </w:rPr>
        <w:t>建筑工程施工总承包三级及以上资质</w:t>
      </w:r>
      <w:r>
        <w:rPr>
          <w:spacing w:val="-15"/>
          <w:sz w:val="21"/>
        </w:rPr>
        <w:t>。</w:t>
      </w:r>
      <w:r>
        <w:rPr>
          <w:spacing w:val="14"/>
          <w:sz w:val="21"/>
          <w:u w:val="single"/>
        </w:rPr>
        <w:t xml:space="preserve"> </w:t>
      </w:r>
      <w:r>
        <w:rPr>
          <w:rFonts w:ascii="Times New Roman" w:eastAsia="Times New Roman"/>
          <w:sz w:val="21"/>
          <w:u w:val="single"/>
        </w:rPr>
        <w:t>/</w:t>
      </w:r>
      <w:r>
        <w:rPr>
          <w:rFonts w:ascii="Times New Roman" w:eastAsia="Times New Roman"/>
          <w:spacing w:val="1"/>
          <w:sz w:val="21"/>
        </w:rPr>
        <w:t xml:space="preserve"> </w:t>
      </w:r>
      <w:r>
        <w:rPr>
          <w:sz w:val="21"/>
        </w:rPr>
        <w:t>（</w:t>
      </w:r>
      <w:r>
        <w:rPr>
          <w:spacing w:val="-2"/>
          <w:sz w:val="21"/>
        </w:rPr>
        <w:t>类似项目描述</w:t>
      </w:r>
      <w:r>
        <w:rPr>
          <w:spacing w:val="-17"/>
          <w:sz w:val="21"/>
        </w:rPr>
        <w:t>）</w:t>
      </w:r>
      <w:r>
        <w:rPr>
          <w:spacing w:val="-7"/>
          <w:sz w:val="21"/>
        </w:rPr>
        <w:t>业绩，并在人员、设备、资金等方</w:t>
      </w:r>
      <w:r>
        <w:rPr>
          <w:spacing w:val="-13"/>
          <w:sz w:val="21"/>
        </w:rPr>
        <w:t>面具有相应的能力。其中，投标人拟派项目经理</w:t>
      </w:r>
      <w:r>
        <w:rPr>
          <w:rFonts w:hint="eastAsia"/>
          <w:spacing w:val="-13"/>
          <w:sz w:val="21"/>
        </w:rPr>
        <w:t>且</w:t>
      </w:r>
      <w:r>
        <w:rPr>
          <w:spacing w:val="-13"/>
          <w:sz w:val="21"/>
        </w:rPr>
        <w:t>须具备</w:t>
      </w:r>
      <w:r>
        <w:rPr>
          <w:spacing w:val="-3"/>
          <w:sz w:val="21"/>
          <w:u w:val="single"/>
        </w:rPr>
        <w:t>建筑工程二级注册建造师及以上资格</w:t>
      </w:r>
      <w:r>
        <w:rPr>
          <w:rFonts w:ascii="Times New Roman" w:eastAsia="Times New Roman"/>
          <w:sz w:val="21"/>
        </w:rPr>
        <w:t>(</w:t>
      </w:r>
      <w:r>
        <w:rPr>
          <w:spacing w:val="-3"/>
          <w:sz w:val="21"/>
        </w:rPr>
        <w:t>二级建造师必须在广东省内注册</w:t>
      </w:r>
      <w:r>
        <w:rPr>
          <w:rFonts w:ascii="Times New Roman" w:eastAsia="Times New Roman"/>
          <w:spacing w:val="-14"/>
          <w:sz w:val="21"/>
        </w:rPr>
        <w:t>)</w:t>
      </w:r>
      <w:r>
        <w:rPr>
          <w:spacing w:val="-7"/>
          <w:sz w:val="21"/>
        </w:rPr>
        <w:t>，具备有效的安全生产考核合格证书</w:t>
      </w:r>
      <w:r>
        <w:rPr>
          <w:spacing w:val="-10"/>
          <w:sz w:val="21"/>
        </w:rPr>
        <w:t>，且未担任其他在建工程项目的项目经理。</w:t>
      </w:r>
    </w:p>
    <w:p>
      <w:pPr>
        <w:ind w:firstLine="221" w:firstLineChars="100"/>
        <w:rPr>
          <w:b/>
        </w:rPr>
      </w:pPr>
      <w:r>
        <w:rPr>
          <w:b/>
        </w:rPr>
        <w:t>本次招标要求投标人须同时具备主管部门核发的以下资质：</w:t>
      </w:r>
    </w:p>
    <w:p>
      <w:pPr>
        <w:pStyle w:val="10"/>
        <w:spacing w:before="71" w:line="304" w:lineRule="auto"/>
        <w:ind w:left="212" w:right="554" w:firstLine="420"/>
      </w:pPr>
      <w:r>
        <w:t>一、</w:t>
      </w:r>
      <w:r>
        <w:rPr>
          <w:spacing w:val="-14"/>
        </w:rPr>
        <w:t>设计资质：须具备下列资质之一：①工程设计综合甲级资质，②工程设计建筑行业乙级</w:t>
      </w:r>
      <w:r>
        <w:t>（</w:t>
      </w:r>
      <w:r>
        <w:rPr>
          <w:spacing w:val="-2"/>
        </w:rPr>
        <w:t>或以上</w:t>
      </w:r>
      <w:r>
        <w:t xml:space="preserve">） </w:t>
      </w:r>
      <w:r>
        <w:rPr>
          <w:spacing w:val="-3"/>
        </w:rPr>
        <w:t>资质，③工程设计建筑行业</w:t>
      </w:r>
      <w:r>
        <w:t>（</w:t>
      </w:r>
      <w:r>
        <w:rPr>
          <w:spacing w:val="-3"/>
        </w:rPr>
        <w:t>建筑工程）专业乙级</w:t>
      </w:r>
      <w:r>
        <w:t>（</w:t>
      </w:r>
      <w:r>
        <w:rPr>
          <w:spacing w:val="-2"/>
        </w:rPr>
        <w:t>或以上</w:t>
      </w:r>
      <w:r>
        <w:rPr>
          <w:spacing w:val="-3"/>
        </w:rPr>
        <w:t>）</w:t>
      </w:r>
      <w:r>
        <w:t>资质。</w:t>
      </w:r>
    </w:p>
    <w:p>
      <w:pPr>
        <w:pStyle w:val="10"/>
        <w:spacing w:before="71" w:line="304" w:lineRule="auto"/>
        <w:ind w:left="212" w:right="554" w:firstLine="420"/>
        <w:rPr>
          <w:spacing w:val="-3"/>
        </w:rPr>
      </w:pPr>
      <w:r>
        <w:rPr>
          <w:rFonts w:hint="eastAsia"/>
          <w:spacing w:val="-3"/>
        </w:rPr>
        <w:t>二</w:t>
      </w:r>
      <w:r>
        <w:rPr>
          <w:spacing w:val="-3"/>
        </w:rPr>
        <w:t xml:space="preserve">、施工资质：须具备建筑工程施工总承包三级及以上资质。具备有效的企业安全生产许可证书。 </w:t>
      </w:r>
    </w:p>
    <w:p>
      <w:pPr>
        <w:pStyle w:val="10"/>
        <w:spacing w:line="345" w:lineRule="auto"/>
        <w:ind w:right="2810" w:firstLine="630" w:firstLineChars="300"/>
      </w:pPr>
      <w:r>
        <w:t>拟派的项目</w:t>
      </w:r>
      <w:r>
        <w:rPr>
          <w:rFonts w:hint="eastAsia"/>
        </w:rPr>
        <w:t>经理</w:t>
      </w:r>
      <w:r>
        <w:t>和施工负责人要求：</w:t>
      </w:r>
    </w:p>
    <w:p>
      <w:pPr>
        <w:pStyle w:val="10"/>
        <w:spacing w:line="345" w:lineRule="auto"/>
        <w:ind w:right="62" w:firstLine="632" w:firstLineChars="300"/>
      </w:pPr>
      <w:r>
        <w:rPr>
          <w:rFonts w:hint="eastAsia"/>
          <w:b/>
        </w:rPr>
        <w:t>项目总负责人</w:t>
      </w:r>
      <w:r>
        <w:t>（注：若为联合体投标，由联合体牵头方提供；项目总负责人即为设计负责人）的资格要求：具备一级注册建筑师资格。</w:t>
      </w:r>
    </w:p>
    <w:p>
      <w:pPr>
        <w:spacing w:before="61" w:line="302" w:lineRule="auto"/>
        <w:ind w:left="635" w:right="546" w:hanging="3"/>
      </w:pPr>
      <w:r>
        <w:rPr>
          <w:b/>
          <w:spacing w:val="-5"/>
          <w:sz w:val="21"/>
        </w:rPr>
        <w:t>项目经理</w:t>
      </w:r>
      <w:r>
        <w:rPr>
          <w:rFonts w:hint="eastAsia"/>
          <w:b/>
          <w:spacing w:val="-5"/>
          <w:sz w:val="21"/>
        </w:rPr>
        <w:t xml:space="preserve"> 2名</w:t>
      </w:r>
      <w:r>
        <w:rPr>
          <w:b/>
          <w:sz w:val="21"/>
        </w:rPr>
        <w:t>（</w:t>
      </w:r>
      <w:r>
        <w:rPr>
          <w:sz w:val="21"/>
          <w:szCs w:val="21"/>
        </w:rPr>
        <w:t>注：</w:t>
      </w:r>
      <w:r>
        <w:t>若为联合体投标，指承担施工任务的单位</w:t>
      </w:r>
      <w:r>
        <w:rPr>
          <w:b/>
          <w:spacing w:val="-8"/>
          <w:sz w:val="21"/>
        </w:rPr>
        <w:t>）</w:t>
      </w:r>
      <w:r>
        <w:rPr>
          <w:b/>
          <w:spacing w:val="-2"/>
          <w:sz w:val="21"/>
        </w:rPr>
        <w:t>的资格要求</w:t>
      </w:r>
      <w:r>
        <w:rPr>
          <w:spacing w:val="-4"/>
          <w:sz w:val="21"/>
        </w:rPr>
        <w:t>：需具有</w:t>
      </w:r>
      <w:r>
        <w:rPr>
          <w:spacing w:val="-4"/>
          <w:sz w:val="21"/>
          <w:u w:val="single"/>
        </w:rPr>
        <w:t>建筑工程二级</w:t>
      </w:r>
      <w:r>
        <w:rPr>
          <w:spacing w:val="-2"/>
          <w:sz w:val="21"/>
          <w:u w:val="single"/>
        </w:rPr>
        <w:t>注册建造</w:t>
      </w:r>
      <w:r>
        <w:rPr>
          <w:spacing w:val="-1"/>
          <w:u w:val="single"/>
        </w:rPr>
        <w:t>师</w:t>
      </w:r>
      <w:r>
        <w:rPr>
          <w:spacing w:val="-3"/>
          <w:sz w:val="21"/>
          <w:u w:val="single"/>
        </w:rPr>
        <w:t>（</w:t>
      </w:r>
      <w:r>
        <w:rPr>
          <w:spacing w:val="-2"/>
          <w:sz w:val="21"/>
          <w:u w:val="single"/>
        </w:rPr>
        <w:t>及以上</w:t>
      </w:r>
      <w:r>
        <w:rPr>
          <w:spacing w:val="-10"/>
          <w:sz w:val="21"/>
          <w:u w:val="single"/>
        </w:rPr>
        <w:t>）</w:t>
      </w:r>
      <w:r>
        <w:rPr>
          <w:spacing w:val="-1"/>
          <w:u w:val="single"/>
        </w:rPr>
        <w:t>资格</w:t>
      </w:r>
      <w:r>
        <w:rPr>
          <w:spacing w:val="-3"/>
        </w:rPr>
        <w:t>（二级建造师必须在广东省内注册</w:t>
      </w:r>
      <w:r>
        <w:rPr>
          <w:spacing w:val="-108"/>
        </w:rPr>
        <w:t>）</w:t>
      </w:r>
      <w:r>
        <w:rPr>
          <w:spacing w:val="-3"/>
        </w:rPr>
        <w:t>，具备有效的安全生产考核合格证书（</w:t>
      </w:r>
      <w:r>
        <w:rPr>
          <w:rFonts w:ascii="Times New Roman" w:eastAsia="Times New Roman"/>
        </w:rPr>
        <w:t xml:space="preserve">B </w:t>
      </w:r>
      <w:r>
        <w:t>证</w:t>
      </w:r>
      <w:r>
        <w:rPr>
          <w:spacing w:val="-108"/>
        </w:rPr>
        <w:t>）</w:t>
      </w:r>
      <w:r>
        <w:rPr>
          <w:spacing w:val="-3"/>
        </w:rPr>
        <w:t>，且不得担任其他在建工程项目的施工负责人。</w:t>
      </w:r>
    </w:p>
    <w:p>
      <w:pPr>
        <w:spacing w:line="304" w:lineRule="auto"/>
        <w:ind w:left="212" w:right="546" w:firstLine="422"/>
        <w:jc w:val="both"/>
        <w:rPr>
          <w:sz w:val="21"/>
        </w:rPr>
      </w:pPr>
      <w:r>
        <w:rPr>
          <w:b/>
          <w:spacing w:val="-2"/>
          <w:sz w:val="21"/>
        </w:rPr>
        <w:t>施工</w:t>
      </w:r>
      <w:r>
        <w:rPr>
          <w:rFonts w:hint="eastAsia"/>
          <w:b/>
          <w:spacing w:val="-2"/>
          <w:sz w:val="21"/>
        </w:rPr>
        <w:t>负责人2名</w:t>
      </w:r>
      <w:r>
        <w:rPr>
          <w:b/>
          <w:sz w:val="21"/>
        </w:rPr>
        <w:t>（</w:t>
      </w:r>
      <w:r>
        <w:rPr>
          <w:sz w:val="21"/>
          <w:szCs w:val="21"/>
        </w:rPr>
        <w:t>注：</w:t>
      </w:r>
      <w:r>
        <w:t>若为联合体投标，指承担施工任务的单位</w:t>
      </w:r>
      <w:r>
        <w:rPr>
          <w:b/>
          <w:spacing w:val="-8"/>
          <w:sz w:val="21"/>
        </w:rPr>
        <w:t>）</w:t>
      </w:r>
      <w:r>
        <w:rPr>
          <w:b/>
          <w:spacing w:val="-2"/>
          <w:sz w:val="21"/>
        </w:rPr>
        <w:t>的资格要求</w:t>
      </w:r>
      <w:r>
        <w:rPr>
          <w:spacing w:val="-4"/>
          <w:sz w:val="21"/>
        </w:rPr>
        <w:t>：需具有</w:t>
      </w:r>
      <w:r>
        <w:rPr>
          <w:spacing w:val="-4"/>
          <w:sz w:val="21"/>
          <w:u w:val="single"/>
        </w:rPr>
        <w:t>建筑工程二级</w:t>
      </w:r>
      <w:r>
        <w:rPr>
          <w:spacing w:val="-2"/>
          <w:sz w:val="21"/>
          <w:u w:val="single"/>
        </w:rPr>
        <w:t>注册</w:t>
      </w:r>
      <w:r>
        <w:rPr>
          <w:rFonts w:hint="eastAsia"/>
          <w:spacing w:val="-2"/>
          <w:sz w:val="21"/>
          <w:u w:val="single"/>
        </w:rPr>
        <w:t>建造师</w:t>
      </w:r>
      <w:r>
        <w:rPr>
          <w:spacing w:val="-3"/>
          <w:sz w:val="21"/>
          <w:u w:val="single"/>
        </w:rPr>
        <w:t>（</w:t>
      </w:r>
      <w:r>
        <w:rPr>
          <w:spacing w:val="-2"/>
          <w:sz w:val="21"/>
          <w:u w:val="single"/>
        </w:rPr>
        <w:t>及以上</w:t>
      </w:r>
      <w:r>
        <w:rPr>
          <w:spacing w:val="-10"/>
          <w:sz w:val="21"/>
          <w:u w:val="single"/>
        </w:rPr>
        <w:t>）</w:t>
      </w:r>
      <w:r>
        <w:rPr>
          <w:rFonts w:hint="eastAsia"/>
          <w:spacing w:val="-2"/>
          <w:sz w:val="21"/>
          <w:u w:val="single"/>
        </w:rPr>
        <w:t xml:space="preserve">资格  </w:t>
      </w:r>
      <w:r>
        <w:rPr>
          <w:spacing w:val="-3"/>
          <w:sz w:val="21"/>
        </w:rPr>
        <w:t>（二级建造师必须在广东省内注册</w:t>
      </w:r>
      <w:r>
        <w:rPr>
          <w:spacing w:val="-108"/>
          <w:sz w:val="21"/>
        </w:rPr>
        <w:t>）</w:t>
      </w:r>
      <w:r>
        <w:rPr>
          <w:spacing w:val="-3"/>
          <w:sz w:val="21"/>
        </w:rPr>
        <w:t>，具备有效的安全生产考核合格证书（</w:t>
      </w:r>
      <w:r>
        <w:rPr>
          <w:rFonts w:ascii="Times New Roman" w:eastAsia="Times New Roman"/>
          <w:sz w:val="21"/>
        </w:rPr>
        <w:t xml:space="preserve">B </w:t>
      </w:r>
      <w:r>
        <w:rPr>
          <w:sz w:val="21"/>
        </w:rPr>
        <w:t>证</w:t>
      </w:r>
      <w:r>
        <w:rPr>
          <w:spacing w:val="-108"/>
          <w:sz w:val="21"/>
        </w:rPr>
        <w:t>）</w:t>
      </w:r>
      <w:r>
        <w:rPr>
          <w:spacing w:val="-3"/>
          <w:sz w:val="21"/>
        </w:rPr>
        <w:t>，且不得担任其他在建工程项目的施工负责人。</w:t>
      </w:r>
    </w:p>
    <w:p>
      <w:pPr>
        <w:ind w:firstLine="546" w:firstLineChars="247"/>
        <w:rPr>
          <w:b/>
        </w:rPr>
      </w:pPr>
      <w:r>
        <w:rPr>
          <w:b/>
        </w:rPr>
        <w:t>拟委派本工程项目经理、施工</w:t>
      </w:r>
      <w:r>
        <w:rPr>
          <w:rFonts w:hint="eastAsia"/>
          <w:b/>
        </w:rPr>
        <w:t>负责人</w:t>
      </w:r>
      <w:r>
        <w:rPr>
          <w:b/>
        </w:rPr>
        <w:t>可为同一人。</w:t>
      </w:r>
    </w:p>
    <w:p>
      <w:pPr>
        <w:ind w:firstLine="496" w:firstLineChars="247"/>
        <w:rPr>
          <w:b/>
        </w:rPr>
      </w:pPr>
      <w:r>
        <w:rPr>
          <w:rFonts w:hint="eastAsia"/>
          <w:b/>
          <w:spacing w:val="-5"/>
          <w:sz w:val="21"/>
        </w:rPr>
        <w:t>项目总负责人、</w:t>
      </w:r>
      <w:r>
        <w:rPr>
          <w:b/>
          <w:spacing w:val="-5"/>
          <w:sz w:val="21"/>
        </w:rPr>
        <w:t>项目经理</w:t>
      </w:r>
      <w:r>
        <w:rPr>
          <w:rFonts w:hint="eastAsia"/>
          <w:b/>
          <w:spacing w:val="-5"/>
          <w:sz w:val="21"/>
        </w:rPr>
        <w:t>、</w:t>
      </w:r>
      <w:r>
        <w:rPr>
          <w:b/>
          <w:spacing w:val="-2"/>
          <w:sz w:val="21"/>
        </w:rPr>
        <w:t>施工</w:t>
      </w:r>
      <w:r>
        <w:rPr>
          <w:rFonts w:hint="eastAsia"/>
          <w:b/>
          <w:spacing w:val="-2"/>
          <w:sz w:val="21"/>
        </w:rPr>
        <w:t>负责人须在投标单位缴纳养老保险</w:t>
      </w:r>
      <w:r>
        <w:rPr>
          <w:rFonts w:hint="eastAsia"/>
          <w:spacing w:val="-2"/>
          <w:sz w:val="21"/>
        </w:rPr>
        <w:t>（</w:t>
      </w:r>
      <w:r>
        <w:rPr>
          <w:spacing w:val="-14"/>
        </w:rPr>
        <w:t>①</w:t>
      </w:r>
      <w:r>
        <w:rPr>
          <w:rFonts w:hint="eastAsia"/>
          <w:spacing w:val="-14"/>
        </w:rPr>
        <w:t>未达到退休年龄的，需提供在投标单位2020年1月至2020年3月缴纳养老保险的证明；</w:t>
      </w:r>
      <w:r>
        <w:rPr>
          <w:spacing w:val="-14"/>
        </w:rPr>
        <w:t>②</w:t>
      </w:r>
      <w:r>
        <w:rPr>
          <w:rFonts w:hint="eastAsia"/>
          <w:spacing w:val="-14"/>
        </w:rPr>
        <w:t>已达到退休年龄且不超过65周岁的，则可提供养老保险待遇领取情况资料或退休证替代</w:t>
      </w:r>
      <w:r>
        <w:rPr>
          <w:rFonts w:hint="eastAsia"/>
          <w:spacing w:val="-2"/>
          <w:sz w:val="21"/>
        </w:rPr>
        <w:t>）。</w:t>
      </w:r>
    </w:p>
    <w:p>
      <w:pPr>
        <w:pStyle w:val="35"/>
        <w:numPr>
          <w:ilvl w:val="1"/>
          <w:numId w:val="1"/>
        </w:numPr>
        <w:tabs>
          <w:tab w:val="left" w:pos="1003"/>
        </w:tabs>
        <w:spacing w:before="69" w:line="302" w:lineRule="auto"/>
        <w:ind w:right="443" w:firstLine="420"/>
        <w:rPr>
          <w:rFonts w:ascii="Times New Roman" w:eastAsia="Times New Roman"/>
          <w:sz w:val="21"/>
        </w:rPr>
      </w:pPr>
      <w:r>
        <w:rPr>
          <w:spacing w:val="-3"/>
          <w:sz w:val="21"/>
        </w:rPr>
        <w:t>本次招标</w:t>
      </w:r>
      <w:r>
        <w:rPr>
          <w:spacing w:val="-9"/>
          <w:sz w:val="21"/>
          <w:u w:val="single"/>
        </w:rPr>
        <w:t xml:space="preserve"> 广东省江门市气象局上川岛国家天气雷达项目设计施工总承包</w:t>
      </w:r>
      <w:r>
        <w:rPr>
          <w:spacing w:val="-9"/>
          <w:sz w:val="21"/>
        </w:rPr>
        <w:t xml:space="preserve">接受联合体投标；联合体投标的， </w:t>
      </w:r>
      <w:r>
        <w:rPr>
          <w:spacing w:val="-19"/>
          <w:sz w:val="21"/>
        </w:rPr>
        <w:t>应满足下列要求：</w:t>
      </w:r>
      <w:r>
        <w:rPr>
          <w:spacing w:val="-3"/>
          <w:sz w:val="21"/>
        </w:rPr>
        <w:t>（</w:t>
      </w:r>
      <w:r>
        <w:rPr>
          <w:rFonts w:ascii="Times New Roman" w:eastAsia="Times New Roman"/>
          <w:spacing w:val="-3"/>
          <w:sz w:val="21"/>
        </w:rPr>
        <w:t>1</w:t>
      </w:r>
      <w:r>
        <w:rPr>
          <w:spacing w:val="-5"/>
          <w:sz w:val="21"/>
        </w:rPr>
        <w:t>）</w:t>
      </w:r>
      <w:r>
        <w:rPr>
          <w:spacing w:val="-3"/>
          <w:sz w:val="21"/>
        </w:rPr>
        <w:t>联合体</w:t>
      </w:r>
      <w:r>
        <w:rPr>
          <w:rFonts w:hint="eastAsia"/>
          <w:spacing w:val="-3"/>
          <w:sz w:val="21"/>
        </w:rPr>
        <w:t>全体</w:t>
      </w:r>
      <w:r>
        <w:rPr>
          <w:spacing w:val="-3"/>
          <w:sz w:val="21"/>
        </w:rPr>
        <w:t>成员不超过</w:t>
      </w:r>
      <w:r>
        <w:rPr>
          <w:spacing w:val="-53"/>
          <w:sz w:val="21"/>
        </w:rPr>
        <w:t xml:space="preserve"> </w:t>
      </w:r>
      <w:r>
        <w:rPr>
          <w:rFonts w:hint="eastAsia" w:ascii="Times New Roman" w:eastAsiaTheme="minorEastAsia"/>
          <w:sz w:val="21"/>
        </w:rPr>
        <w:t>2个（含2个）</w:t>
      </w:r>
      <w:r>
        <w:rPr>
          <w:spacing w:val="-57"/>
          <w:sz w:val="21"/>
        </w:rPr>
        <w:t>。</w:t>
      </w:r>
      <w:r>
        <w:rPr>
          <w:sz w:val="21"/>
        </w:rPr>
        <w:t>（</w:t>
      </w:r>
      <w:r>
        <w:rPr>
          <w:rFonts w:ascii="Times New Roman" w:eastAsia="Times New Roman"/>
          <w:spacing w:val="-3"/>
          <w:sz w:val="21"/>
        </w:rPr>
        <w:t>2</w:t>
      </w:r>
      <w:r>
        <w:rPr>
          <w:spacing w:val="-5"/>
          <w:sz w:val="21"/>
        </w:rPr>
        <w:t>）</w:t>
      </w:r>
      <w:r>
        <w:rPr>
          <w:spacing w:val="-3"/>
          <w:sz w:val="21"/>
        </w:rPr>
        <w:t>联合体牵头人</w:t>
      </w:r>
      <w:r>
        <w:rPr>
          <w:spacing w:val="-3"/>
          <w:sz w:val="21"/>
          <w:u w:val="single"/>
        </w:rPr>
        <w:t>必须具有</w:t>
      </w:r>
      <w:r>
        <w:rPr>
          <w:rFonts w:hint="eastAsia"/>
          <w:u w:val="single"/>
        </w:rPr>
        <w:t>设计方具备的</w:t>
      </w:r>
      <w:r>
        <w:rPr>
          <w:sz w:val="21"/>
          <w:u w:val="single"/>
        </w:rPr>
        <w:t>资质</w:t>
      </w:r>
      <w:r>
        <w:rPr>
          <w:sz w:val="21"/>
        </w:rPr>
        <w:t>（</w:t>
      </w:r>
      <w:r>
        <w:rPr>
          <w:rFonts w:ascii="Times New Roman" w:eastAsia="Times New Roman"/>
          <w:sz w:val="21"/>
        </w:rPr>
        <w:t>3</w:t>
      </w:r>
      <w:r>
        <w:rPr>
          <w:sz w:val="21"/>
        </w:rPr>
        <w:t>）</w:t>
      </w:r>
      <w:r>
        <w:rPr>
          <w:spacing w:val="-4"/>
          <w:sz w:val="21"/>
        </w:rPr>
        <w:t>联合体各方应签订联合体投标协议书，明确联合体牵头人和各方权利义务。</w:t>
      </w:r>
      <w:r>
        <w:rPr>
          <w:sz w:val="21"/>
        </w:rPr>
        <w:t>（</w:t>
      </w:r>
      <w:r>
        <w:rPr>
          <w:rFonts w:ascii="Times New Roman" w:eastAsia="Times New Roman"/>
          <w:sz w:val="21"/>
        </w:rPr>
        <w:t>4</w:t>
      </w:r>
      <w:r>
        <w:rPr>
          <w:sz w:val="21"/>
        </w:rPr>
        <w:t>）联合</w:t>
      </w:r>
      <w:r>
        <w:rPr>
          <w:spacing w:val="-3"/>
          <w:sz w:val="21"/>
        </w:rPr>
        <w:t>体各方不得再以自己名义或加入其他联合体在本工程</w:t>
      </w:r>
      <w:r>
        <w:rPr>
          <w:rFonts w:hint="eastAsia"/>
          <w:spacing w:val="-3"/>
          <w:sz w:val="21"/>
        </w:rPr>
        <w:t>登记</w:t>
      </w:r>
      <w:r>
        <w:rPr>
          <w:spacing w:val="-3"/>
          <w:sz w:val="21"/>
        </w:rPr>
        <w:t>。</w:t>
      </w:r>
    </w:p>
    <w:p>
      <w:pPr>
        <w:pStyle w:val="35"/>
        <w:numPr>
          <w:ilvl w:val="1"/>
          <w:numId w:val="1"/>
        </w:numPr>
        <w:tabs>
          <w:tab w:val="left" w:pos="1003"/>
        </w:tabs>
        <w:spacing w:before="5" w:line="304" w:lineRule="auto"/>
        <w:ind w:right="546" w:firstLine="420"/>
        <w:rPr>
          <w:rFonts w:ascii="Times New Roman" w:eastAsia="Times New Roman"/>
          <w:sz w:val="21"/>
        </w:rPr>
      </w:pPr>
      <w:r>
        <w:rPr>
          <w:spacing w:val="-3"/>
          <w:sz w:val="21"/>
        </w:rPr>
        <w:t>各投标人均可就本招标项目上述标段中的</w:t>
      </w:r>
      <w:r>
        <w:rPr>
          <w:spacing w:val="-3"/>
          <w:sz w:val="21"/>
          <w:u w:val="single"/>
        </w:rPr>
        <w:t xml:space="preserve"> </w:t>
      </w:r>
      <w:r>
        <w:rPr>
          <w:rFonts w:ascii="Times New Roman" w:eastAsia="Times New Roman"/>
          <w:sz w:val="21"/>
          <w:u w:val="single"/>
        </w:rPr>
        <w:t>1</w:t>
      </w:r>
      <w:r>
        <w:rPr>
          <w:rFonts w:ascii="Times New Roman" w:eastAsia="Times New Roman"/>
          <w:spacing w:val="12"/>
          <w:sz w:val="21"/>
        </w:rPr>
        <w:t xml:space="preserve"> </w:t>
      </w:r>
      <w:r>
        <w:rPr>
          <w:spacing w:val="-2"/>
          <w:sz w:val="21"/>
        </w:rPr>
        <w:t>个标段投标，但最多允许中标</w:t>
      </w:r>
      <w:r>
        <w:rPr>
          <w:spacing w:val="-2"/>
          <w:sz w:val="21"/>
          <w:u w:val="single"/>
        </w:rPr>
        <w:t xml:space="preserve"> </w:t>
      </w:r>
      <w:r>
        <w:rPr>
          <w:rFonts w:ascii="Times New Roman" w:eastAsia="Times New Roman"/>
          <w:sz w:val="21"/>
          <w:u w:val="single"/>
        </w:rPr>
        <w:t>1</w:t>
      </w:r>
      <w:r>
        <w:rPr>
          <w:rFonts w:ascii="Times New Roman" w:eastAsia="Times New Roman"/>
          <w:spacing w:val="12"/>
          <w:sz w:val="21"/>
          <w:u w:val="single"/>
        </w:rPr>
        <w:t xml:space="preserve"> </w:t>
      </w:r>
      <w:r>
        <w:rPr>
          <w:sz w:val="21"/>
        </w:rPr>
        <w:t>个标段（</w:t>
      </w:r>
      <w:r>
        <w:rPr>
          <w:spacing w:val="-2"/>
          <w:sz w:val="21"/>
        </w:rPr>
        <w:t>适用于分</w:t>
      </w:r>
      <w:r>
        <w:rPr>
          <w:spacing w:val="-3"/>
          <w:sz w:val="21"/>
        </w:rPr>
        <w:t>标段的招标项目</w:t>
      </w:r>
      <w:r>
        <w:rPr>
          <w:spacing w:val="-106"/>
          <w:sz w:val="21"/>
        </w:rPr>
        <w:t>）</w:t>
      </w:r>
      <w:r>
        <w:rPr>
          <w:sz w:val="21"/>
        </w:rPr>
        <w:t>。</w:t>
      </w:r>
    </w:p>
    <w:p>
      <w:pPr>
        <w:pStyle w:val="35"/>
        <w:numPr>
          <w:ilvl w:val="1"/>
          <w:numId w:val="1"/>
        </w:numPr>
        <w:tabs>
          <w:tab w:val="left" w:pos="951"/>
        </w:tabs>
        <w:spacing w:line="250" w:lineRule="exact"/>
        <w:ind w:left="950" w:hanging="318"/>
        <w:rPr>
          <w:rFonts w:ascii="Times New Roman" w:eastAsia="Times New Roman"/>
          <w:sz w:val="21"/>
        </w:rPr>
      </w:pPr>
      <w:r>
        <w:rPr>
          <w:spacing w:val="-12"/>
          <w:sz w:val="21"/>
        </w:rPr>
        <w:t>根据《广东省住房和城乡建设厅关于取消省外建筑企业和人员进粤信息备案有关工作的通知》</w:t>
      </w:r>
      <w:r>
        <w:rPr>
          <w:sz w:val="21"/>
        </w:rPr>
        <w:t>（粤</w:t>
      </w:r>
    </w:p>
    <w:p>
      <w:pPr>
        <w:pStyle w:val="10"/>
        <w:spacing w:before="53" w:line="285" w:lineRule="auto"/>
        <w:ind w:left="212" w:right="489"/>
      </w:pPr>
      <w:r>
        <w:t>建市〔</w:t>
      </w:r>
      <w:r>
        <w:rPr>
          <w:rFonts w:ascii="Times New Roman" w:hAnsi="Times New Roman" w:eastAsia="Times New Roman"/>
        </w:rPr>
        <w:t>2015</w:t>
      </w:r>
      <w:r>
        <w:t>〕</w:t>
      </w:r>
      <w:r>
        <w:rPr>
          <w:rFonts w:ascii="Times New Roman" w:hAnsi="Times New Roman" w:eastAsia="Times New Roman"/>
        </w:rPr>
        <w:t xml:space="preserve">52 </w:t>
      </w:r>
      <w:r>
        <w:t>号）要求，省外建筑企业需在</w:t>
      </w:r>
      <w:r>
        <w:rPr>
          <w:rFonts w:ascii="Times New Roman" w:hAnsi="Times New Roman" w:eastAsia="Times New Roman"/>
        </w:rPr>
        <w:t>“</w:t>
      </w:r>
      <w:r>
        <w:t>进粤企业和人员诚信信息登记平台</w:t>
      </w:r>
      <w:r>
        <w:rPr>
          <w:rFonts w:ascii="Times New Roman" w:hAnsi="Times New Roman" w:eastAsia="Times New Roman"/>
        </w:rPr>
        <w:t>”</w:t>
      </w:r>
      <w:r>
        <w:t>录入相关信息并通过数据规范检查，并在投标文件中提供相关信息（网上公开信息打印件）以备审查。</w:t>
      </w:r>
    </w:p>
    <w:p>
      <w:pPr>
        <w:pStyle w:val="35"/>
        <w:numPr>
          <w:ilvl w:val="1"/>
          <w:numId w:val="1"/>
        </w:numPr>
        <w:tabs>
          <w:tab w:val="left" w:pos="951"/>
        </w:tabs>
        <w:spacing w:line="285" w:lineRule="auto"/>
        <w:ind w:right="548" w:firstLine="420"/>
        <w:jc w:val="both"/>
        <w:rPr>
          <w:rFonts w:ascii="Times New Roman" w:hAnsi="Times New Roman" w:eastAsia="Times New Roman"/>
          <w:sz w:val="21"/>
        </w:rPr>
      </w:pPr>
      <w:r>
        <w:rPr>
          <w:spacing w:val="-8"/>
          <w:sz w:val="21"/>
        </w:rPr>
        <w:t>根据《江门市住房和城乡建设局关于江门市建筑业企业信用管理办法</w:t>
      </w:r>
      <w:r>
        <w:rPr>
          <w:spacing w:val="-3"/>
          <w:sz w:val="21"/>
        </w:rPr>
        <w:t>（</w:t>
      </w:r>
      <w:r>
        <w:rPr>
          <w:spacing w:val="-2"/>
          <w:sz w:val="21"/>
        </w:rPr>
        <w:t>试行</w:t>
      </w:r>
      <w:r>
        <w:rPr>
          <w:spacing w:val="-32"/>
          <w:sz w:val="21"/>
        </w:rPr>
        <w:t>）</w:t>
      </w:r>
      <w:r>
        <w:rPr>
          <w:spacing w:val="-30"/>
          <w:sz w:val="21"/>
        </w:rPr>
        <w:t>》</w:t>
      </w:r>
      <w:r>
        <w:rPr>
          <w:rFonts w:ascii="Arial" w:hAnsi="Arial" w:eastAsia="Arial"/>
          <w:sz w:val="21"/>
        </w:rPr>
        <w:t>(</w:t>
      </w:r>
      <w:r>
        <w:rPr>
          <w:spacing w:val="-11"/>
          <w:sz w:val="21"/>
        </w:rPr>
        <w:t>江建〔</w:t>
      </w:r>
      <w:r>
        <w:rPr>
          <w:rFonts w:ascii="Arial" w:hAnsi="Arial" w:eastAsia="Arial"/>
          <w:sz w:val="21"/>
        </w:rPr>
        <w:t>2017</w:t>
      </w:r>
      <w:r>
        <w:rPr>
          <w:spacing w:val="-29"/>
          <w:sz w:val="21"/>
        </w:rPr>
        <w:t>〕</w:t>
      </w:r>
      <w:r>
        <w:rPr>
          <w:rFonts w:ascii="Arial" w:hAnsi="Arial" w:eastAsia="Arial"/>
          <w:sz w:val="21"/>
        </w:rPr>
        <w:t xml:space="preserve">477 </w:t>
      </w:r>
      <w:r>
        <w:rPr>
          <w:sz w:val="21"/>
        </w:rPr>
        <w:t>号</w:t>
      </w:r>
      <w:r>
        <w:rPr>
          <w:rFonts w:ascii="Arial" w:hAnsi="Arial" w:eastAsia="Arial"/>
          <w:sz w:val="21"/>
        </w:rPr>
        <w:t>)</w:t>
      </w:r>
      <w:r>
        <w:rPr>
          <w:spacing w:val="-8"/>
          <w:sz w:val="21"/>
        </w:rPr>
        <w:t>的相关规定，投标人</w:t>
      </w:r>
      <w:r>
        <w:rPr>
          <w:spacing w:val="-3"/>
          <w:sz w:val="21"/>
        </w:rPr>
        <w:t>（包括联合体所有成员</w:t>
      </w:r>
      <w:r>
        <w:rPr>
          <w:spacing w:val="-20"/>
          <w:sz w:val="21"/>
        </w:rPr>
        <w:t>）</w:t>
      </w:r>
      <w:r>
        <w:rPr>
          <w:spacing w:val="-7"/>
          <w:sz w:val="21"/>
        </w:rPr>
        <w:t>须是被列入“江门市建筑业企业信用管理信息系统”信用</w:t>
      </w:r>
      <w:r>
        <w:rPr>
          <w:spacing w:val="13"/>
          <w:sz w:val="21"/>
        </w:rPr>
        <w:t>等级为</w:t>
      </w:r>
      <w:r>
        <w:rPr>
          <w:rFonts w:ascii="Arial" w:hAnsi="Arial" w:eastAsia="Arial"/>
          <w:sz w:val="21"/>
        </w:rPr>
        <w:t>C</w:t>
      </w:r>
      <w:r>
        <w:rPr>
          <w:rFonts w:ascii="Arial" w:hAnsi="Arial" w:eastAsia="Arial"/>
          <w:spacing w:val="-5"/>
          <w:sz w:val="21"/>
        </w:rPr>
        <w:t xml:space="preserve"> </w:t>
      </w:r>
      <w:r>
        <w:rPr>
          <w:spacing w:val="-3"/>
          <w:sz w:val="21"/>
        </w:rPr>
        <w:t>级或以上的企业。</w:t>
      </w:r>
      <w:r>
        <w:rPr>
          <w:sz w:val="21"/>
        </w:rPr>
        <w:t>（</w:t>
      </w:r>
      <w:r>
        <w:rPr>
          <w:spacing w:val="-3"/>
          <w:sz w:val="21"/>
        </w:rPr>
        <w:t>项目不要求投标人具备建筑业企业资质的除外</w:t>
      </w:r>
      <w:r>
        <w:rPr>
          <w:sz w:val="21"/>
        </w:rPr>
        <w:t>）。</w:t>
      </w:r>
    </w:p>
    <w:p>
      <w:pPr>
        <w:pStyle w:val="35"/>
        <w:numPr>
          <w:ilvl w:val="1"/>
          <w:numId w:val="1"/>
        </w:numPr>
        <w:tabs>
          <w:tab w:val="left" w:pos="1003"/>
        </w:tabs>
        <w:spacing w:line="285" w:lineRule="auto"/>
        <w:ind w:right="546" w:firstLine="420"/>
        <w:jc w:val="both"/>
        <w:rPr>
          <w:rFonts w:ascii="Times New Roman" w:hAnsi="Times New Roman" w:eastAsia="Times New Roman"/>
          <w:sz w:val="21"/>
        </w:rPr>
      </w:pPr>
      <w:r>
        <w:rPr>
          <w:spacing w:val="-3"/>
          <w:sz w:val="21"/>
        </w:rPr>
        <w:t>根据《广东省住房和城乡建设厅关于印发建筑业企业等资质管理“放管服”改革试点实施意见的</w:t>
      </w:r>
      <w:r>
        <w:rPr>
          <w:spacing w:val="-8"/>
          <w:sz w:val="21"/>
        </w:rPr>
        <w:t>通知</w:t>
      </w:r>
      <w:r>
        <w:rPr>
          <w:sz w:val="21"/>
        </w:rPr>
        <w:t>（</w:t>
      </w:r>
      <w:r>
        <w:rPr>
          <w:spacing w:val="-5"/>
          <w:sz w:val="21"/>
        </w:rPr>
        <w:t>粤建规范〔</w:t>
      </w:r>
      <w:r>
        <w:rPr>
          <w:rFonts w:ascii="Times New Roman" w:hAnsi="Times New Roman" w:eastAsia="Times New Roman"/>
          <w:sz w:val="21"/>
        </w:rPr>
        <w:t>2018</w:t>
      </w:r>
      <w:r>
        <w:rPr>
          <w:spacing w:val="-10"/>
          <w:sz w:val="21"/>
        </w:rPr>
        <w:t>〕</w:t>
      </w:r>
      <w:r>
        <w:rPr>
          <w:rFonts w:ascii="Times New Roman" w:hAnsi="Times New Roman" w:eastAsia="Times New Roman"/>
          <w:sz w:val="21"/>
        </w:rPr>
        <w:t>7</w:t>
      </w:r>
      <w:r>
        <w:rPr>
          <w:rFonts w:ascii="Times New Roman" w:hAnsi="Times New Roman" w:eastAsia="Times New Roman"/>
          <w:spacing w:val="27"/>
          <w:sz w:val="21"/>
        </w:rPr>
        <w:t xml:space="preserve"> </w:t>
      </w:r>
      <w:r>
        <w:rPr>
          <w:sz w:val="21"/>
        </w:rPr>
        <w:t>号</w:t>
      </w:r>
      <w:r>
        <w:rPr>
          <w:spacing w:val="-108"/>
          <w:sz w:val="21"/>
        </w:rPr>
        <w:t>）</w:t>
      </w:r>
      <w:r>
        <w:rPr>
          <w:spacing w:val="-8"/>
          <w:sz w:val="21"/>
        </w:rPr>
        <w:t>》的相关规定，取得广东省资质许可，诚信守法，三年内无发生过质量安全</w:t>
      </w:r>
      <w:r>
        <w:rPr>
          <w:spacing w:val="-7"/>
          <w:sz w:val="21"/>
        </w:rPr>
        <w:t>事故、三年内无不良行为记录、具有二级建筑工程和市政公用工程施工总承包资质的企业，可将其承包工</w:t>
      </w:r>
      <w:r>
        <w:rPr>
          <w:spacing w:val="-5"/>
          <w:sz w:val="21"/>
        </w:rPr>
        <w:t>程范围扩大至一级相对应总承包资质的承包工程范围。</w:t>
      </w:r>
    </w:p>
    <w:p>
      <w:pPr>
        <w:pStyle w:val="35"/>
        <w:numPr>
          <w:ilvl w:val="1"/>
          <w:numId w:val="1"/>
        </w:numPr>
        <w:tabs>
          <w:tab w:val="left" w:pos="1003"/>
        </w:tabs>
        <w:spacing w:before="49" w:line="285" w:lineRule="auto"/>
        <w:ind w:right="547" w:firstLine="420"/>
        <w:jc w:val="both"/>
        <w:rPr>
          <w:rFonts w:ascii="Times New Roman" w:eastAsia="Times New Roman"/>
          <w:bCs/>
          <w:sz w:val="21"/>
        </w:rPr>
      </w:pPr>
      <w:r>
        <w:rPr>
          <w:bCs/>
          <w:spacing w:val="-8"/>
          <w:sz w:val="21"/>
        </w:rPr>
        <w:t>投标人拟派出的</w:t>
      </w:r>
      <w:r>
        <w:rPr>
          <w:rFonts w:hint="eastAsia"/>
          <w:bCs/>
          <w:spacing w:val="-8"/>
          <w:sz w:val="21"/>
        </w:rPr>
        <w:t>项目负责人、</w:t>
      </w:r>
      <w:r>
        <w:rPr>
          <w:bCs/>
          <w:spacing w:val="-8"/>
          <w:sz w:val="21"/>
        </w:rPr>
        <w:t>技术负责人须在投标文件中签字确认。</w:t>
      </w:r>
    </w:p>
    <w:p>
      <w:pPr>
        <w:pStyle w:val="35"/>
        <w:tabs>
          <w:tab w:val="left" w:pos="1003"/>
        </w:tabs>
        <w:spacing w:before="49" w:line="285" w:lineRule="auto"/>
        <w:ind w:left="632" w:right="547" w:firstLine="0"/>
        <w:jc w:val="both"/>
        <w:rPr>
          <w:rFonts w:ascii="Times New Roman" w:eastAsia="Times New Roman"/>
          <w:bCs/>
          <w:sz w:val="21"/>
        </w:rPr>
      </w:pPr>
    </w:p>
    <w:p>
      <w:pPr>
        <w:pStyle w:val="4"/>
        <w:numPr>
          <w:ilvl w:val="0"/>
          <w:numId w:val="1"/>
        </w:numPr>
        <w:tabs>
          <w:tab w:val="left" w:pos="588"/>
        </w:tabs>
        <w:spacing w:before="1"/>
        <w:ind w:hanging="376"/>
      </w:pPr>
      <w:bookmarkStart w:id="12" w:name="_bookmark7"/>
      <w:bookmarkEnd w:id="12"/>
      <w:bookmarkStart w:id="13" w:name="_Toc37926015"/>
      <w:r>
        <w:t>获取招标文件</w:t>
      </w:r>
      <w:bookmarkEnd w:id="13"/>
    </w:p>
    <w:p>
      <w:pPr>
        <w:pStyle w:val="10"/>
        <w:spacing w:before="1" w:line="321" w:lineRule="auto"/>
        <w:ind w:left="212" w:right="582" w:firstLine="420"/>
        <w:jc w:val="both"/>
      </w:pPr>
      <w:r>
        <w:rPr>
          <w:rFonts w:hint="eastAsia"/>
        </w:rPr>
        <w:t>凡有意参加投标者，请于</w:t>
      </w:r>
      <w:r>
        <w:t>2020</w:t>
      </w:r>
      <w:r>
        <w:rPr>
          <w:rFonts w:hint="eastAsia"/>
        </w:rPr>
        <w:t xml:space="preserve">年     月   </w:t>
      </w:r>
      <w:r>
        <w:t xml:space="preserve"> </w:t>
      </w:r>
      <w:r>
        <w:rPr>
          <w:rFonts w:hint="eastAsia"/>
        </w:rPr>
        <w:t>日</w:t>
      </w:r>
      <w:r>
        <w:t>08</w:t>
      </w:r>
      <w:r>
        <w:rPr>
          <w:rFonts w:hint="eastAsia"/>
        </w:rPr>
        <w:t>时</w:t>
      </w:r>
      <w:r>
        <w:t>30</w:t>
      </w:r>
      <w:r>
        <w:rPr>
          <w:rFonts w:hint="eastAsia"/>
        </w:rPr>
        <w:t>分至</w:t>
      </w:r>
      <w:r>
        <w:t>2020</w:t>
      </w:r>
      <w:r>
        <w:rPr>
          <w:rFonts w:hint="eastAsia"/>
        </w:rPr>
        <w:t>年  月   日</w:t>
      </w:r>
      <w:r>
        <w:t>17</w:t>
      </w:r>
      <w:r>
        <w:rPr>
          <w:rFonts w:hint="eastAsia"/>
        </w:rPr>
        <w:t>时</w:t>
      </w:r>
      <w:r>
        <w:t>30</w:t>
      </w:r>
      <w:r>
        <w:rPr>
          <w:rFonts w:hint="eastAsia"/>
        </w:rPr>
        <w:t>分</w:t>
      </w:r>
      <w:r>
        <w:t>(</w:t>
      </w:r>
      <w:r>
        <w:rPr>
          <w:rFonts w:hint="eastAsia"/>
        </w:rPr>
        <w:t>北京时间，下同</w:t>
      </w:r>
      <w:r>
        <w:t>)</w:t>
      </w:r>
      <w:r>
        <w:rPr>
          <w:rFonts w:hint="eastAsia"/>
        </w:rPr>
        <w:t>，通过网站获取招标文件等资料</w:t>
      </w:r>
      <w:r>
        <w:t>,</w:t>
      </w:r>
      <w:r>
        <w:rPr>
          <w:rFonts w:hint="eastAsia"/>
        </w:rPr>
        <w:t>网址：</w:t>
      </w:r>
      <w:r>
        <w:rPr>
          <w:rFonts w:ascii="Times New Roman" w:hAnsi="Times New Roman" w:cs="Times New Roman"/>
        </w:rPr>
        <w:t>http://www.jiangmen.gov.cn/bmpd/jmsggzyjyzx/</w:t>
      </w:r>
      <w:r>
        <w:rPr>
          <w:rFonts w:hint="eastAsia"/>
        </w:rPr>
        <w:t>。</w:t>
      </w:r>
    </w:p>
    <w:p>
      <w:pPr>
        <w:spacing w:line="360" w:lineRule="auto"/>
        <w:ind w:left="440" w:leftChars="200"/>
        <w:rPr>
          <w:sz w:val="21"/>
        </w:rPr>
      </w:pPr>
      <w:r>
        <w:rPr>
          <w:rFonts w:hint="eastAsia"/>
          <w:sz w:val="21"/>
        </w:rPr>
        <w:t xml:space="preserve"> 4.1 </w:t>
      </w:r>
      <w:r>
        <w:rPr>
          <w:sz w:val="21"/>
          <w:szCs w:val="21"/>
        </w:rPr>
        <w:t>获取电子招标文件、缴纳投标保证金均通过电子交易系统网上办理，具体操作办法详见《江门市公共资源交易平台投标企业操作手册》。</w:t>
      </w:r>
    </w:p>
    <w:p>
      <w:pPr>
        <w:spacing w:line="321" w:lineRule="auto"/>
        <w:jc w:val="both"/>
        <w:rPr>
          <w:sz w:val="21"/>
          <w:szCs w:val="21"/>
        </w:rPr>
      </w:pPr>
      <w:r>
        <w:rPr>
          <w:rFonts w:hint="eastAsia"/>
          <w:sz w:val="21"/>
        </w:rPr>
        <w:t xml:space="preserve">     4.2 </w:t>
      </w:r>
      <w:r>
        <w:rPr>
          <w:sz w:val="21"/>
          <w:szCs w:val="21"/>
        </w:rPr>
        <w:t>未办理CA锁的投标人（如为联合体，指联合体各方），应按照《关于江门市公共资源交易网注册登记管理系统（第一阶段）上线运行的通知》的要求，前往江门市公共资源交易中心办理CA锁。相关文件下载网址：江门市公共资源交易中心（</w:t>
      </w:r>
      <w:r>
        <w:rPr>
          <w:rFonts w:ascii="Times New Roman" w:hAnsi="Times New Roman" w:cs="Times New Roman"/>
          <w:sz w:val="21"/>
          <w:szCs w:val="21"/>
        </w:rPr>
        <w:t>http://www.jiangmen.gov.cn/bmpd/jmsggzyjyzx/</w:t>
      </w:r>
      <w:r>
        <w:rPr>
          <w:sz w:val="21"/>
          <w:szCs w:val="21"/>
        </w:rPr>
        <w:t>）</w:t>
      </w:r>
      <w:r>
        <w:rPr>
          <w:rFonts w:hint="eastAsia"/>
          <w:sz w:val="21"/>
          <w:szCs w:val="21"/>
        </w:rPr>
        <w:t>。</w:t>
      </w:r>
      <w:bookmarkStart w:id="14" w:name="_bookmark8"/>
      <w:bookmarkEnd w:id="14"/>
    </w:p>
    <w:p>
      <w:pPr>
        <w:spacing w:line="321" w:lineRule="auto"/>
        <w:jc w:val="both"/>
        <w:rPr>
          <w:sz w:val="21"/>
          <w:szCs w:val="21"/>
        </w:rPr>
      </w:pPr>
    </w:p>
    <w:p>
      <w:pPr>
        <w:pStyle w:val="4"/>
        <w:numPr>
          <w:ilvl w:val="0"/>
          <w:numId w:val="1"/>
        </w:numPr>
        <w:tabs>
          <w:tab w:val="left" w:pos="588"/>
        </w:tabs>
        <w:spacing w:before="1"/>
        <w:ind w:hanging="376"/>
      </w:pPr>
      <w:r>
        <w:rPr>
          <w:rFonts w:hint="eastAsia"/>
        </w:rPr>
        <w:t xml:space="preserve"> </w:t>
      </w:r>
      <w:bookmarkStart w:id="15" w:name="_Toc37926016"/>
      <w:r>
        <w:t>投标文件的递交</w:t>
      </w:r>
      <w:bookmarkEnd w:id="15"/>
    </w:p>
    <w:p/>
    <w:p>
      <w:pPr>
        <w:adjustRightInd w:val="0"/>
        <w:spacing w:line="360" w:lineRule="auto"/>
        <w:ind w:firstLine="440" w:firstLineChars="200"/>
      </w:pPr>
      <w:r>
        <w:rPr>
          <w:rFonts w:hint="eastAsia"/>
        </w:rPr>
        <w:t>5.1</w:t>
      </w:r>
      <w:r>
        <w:rPr>
          <w:rFonts w:hint="eastAsia"/>
          <w:color w:val="000000"/>
          <w:shd w:val="clear" w:color="auto" w:fill="FFFFFF"/>
        </w:rPr>
        <w:t>投标文件递交截止时间（投标截止时间，下同）为</w:t>
      </w:r>
      <w:r>
        <w:rPr>
          <w:rFonts w:hint="eastAsia" w:ascii="微软雅黑" w:hAnsi="微软雅黑" w:eastAsia="微软雅黑"/>
          <w:color w:val="000000"/>
          <w:u w:val="single"/>
          <w:shd w:val="clear" w:color="auto" w:fill="FFFFFF"/>
        </w:rPr>
        <w:t>2020</w:t>
      </w:r>
      <w:r>
        <w:rPr>
          <w:rFonts w:hint="eastAsia"/>
          <w:color w:val="000000"/>
          <w:u w:val="single"/>
          <w:shd w:val="clear" w:color="auto" w:fill="FFFFFF"/>
        </w:rPr>
        <w:t>年</w:t>
      </w:r>
      <w:r>
        <w:rPr>
          <w:rFonts w:hint="eastAsia" w:ascii="微软雅黑" w:hAnsi="微软雅黑" w:eastAsia="微软雅黑"/>
          <w:color w:val="000000"/>
          <w:u w:val="single"/>
          <w:shd w:val="clear" w:color="auto" w:fill="FFFFFF"/>
        </w:rPr>
        <w:t xml:space="preserve">    </w:t>
      </w:r>
      <w:r>
        <w:rPr>
          <w:rFonts w:hint="eastAsia"/>
          <w:color w:val="000000"/>
          <w:u w:val="single"/>
          <w:shd w:val="clear" w:color="auto" w:fill="FFFFFF"/>
        </w:rPr>
        <w:t>月</w:t>
      </w:r>
      <w:r>
        <w:rPr>
          <w:rFonts w:hint="eastAsia" w:ascii="微软雅黑" w:hAnsi="微软雅黑" w:eastAsia="微软雅黑"/>
          <w:color w:val="000000"/>
          <w:u w:val="single"/>
          <w:shd w:val="clear" w:color="auto" w:fill="FFFFFF"/>
        </w:rPr>
        <w:t xml:space="preserve">    </w:t>
      </w:r>
      <w:r>
        <w:rPr>
          <w:rFonts w:hint="eastAsia"/>
          <w:color w:val="000000"/>
          <w:u w:val="single"/>
          <w:shd w:val="clear" w:color="auto" w:fill="FFFFFF"/>
        </w:rPr>
        <w:t>日</w:t>
      </w:r>
      <w:r>
        <w:rPr>
          <w:rFonts w:hint="eastAsia" w:ascii="微软雅黑" w:hAnsi="微软雅黑" w:eastAsia="微软雅黑"/>
          <w:color w:val="000000"/>
          <w:u w:val="single"/>
          <w:shd w:val="clear" w:color="auto" w:fill="FFFFFF"/>
        </w:rPr>
        <w:t xml:space="preserve">     </w:t>
      </w:r>
      <w:r>
        <w:rPr>
          <w:rFonts w:hint="eastAsia"/>
          <w:color w:val="000000"/>
          <w:u w:val="single"/>
          <w:shd w:val="clear" w:color="auto" w:fill="FFFFFF"/>
        </w:rPr>
        <w:t>时</w:t>
      </w:r>
      <w:r>
        <w:rPr>
          <w:rFonts w:hint="eastAsia" w:ascii="微软雅黑" w:hAnsi="微软雅黑" w:eastAsia="微软雅黑"/>
          <w:color w:val="000000"/>
          <w:u w:val="single"/>
          <w:shd w:val="clear" w:color="auto" w:fill="FFFFFF"/>
        </w:rPr>
        <w:t xml:space="preserve">    </w:t>
      </w:r>
      <w:r>
        <w:rPr>
          <w:rFonts w:hint="eastAsia"/>
          <w:color w:val="000000"/>
          <w:u w:val="single"/>
          <w:shd w:val="clear" w:color="auto" w:fill="FFFFFF"/>
        </w:rPr>
        <w:t>分</w:t>
      </w:r>
      <w:r>
        <w:rPr>
          <w:rFonts w:hint="eastAsia"/>
          <w:color w:val="000000"/>
          <w:shd w:val="clear" w:color="auto" w:fill="FFFFFF"/>
        </w:rPr>
        <w:t>，地点为</w:t>
      </w:r>
      <w:r>
        <w:rPr>
          <w:rFonts w:hint="eastAsia" w:ascii="Times New Roman" w:cs="Times New Roman"/>
          <w:kern w:val="2"/>
          <w:sz w:val="21"/>
          <w:u w:val="single"/>
        </w:rPr>
        <w:t>江门市公共资源交易中心</w:t>
      </w:r>
      <w:r>
        <w:rPr>
          <w:rFonts w:hint="eastAsia" w:ascii="Times New Roman" w:cs="Times New Roman"/>
          <w:kern w:val="2"/>
          <w:sz w:val="21"/>
        </w:rPr>
        <w:t>（地址：江门市蓬江区堤西路</w:t>
      </w:r>
      <w:r>
        <w:rPr>
          <w:rFonts w:ascii="Times New Roman" w:cs="Times New Roman"/>
          <w:kern w:val="2"/>
          <w:sz w:val="21"/>
        </w:rPr>
        <w:t>88</w:t>
      </w:r>
      <w:r>
        <w:rPr>
          <w:rFonts w:hint="eastAsia" w:ascii="Times New Roman" w:cs="Times New Roman"/>
          <w:kern w:val="2"/>
          <w:sz w:val="21"/>
        </w:rPr>
        <w:t>号市人民政府行政服务中心三楼）</w:t>
      </w:r>
      <w:r>
        <w:rPr>
          <w:rFonts w:hint="eastAsia"/>
          <w:color w:val="000000"/>
          <w:shd w:val="clear" w:color="auto" w:fill="FFFFFF"/>
        </w:rPr>
        <w:t>。</w:t>
      </w:r>
    </w:p>
    <w:p>
      <w:pPr>
        <w:spacing w:line="360" w:lineRule="auto"/>
        <w:ind w:firstLine="440" w:firstLineChars="200"/>
      </w:pPr>
      <w:r>
        <w:rPr>
          <w:rFonts w:hint="eastAsia"/>
        </w:rPr>
        <w:t>5.2</w:t>
      </w:r>
      <w:r>
        <w:t>逾期</w:t>
      </w:r>
      <w:r>
        <w:rPr>
          <w:rFonts w:hint="eastAsia" w:ascii="Times New Roman" w:hAnsi="Times New Roman"/>
        </w:rPr>
        <w:t>送达的或者未送达指定地点的投标文件，招标人不予受理</w:t>
      </w:r>
      <w:r>
        <w:rPr>
          <w:rFonts w:hint="eastAsia"/>
        </w:rPr>
        <w:t>。</w:t>
      </w:r>
    </w:p>
    <w:p>
      <w:pPr>
        <w:pStyle w:val="10"/>
        <w:spacing w:before="11"/>
      </w:pPr>
    </w:p>
    <w:p>
      <w:pPr>
        <w:pStyle w:val="35"/>
        <w:widowControl/>
        <w:numPr>
          <w:ilvl w:val="0"/>
          <w:numId w:val="1"/>
        </w:numPr>
        <w:autoSpaceDE/>
        <w:autoSpaceDN/>
        <w:spacing w:line="450" w:lineRule="atLeast"/>
        <w:outlineLvl w:val="2"/>
        <w:rPr>
          <w:rFonts w:ascii="黑体" w:hAnsi="黑体" w:eastAsia="黑体" w:cs="黑体"/>
          <w:b/>
          <w:bCs/>
          <w:sz w:val="28"/>
          <w:szCs w:val="28"/>
        </w:rPr>
      </w:pPr>
      <w:bookmarkStart w:id="16" w:name="_Toc37926017"/>
      <w:r>
        <w:rPr>
          <w:rFonts w:ascii="黑体" w:hAnsi="黑体" w:eastAsia="黑体" w:cs="黑体"/>
          <w:b/>
          <w:bCs/>
          <w:sz w:val="28"/>
          <w:szCs w:val="28"/>
        </w:rPr>
        <w:t>投标人资质情形的确定</w:t>
      </w:r>
      <w:bookmarkEnd w:id="16"/>
    </w:p>
    <w:p>
      <w:pPr>
        <w:widowControl/>
        <w:autoSpaceDE/>
        <w:autoSpaceDN/>
        <w:spacing w:line="450" w:lineRule="atLeast"/>
        <w:rPr>
          <w:rFonts w:ascii="黑体" w:hAnsi="黑体" w:eastAsia="黑体" w:cs="黑体"/>
          <w:b/>
          <w:bCs/>
          <w:sz w:val="28"/>
          <w:szCs w:val="28"/>
        </w:rPr>
      </w:pPr>
      <w:r>
        <w:rPr>
          <w:rFonts w:hint="eastAsia" w:ascii="黑体" w:hAnsi="黑体" w:eastAsia="黑体" w:cs="黑体"/>
          <w:b/>
          <w:bCs/>
          <w:sz w:val="28"/>
          <w:szCs w:val="28"/>
        </w:rPr>
        <w:t xml:space="preserve">  </w:t>
      </w:r>
      <w:r>
        <w:rPr>
          <w:rFonts w:hint="eastAsia"/>
          <w:sz w:val="24"/>
        </w:rPr>
        <w:t xml:space="preserve">■ </w:t>
      </w:r>
      <w:r>
        <w:rPr>
          <w:rFonts w:ascii="Times New Roman" w:hAnsi="Times New Roman"/>
        </w:rPr>
        <w:t>本项目只允许施工总承包资质企业投标</w:t>
      </w:r>
    </w:p>
    <w:p>
      <w:pPr>
        <w:widowControl/>
        <w:autoSpaceDE/>
        <w:autoSpaceDN/>
        <w:spacing w:line="450" w:lineRule="atLeast"/>
        <w:rPr>
          <w:rFonts w:ascii="黑体" w:hAnsi="黑体" w:eastAsia="黑体" w:cs="黑体"/>
          <w:b/>
          <w:bCs/>
          <w:sz w:val="28"/>
          <w:szCs w:val="28"/>
        </w:rPr>
      </w:pPr>
      <w:r>
        <w:rPr>
          <w:rFonts w:hint="eastAsia" w:ascii="黑体" w:hAnsi="黑体" w:eastAsia="黑体" w:cs="黑体"/>
          <w:b/>
          <w:bCs/>
          <w:sz w:val="28"/>
          <w:szCs w:val="28"/>
        </w:rPr>
        <w:t xml:space="preserve">  </w:t>
      </w:r>
      <w:r>
        <w:rPr>
          <w:rFonts w:hint="eastAsia"/>
        </w:rPr>
        <w:t xml:space="preserve">□ </w:t>
      </w:r>
      <w:r>
        <w:rPr>
          <w:rFonts w:ascii="Times New Roman" w:hAnsi="Times New Roman"/>
        </w:rPr>
        <w:t>本项目只允许施工专业资质企业投标</w:t>
      </w:r>
    </w:p>
    <w:p>
      <w:pPr>
        <w:widowControl/>
        <w:autoSpaceDE/>
        <w:autoSpaceDN/>
        <w:spacing w:line="450" w:lineRule="atLeast"/>
        <w:rPr>
          <w:rFonts w:ascii="黑体" w:hAnsi="黑体" w:eastAsia="黑体" w:cs="黑体"/>
          <w:b/>
          <w:bCs/>
          <w:sz w:val="28"/>
          <w:szCs w:val="28"/>
        </w:rPr>
      </w:pPr>
      <w:r>
        <w:rPr>
          <w:rFonts w:hint="eastAsia" w:ascii="黑体" w:hAnsi="黑体" w:eastAsia="黑体" w:cs="黑体"/>
          <w:b/>
          <w:bCs/>
          <w:sz w:val="28"/>
          <w:szCs w:val="28"/>
        </w:rPr>
        <w:t xml:space="preserve">  </w:t>
      </w:r>
      <w:r>
        <w:rPr>
          <w:rFonts w:hint="eastAsia"/>
        </w:rPr>
        <w:t xml:space="preserve">□ </w:t>
      </w:r>
      <w:r>
        <w:rPr>
          <w:rFonts w:ascii="Times New Roman" w:hAnsi="Times New Roman"/>
        </w:rPr>
        <w:t>本项目同时允许施工总承包资质、施工专业资质企业投标</w:t>
      </w:r>
    </w:p>
    <w:p>
      <w:pPr>
        <w:widowControl/>
        <w:autoSpaceDE/>
        <w:autoSpaceDN/>
        <w:spacing w:line="450" w:lineRule="atLeast"/>
        <w:rPr>
          <w:rFonts w:ascii="黑体" w:hAnsi="黑体" w:eastAsia="黑体" w:cs="黑体"/>
          <w:b/>
          <w:bCs/>
          <w:sz w:val="28"/>
          <w:szCs w:val="28"/>
        </w:rPr>
      </w:pPr>
      <w:r>
        <w:rPr>
          <w:rFonts w:hint="eastAsia" w:ascii="黑体" w:hAnsi="黑体" w:eastAsia="黑体" w:cs="黑体"/>
          <w:b/>
          <w:bCs/>
          <w:sz w:val="28"/>
          <w:szCs w:val="28"/>
        </w:rPr>
        <w:t xml:space="preserve">  </w:t>
      </w:r>
      <w:r>
        <w:rPr>
          <w:rFonts w:hint="eastAsia"/>
        </w:rPr>
        <w:t xml:space="preserve">□ </w:t>
      </w:r>
      <w:r>
        <w:rPr>
          <w:rFonts w:ascii="Times New Roman" w:hAnsi="Times New Roman"/>
        </w:rPr>
        <w:t>本项目允许施工总承包资质、施工专业资质企业组成联合体投标</w:t>
      </w:r>
    </w:p>
    <w:p>
      <w:pPr>
        <w:widowControl/>
        <w:autoSpaceDE/>
        <w:autoSpaceDN/>
        <w:spacing w:line="450" w:lineRule="atLeast"/>
        <w:rPr>
          <w:rFonts w:ascii="Times New Roman" w:hAnsi="Times New Roman"/>
        </w:rPr>
      </w:pPr>
      <w:r>
        <w:rPr>
          <w:rFonts w:hint="eastAsia" w:ascii="黑体" w:hAnsi="黑体" w:eastAsia="黑体" w:cs="黑体"/>
          <w:b/>
          <w:bCs/>
          <w:sz w:val="28"/>
          <w:szCs w:val="28"/>
        </w:rPr>
        <w:t xml:space="preserve">  </w:t>
      </w:r>
      <w:r>
        <w:rPr>
          <w:rFonts w:hint="eastAsia"/>
        </w:rPr>
        <w:t xml:space="preserve">□ </w:t>
      </w:r>
      <w:r>
        <w:rPr>
          <w:rFonts w:ascii="Times New Roman" w:hAnsi="Times New Roman"/>
        </w:rPr>
        <w:t>本项目不要求投标人具有建筑业企业资质</w:t>
      </w:r>
    </w:p>
    <w:p>
      <w:pPr>
        <w:widowControl/>
        <w:autoSpaceDE/>
        <w:autoSpaceDN/>
        <w:spacing w:line="450" w:lineRule="atLeast"/>
        <w:rPr>
          <w:rFonts w:ascii="黑体" w:hAnsi="黑体" w:eastAsia="黑体" w:cs="黑体"/>
          <w:b/>
          <w:bCs/>
          <w:sz w:val="28"/>
          <w:szCs w:val="28"/>
        </w:rPr>
      </w:pPr>
      <w:r>
        <w:rPr>
          <w:rFonts w:hint="eastAsia" w:ascii="黑体" w:hAnsi="黑体" w:eastAsia="黑体" w:cs="黑体"/>
          <w:b/>
          <w:bCs/>
          <w:sz w:val="28"/>
          <w:szCs w:val="28"/>
        </w:rPr>
        <w:t xml:space="preserve">  </w:t>
      </w:r>
      <w:r>
        <w:rPr>
          <w:rFonts w:hint="eastAsia"/>
        </w:rPr>
        <w:t xml:space="preserve">□ </w:t>
      </w:r>
      <w:r>
        <w:rPr>
          <w:rFonts w:ascii="Times New Roman" w:hAnsi="Times New Roman"/>
        </w:rPr>
        <w:t>无资质要求项目</w:t>
      </w:r>
    </w:p>
    <w:p>
      <w:pPr>
        <w:pStyle w:val="10"/>
        <w:spacing w:before="11"/>
      </w:pPr>
    </w:p>
    <w:p>
      <w:pPr>
        <w:pStyle w:val="4"/>
        <w:tabs>
          <w:tab w:val="left" w:pos="448"/>
        </w:tabs>
        <w:spacing w:before="1"/>
        <w:ind w:left="212" w:firstLine="0"/>
      </w:pPr>
      <w:bookmarkStart w:id="17" w:name="_bookmark9"/>
      <w:bookmarkEnd w:id="17"/>
      <w:bookmarkStart w:id="18" w:name="_Toc37926018"/>
      <w:r>
        <w:rPr>
          <w:rFonts w:hint="eastAsia"/>
        </w:rPr>
        <w:t xml:space="preserve">7. </w:t>
      </w:r>
      <w:r>
        <w:t>其他要求</w:t>
      </w:r>
      <w:bookmarkEnd w:id="18"/>
    </w:p>
    <w:p>
      <w:pPr>
        <w:pStyle w:val="10"/>
        <w:spacing w:before="12"/>
        <w:rPr>
          <w:rFonts w:ascii="黑体"/>
          <w:b/>
          <w:sz w:val="25"/>
        </w:rPr>
      </w:pPr>
    </w:p>
    <w:p>
      <w:pPr>
        <w:widowControl/>
        <w:shd w:val="clear" w:color="auto" w:fill="FFFFFF"/>
        <w:spacing w:line="360" w:lineRule="auto"/>
        <w:ind w:firstLine="330" w:firstLineChars="150"/>
        <w:rPr>
          <w:color w:val="000000"/>
        </w:rPr>
      </w:pPr>
      <w:r>
        <w:rPr>
          <w:rFonts w:hint="eastAsia"/>
          <w:color w:val="000000"/>
        </w:rPr>
        <w:t>投标人提出问题的截止时间：</w:t>
      </w:r>
      <w:r>
        <w:rPr>
          <w:rFonts w:hint="eastAsia"/>
          <w:color w:val="000000"/>
          <w:u w:val="single"/>
        </w:rPr>
        <w:t xml:space="preserve"> </w:t>
      </w:r>
      <w:r>
        <w:rPr>
          <w:rFonts w:hint="eastAsia"/>
          <w:color w:val="000000"/>
          <w:szCs w:val="21"/>
          <w:u w:val="single"/>
        </w:rPr>
        <w:t xml:space="preserve">                     </w:t>
      </w:r>
      <w:r>
        <w:rPr>
          <w:rFonts w:hint="eastAsia"/>
          <w:color w:val="000000"/>
          <w:u w:val="single"/>
        </w:rPr>
        <w:t xml:space="preserve">  </w:t>
      </w:r>
    </w:p>
    <w:p>
      <w:pPr>
        <w:widowControl/>
        <w:shd w:val="clear" w:color="auto" w:fill="FFFFFF"/>
        <w:spacing w:line="360" w:lineRule="auto"/>
        <w:ind w:firstLine="330" w:firstLineChars="150"/>
        <w:rPr>
          <w:color w:val="000000"/>
        </w:rPr>
      </w:pPr>
      <w:r>
        <w:rPr>
          <w:rFonts w:hint="eastAsia"/>
          <w:color w:val="000000"/>
        </w:rPr>
        <w:t>招标人澄清的时间：</w:t>
      </w:r>
      <w:r>
        <w:rPr>
          <w:rFonts w:hint="eastAsia"/>
          <w:color w:val="000000"/>
          <w:u w:val="single"/>
        </w:rPr>
        <w:t xml:space="preserve">  </w:t>
      </w:r>
      <w:r>
        <w:rPr>
          <w:rFonts w:hint="eastAsia"/>
          <w:color w:val="000000"/>
          <w:szCs w:val="21"/>
          <w:u w:val="single"/>
        </w:rPr>
        <w:t xml:space="preserve">           </w:t>
      </w:r>
      <w:r>
        <w:rPr>
          <w:rFonts w:hint="eastAsia"/>
          <w:color w:val="000000"/>
          <w:u w:val="single"/>
        </w:rPr>
        <w:t xml:space="preserve">         </w:t>
      </w:r>
    </w:p>
    <w:p>
      <w:pPr>
        <w:widowControl/>
        <w:shd w:val="clear" w:color="auto" w:fill="FFFFFF"/>
        <w:spacing w:line="360" w:lineRule="auto"/>
        <w:ind w:firstLine="330" w:firstLineChars="150"/>
        <w:rPr>
          <w:color w:val="000000"/>
        </w:rPr>
      </w:pPr>
      <w:r>
        <w:rPr>
          <w:rFonts w:hint="eastAsia"/>
          <w:color w:val="000000"/>
        </w:rPr>
        <w:t>投标人要求澄清招标文件的截止时间：</w:t>
      </w:r>
      <w:r>
        <w:rPr>
          <w:rFonts w:hint="eastAsia"/>
          <w:color w:val="000000"/>
          <w:u w:val="single"/>
        </w:rPr>
        <w:t xml:space="preserve">  </w:t>
      </w:r>
      <w:r>
        <w:rPr>
          <w:rFonts w:hint="eastAsia"/>
          <w:color w:val="000000"/>
          <w:szCs w:val="21"/>
          <w:u w:val="single"/>
        </w:rPr>
        <w:t xml:space="preserve">                      </w:t>
      </w:r>
      <w:r>
        <w:rPr>
          <w:rFonts w:hint="eastAsia"/>
          <w:color w:val="000000"/>
          <w:u w:val="single"/>
        </w:rPr>
        <w:t xml:space="preserve">  </w:t>
      </w:r>
    </w:p>
    <w:p>
      <w:pPr>
        <w:widowControl/>
        <w:shd w:val="clear" w:color="auto" w:fill="FFFFFF"/>
        <w:spacing w:line="360" w:lineRule="auto"/>
        <w:ind w:firstLine="330" w:firstLineChars="150"/>
        <w:rPr>
          <w:color w:val="000000"/>
        </w:rPr>
      </w:pPr>
      <w:r>
        <w:rPr>
          <w:rFonts w:hint="eastAsia"/>
          <w:color w:val="000000"/>
        </w:rPr>
        <w:t>投标人须知前附表4.1.2所述投标文件不得开启的时间：</w:t>
      </w:r>
      <w:r>
        <w:rPr>
          <w:rFonts w:hint="eastAsia"/>
          <w:color w:val="000000"/>
          <w:u w:val="single"/>
        </w:rPr>
        <w:t xml:space="preserve">  </w:t>
      </w:r>
      <w:r>
        <w:rPr>
          <w:rFonts w:hint="eastAsia"/>
          <w:color w:val="000000"/>
          <w:szCs w:val="21"/>
          <w:u w:val="single"/>
        </w:rPr>
        <w:t xml:space="preserve">                              </w:t>
      </w:r>
      <w:r>
        <w:rPr>
          <w:rFonts w:hint="eastAsia"/>
          <w:color w:val="000000"/>
          <w:u w:val="single"/>
        </w:rPr>
        <w:t xml:space="preserve">  </w:t>
      </w:r>
      <w:r>
        <w:rPr>
          <w:rFonts w:hint="eastAsia"/>
          <w:color w:val="000000"/>
        </w:rPr>
        <w:t>前</w:t>
      </w:r>
    </w:p>
    <w:p>
      <w:pPr>
        <w:widowControl/>
        <w:shd w:val="clear" w:color="auto" w:fill="FFFFFF"/>
        <w:spacing w:line="360" w:lineRule="auto"/>
        <w:ind w:firstLine="330" w:firstLineChars="150"/>
        <w:rPr>
          <w:color w:val="000000"/>
        </w:rPr>
      </w:pPr>
      <w:r>
        <w:rPr>
          <w:rFonts w:hint="eastAsia"/>
          <w:color w:val="000000"/>
        </w:rPr>
        <w:t>踏勘现场时间：</w:t>
      </w:r>
      <w:r>
        <w:rPr>
          <w:rFonts w:hint="eastAsia"/>
          <w:color w:val="000000"/>
          <w:u w:val="single"/>
        </w:rPr>
        <w:t xml:space="preserve">       /      </w:t>
      </w:r>
      <w:r>
        <w:rPr>
          <w:rFonts w:hint="eastAsia"/>
          <w:color w:val="000000"/>
        </w:rPr>
        <w:t>前</w:t>
      </w:r>
    </w:p>
    <w:p>
      <w:pPr>
        <w:widowControl/>
        <w:shd w:val="clear" w:color="auto" w:fill="FFFFFF"/>
        <w:spacing w:line="360" w:lineRule="auto"/>
        <w:ind w:firstLine="330" w:firstLineChars="150"/>
        <w:rPr>
          <w:color w:val="000000"/>
          <w:u w:val="single"/>
        </w:rPr>
      </w:pPr>
      <w:r>
        <w:rPr>
          <w:rFonts w:hint="eastAsia"/>
          <w:color w:val="000000"/>
        </w:rPr>
        <w:t>招标预备会召开时间：</w:t>
      </w:r>
      <w:r>
        <w:rPr>
          <w:rFonts w:hint="eastAsia"/>
          <w:color w:val="000000"/>
          <w:u w:val="single"/>
        </w:rPr>
        <w:t xml:space="preserve">     /     </w:t>
      </w:r>
    </w:p>
    <w:p>
      <w:pPr>
        <w:widowControl/>
        <w:shd w:val="clear" w:color="auto" w:fill="FFFFFF"/>
        <w:spacing w:line="360" w:lineRule="auto"/>
        <w:ind w:firstLine="330" w:firstLineChars="150"/>
        <w:rPr>
          <w:color w:val="000000"/>
        </w:rPr>
      </w:pPr>
      <w:r>
        <w:rPr>
          <w:rFonts w:hint="eastAsia"/>
          <w:color w:val="000000"/>
        </w:rPr>
        <w:t>投标保证金到账截止时间：</w:t>
      </w:r>
      <w:r>
        <w:rPr>
          <w:rFonts w:hint="eastAsia"/>
          <w:color w:val="000000"/>
          <w:u w:val="single"/>
        </w:rPr>
        <w:t xml:space="preserve">  </w:t>
      </w:r>
      <w:r>
        <w:rPr>
          <w:rFonts w:hint="eastAsia"/>
          <w:color w:val="000000"/>
          <w:szCs w:val="21"/>
          <w:u w:val="single"/>
        </w:rPr>
        <w:t xml:space="preserve">                                 </w:t>
      </w:r>
      <w:r>
        <w:rPr>
          <w:rFonts w:hint="eastAsia"/>
          <w:color w:val="000000"/>
          <w:u w:val="single"/>
        </w:rPr>
        <w:t xml:space="preserve">  </w:t>
      </w:r>
    </w:p>
    <w:p>
      <w:pPr>
        <w:widowControl/>
        <w:shd w:val="clear" w:color="auto" w:fill="FFFFFF"/>
        <w:snapToGrid w:val="0"/>
        <w:spacing w:line="360" w:lineRule="auto"/>
        <w:ind w:firstLine="330" w:firstLineChars="150"/>
        <w:rPr>
          <w:color w:val="000000"/>
          <w:szCs w:val="21"/>
        </w:rPr>
      </w:pPr>
      <w:r>
        <w:rPr>
          <w:rFonts w:hint="eastAsia"/>
          <w:color w:val="000000"/>
          <w:szCs w:val="21"/>
        </w:rPr>
        <w:t xml:space="preserve">投标保证金允许使用保证保险形式。                        </w:t>
      </w:r>
    </w:p>
    <w:p>
      <w:pPr>
        <w:widowControl/>
        <w:shd w:val="clear" w:color="auto" w:fill="FFFFFF"/>
        <w:snapToGrid w:val="0"/>
        <w:spacing w:line="360" w:lineRule="auto"/>
        <w:ind w:firstLine="330" w:firstLineChars="150"/>
        <w:rPr>
          <w:color w:val="000000"/>
          <w:szCs w:val="21"/>
        </w:rPr>
      </w:pPr>
      <w:r>
        <w:rPr>
          <w:rFonts w:hint="eastAsia"/>
          <w:color w:val="000000"/>
          <w:szCs w:val="21"/>
        </w:rPr>
        <w:t>政府投资项目禁止使用带资承包方式进行建设。</w:t>
      </w:r>
    </w:p>
    <w:p>
      <w:pPr>
        <w:widowControl/>
        <w:shd w:val="clear" w:color="auto" w:fill="FFFFFF"/>
        <w:snapToGrid w:val="0"/>
        <w:spacing w:line="360" w:lineRule="auto"/>
        <w:ind w:firstLine="330" w:firstLineChars="150"/>
        <w:rPr>
          <w:color w:val="000000"/>
          <w:szCs w:val="21"/>
        </w:rPr>
      </w:pPr>
      <w:r>
        <w:rPr>
          <w:rFonts w:hint="eastAsia"/>
          <w:color w:val="000000"/>
          <w:szCs w:val="21"/>
        </w:rPr>
        <w:t>中标人应为本项目购买安全生产责任险。</w:t>
      </w:r>
    </w:p>
    <w:p>
      <w:pPr>
        <w:pStyle w:val="10"/>
        <w:spacing w:before="1"/>
        <w:ind w:firstLine="315" w:firstLineChars="150"/>
        <w:rPr>
          <w:color w:val="000000"/>
          <w:u w:val="single"/>
        </w:rPr>
      </w:pPr>
      <w:r>
        <w:rPr>
          <w:rFonts w:hint="eastAsia"/>
          <w:color w:val="000000"/>
        </w:rPr>
        <w:t>招标项目其他要求：</w:t>
      </w:r>
      <w:r>
        <w:rPr>
          <w:rFonts w:hint="eastAsia"/>
          <w:color w:val="000000"/>
          <w:u w:val="single"/>
        </w:rPr>
        <w:t xml:space="preserve"> /   </w:t>
      </w:r>
    </w:p>
    <w:p>
      <w:pPr>
        <w:pStyle w:val="10"/>
        <w:spacing w:before="1"/>
        <w:ind w:firstLine="315" w:firstLineChars="150"/>
        <w:rPr>
          <w:color w:val="000000"/>
          <w:u w:val="single"/>
        </w:rPr>
      </w:pPr>
    </w:p>
    <w:p>
      <w:pPr>
        <w:pStyle w:val="10"/>
        <w:spacing w:before="1"/>
        <w:ind w:firstLine="315" w:firstLineChars="150"/>
        <w:rPr>
          <w:color w:val="000000"/>
          <w:u w:val="single"/>
        </w:rPr>
      </w:pPr>
    </w:p>
    <w:p>
      <w:pPr>
        <w:pStyle w:val="10"/>
        <w:spacing w:before="1"/>
        <w:ind w:firstLine="315" w:firstLineChars="150"/>
        <w:rPr>
          <w:color w:val="000000"/>
          <w:u w:val="single"/>
        </w:rPr>
      </w:pPr>
    </w:p>
    <w:p>
      <w:pPr>
        <w:pStyle w:val="10"/>
        <w:spacing w:before="1"/>
        <w:ind w:firstLine="240" w:firstLineChars="150"/>
        <w:rPr>
          <w:sz w:val="16"/>
        </w:rPr>
      </w:pPr>
    </w:p>
    <w:p>
      <w:pPr>
        <w:pStyle w:val="4"/>
        <w:numPr>
          <w:ilvl w:val="0"/>
          <w:numId w:val="2"/>
        </w:numPr>
        <w:tabs>
          <w:tab w:val="left" w:pos="588"/>
        </w:tabs>
      </w:pPr>
      <w:bookmarkStart w:id="19" w:name="_bookmark10"/>
      <w:bookmarkEnd w:id="19"/>
      <w:bookmarkStart w:id="20" w:name="_Toc37926019"/>
      <w:r>
        <w:t>发布公告的媒介</w:t>
      </w:r>
      <w:bookmarkEnd w:id="20"/>
    </w:p>
    <w:p>
      <w:pPr>
        <w:pStyle w:val="10"/>
        <w:spacing w:before="10"/>
        <w:rPr>
          <w:rFonts w:ascii="黑体"/>
          <w:b/>
          <w:sz w:val="25"/>
        </w:rPr>
      </w:pPr>
    </w:p>
    <w:p>
      <w:pPr>
        <w:pStyle w:val="10"/>
        <w:spacing w:line="321" w:lineRule="auto"/>
        <w:ind w:left="212" w:right="530" w:firstLine="420"/>
      </w:pPr>
      <w:r>
        <w:t>本次招标公告同时在</w:t>
      </w:r>
      <w:r>
        <w:rPr>
          <w:u w:val="single"/>
        </w:rPr>
        <w:t>广东省招标投标监管网、江门市公共资源交易中心网站</w:t>
      </w:r>
      <w:r>
        <w:t>上发布。招标公告内容以广东省招标投标监管网为准。</w:t>
      </w:r>
    </w:p>
    <w:p>
      <w:pPr>
        <w:pStyle w:val="10"/>
        <w:spacing w:before="9"/>
        <w:rPr>
          <w:sz w:val="14"/>
        </w:rPr>
      </w:pPr>
    </w:p>
    <w:p>
      <w:pPr>
        <w:pStyle w:val="4"/>
        <w:numPr>
          <w:ilvl w:val="0"/>
          <w:numId w:val="2"/>
        </w:numPr>
        <w:tabs>
          <w:tab w:val="left" w:pos="588"/>
        </w:tabs>
        <w:spacing w:before="0"/>
        <w:ind w:hanging="376"/>
      </w:pPr>
      <w:bookmarkStart w:id="21" w:name="_bookmark11"/>
      <w:bookmarkEnd w:id="21"/>
      <w:bookmarkStart w:id="22" w:name="_Toc37926020"/>
      <w:r>
        <w:t>联系方式</w:t>
      </w:r>
      <w:bookmarkEnd w:id="22"/>
    </w:p>
    <w:p>
      <w:pPr>
        <w:pStyle w:val="10"/>
        <w:spacing w:before="3"/>
        <w:rPr>
          <w:rFonts w:ascii="黑体"/>
          <w:b/>
          <w:sz w:val="27"/>
        </w:rPr>
      </w:pPr>
    </w:p>
    <w:p>
      <w:pPr>
        <w:pStyle w:val="10"/>
        <w:tabs>
          <w:tab w:val="left" w:pos="5042"/>
        </w:tabs>
        <w:spacing w:before="1"/>
        <w:ind w:left="212"/>
      </w:pPr>
      <w:r>
        <w:t>招标人：</w:t>
      </w:r>
      <w:r>
        <w:rPr>
          <w:rFonts w:hint="eastAsia"/>
          <w:spacing w:val="-3"/>
        </w:rPr>
        <w:t>广东省江门市气象局</w:t>
      </w:r>
      <w:r>
        <w:tab/>
      </w:r>
      <w:r>
        <w:t>招标</w:t>
      </w:r>
      <w:r>
        <w:rPr>
          <w:spacing w:val="-3"/>
        </w:rPr>
        <w:t>代</w:t>
      </w:r>
      <w:r>
        <w:t>理</w:t>
      </w:r>
      <w:r>
        <w:rPr>
          <w:spacing w:val="-3"/>
        </w:rPr>
        <w:t>机</w:t>
      </w:r>
      <w:r>
        <w:t>构</w:t>
      </w:r>
      <w:r>
        <w:rPr>
          <w:spacing w:val="-3"/>
        </w:rPr>
        <w:t>：</w:t>
      </w:r>
      <w:r>
        <w:rPr>
          <w:rFonts w:hint="eastAsia"/>
        </w:rPr>
        <w:t>深圳科宇工程顾问有限公司</w:t>
      </w:r>
    </w:p>
    <w:p>
      <w:pPr>
        <w:pStyle w:val="10"/>
        <w:tabs>
          <w:tab w:val="left" w:pos="5042"/>
        </w:tabs>
        <w:spacing w:before="110"/>
        <w:ind w:left="212"/>
      </w:pPr>
      <w:r>
        <w:t>联系</w:t>
      </w:r>
      <w:r>
        <w:rPr>
          <w:spacing w:val="-3"/>
        </w:rPr>
        <w:t>人</w:t>
      </w:r>
      <w:r>
        <w:t>：</w:t>
      </w:r>
      <w:r>
        <w:rPr>
          <w:rFonts w:hint="eastAsia"/>
          <w:spacing w:val="-3"/>
        </w:rPr>
        <w:t>关先生</w:t>
      </w:r>
      <w:r>
        <w:tab/>
      </w:r>
      <w:r>
        <w:t>联系</w:t>
      </w:r>
      <w:r>
        <w:rPr>
          <w:spacing w:val="-3"/>
        </w:rPr>
        <w:t>人</w:t>
      </w:r>
      <w:r>
        <w:t>：</w:t>
      </w:r>
      <w:r>
        <w:rPr>
          <w:rFonts w:hint="eastAsia"/>
          <w:spacing w:val="-3"/>
        </w:rPr>
        <w:t>唐艳芸</w:t>
      </w:r>
    </w:p>
    <w:p>
      <w:pPr>
        <w:pStyle w:val="10"/>
        <w:tabs>
          <w:tab w:val="left" w:pos="5042"/>
        </w:tabs>
        <w:spacing w:before="113"/>
        <w:ind w:left="212"/>
      </w:pPr>
      <w:r>
        <w:t>电</w:t>
      </w:r>
      <w:r>
        <w:rPr>
          <w:rFonts w:hint="eastAsia"/>
        </w:rPr>
        <w:t xml:space="preserve">  </w:t>
      </w:r>
      <w:r>
        <w:t>话：0750-328</w:t>
      </w:r>
      <w:r>
        <w:rPr>
          <w:rFonts w:hint="eastAsia"/>
        </w:rPr>
        <w:t>3971/13702419810</w:t>
      </w:r>
      <w:r>
        <w:tab/>
      </w:r>
      <w:r>
        <w:t>电话：</w:t>
      </w:r>
      <w:r>
        <w:rPr>
          <w:spacing w:val="-2"/>
        </w:rPr>
        <w:t xml:space="preserve"> </w:t>
      </w:r>
      <w:r>
        <w:t>0750-5</w:t>
      </w:r>
      <w:r>
        <w:rPr>
          <w:rFonts w:hint="eastAsia"/>
        </w:rPr>
        <w:t>516828/15813790978</w:t>
      </w:r>
    </w:p>
    <w:p>
      <w:pPr>
        <w:pStyle w:val="10"/>
        <w:wordWrap w:val="0"/>
        <w:spacing w:before="110"/>
        <w:ind w:right="760"/>
        <w:jc w:val="right"/>
      </w:pPr>
      <w:r>
        <w:t xml:space="preserve">2020 年 </w:t>
      </w:r>
      <w:r>
        <w:rPr>
          <w:rFonts w:hint="eastAsia"/>
        </w:rPr>
        <w:t xml:space="preserve">   </w:t>
      </w:r>
      <w:r>
        <w:t xml:space="preserve"> 月 </w:t>
      </w:r>
      <w:r>
        <w:rPr>
          <w:rFonts w:hint="eastAsia"/>
        </w:rPr>
        <w:t xml:space="preserve">   </w:t>
      </w:r>
      <w:r>
        <w:t xml:space="preserve"> 日</w:t>
      </w:r>
    </w:p>
    <w:p>
      <w:pPr>
        <w:jc w:val="right"/>
        <w:sectPr>
          <w:pgSz w:w="11910" w:h="16840"/>
          <w:pgMar w:top="1360" w:right="580" w:bottom="1220" w:left="920" w:header="0" w:footer="950" w:gutter="0"/>
          <w:cols w:space="720" w:num="1"/>
        </w:sectPr>
      </w:pPr>
    </w:p>
    <w:p>
      <w:pPr>
        <w:pStyle w:val="2"/>
        <w:spacing w:before="10"/>
      </w:pPr>
      <w:bookmarkStart w:id="23" w:name="_bookmark12"/>
      <w:bookmarkEnd w:id="23"/>
      <w:bookmarkStart w:id="24" w:name="_Toc37926021"/>
      <w:r>
        <w:t>第二章 投标人须知</w:t>
      </w:r>
      <w:bookmarkEnd w:id="24"/>
    </w:p>
    <w:p>
      <w:pPr>
        <w:pStyle w:val="3"/>
        <w:spacing w:before="54"/>
        <w:ind w:left="212" w:firstLine="0"/>
      </w:pPr>
      <w:bookmarkStart w:id="25" w:name="_bookmark13"/>
      <w:bookmarkEnd w:id="25"/>
      <w:bookmarkStart w:id="26" w:name="_Toc37926022"/>
      <w:r>
        <w:t>投标人须知前附表</w:t>
      </w:r>
      <w:bookmarkEnd w:id="26"/>
    </w:p>
    <w:p>
      <w:pPr>
        <w:pStyle w:val="10"/>
        <w:spacing w:before="10"/>
        <w:rPr>
          <w:rFonts w:ascii="黑体"/>
          <w:b/>
          <w:sz w:val="28"/>
        </w:rPr>
      </w:pPr>
    </w:p>
    <w:tbl>
      <w:tblPr>
        <w:tblStyle w:val="24"/>
        <w:tblW w:w="996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1920"/>
        <w:gridCol w:w="6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64" w:type="dxa"/>
          </w:tcPr>
          <w:p>
            <w:pPr>
              <w:pStyle w:val="36"/>
              <w:spacing w:before="7"/>
              <w:rPr>
                <w:rFonts w:ascii="黑体"/>
                <w:b/>
                <w:sz w:val="16"/>
              </w:rPr>
            </w:pPr>
          </w:p>
          <w:p>
            <w:pPr>
              <w:pStyle w:val="36"/>
              <w:ind w:left="244" w:right="237"/>
              <w:jc w:val="center"/>
              <w:rPr>
                <w:b/>
                <w:sz w:val="21"/>
              </w:rPr>
            </w:pPr>
            <w:r>
              <w:rPr>
                <w:b/>
                <w:sz w:val="21"/>
              </w:rPr>
              <w:t>条款号</w:t>
            </w:r>
          </w:p>
        </w:tc>
        <w:tc>
          <w:tcPr>
            <w:tcW w:w="1920" w:type="dxa"/>
          </w:tcPr>
          <w:p>
            <w:pPr>
              <w:pStyle w:val="36"/>
              <w:spacing w:before="7"/>
              <w:rPr>
                <w:rFonts w:ascii="黑体"/>
                <w:b/>
                <w:sz w:val="16"/>
              </w:rPr>
            </w:pPr>
          </w:p>
          <w:p>
            <w:pPr>
              <w:pStyle w:val="36"/>
              <w:tabs>
                <w:tab w:val="left" w:pos="435"/>
                <w:tab w:val="left" w:pos="855"/>
                <w:tab w:val="left" w:pos="1277"/>
              </w:tabs>
              <w:ind w:left="12"/>
              <w:jc w:val="center"/>
              <w:rPr>
                <w:b/>
                <w:sz w:val="21"/>
              </w:rPr>
            </w:pPr>
            <w:r>
              <w:rPr>
                <w:b/>
                <w:sz w:val="21"/>
              </w:rPr>
              <w:t>条</w:t>
            </w:r>
            <w:r>
              <w:rPr>
                <w:b/>
                <w:sz w:val="21"/>
              </w:rPr>
              <w:tab/>
            </w:r>
            <w:r>
              <w:rPr>
                <w:b/>
                <w:sz w:val="21"/>
              </w:rPr>
              <w:t>款</w:t>
            </w:r>
            <w:r>
              <w:rPr>
                <w:b/>
                <w:sz w:val="21"/>
              </w:rPr>
              <w:tab/>
            </w:r>
            <w:r>
              <w:rPr>
                <w:b/>
                <w:sz w:val="21"/>
              </w:rPr>
              <w:t>名</w:t>
            </w:r>
            <w:r>
              <w:rPr>
                <w:b/>
                <w:sz w:val="21"/>
              </w:rPr>
              <w:tab/>
            </w:r>
            <w:r>
              <w:rPr>
                <w:b/>
                <w:sz w:val="21"/>
              </w:rPr>
              <w:t>称</w:t>
            </w:r>
          </w:p>
        </w:tc>
        <w:tc>
          <w:tcPr>
            <w:tcW w:w="6876" w:type="dxa"/>
          </w:tcPr>
          <w:p>
            <w:pPr>
              <w:pStyle w:val="36"/>
              <w:spacing w:before="7"/>
              <w:rPr>
                <w:rFonts w:ascii="黑体"/>
                <w:b/>
                <w:sz w:val="16"/>
              </w:rPr>
            </w:pPr>
          </w:p>
          <w:p>
            <w:pPr>
              <w:pStyle w:val="36"/>
              <w:tabs>
                <w:tab w:val="left" w:pos="436"/>
                <w:tab w:val="left" w:pos="856"/>
                <w:tab w:val="left" w:pos="1278"/>
              </w:tabs>
              <w:ind w:left="14"/>
              <w:jc w:val="center"/>
              <w:rPr>
                <w:b/>
                <w:sz w:val="21"/>
              </w:rPr>
            </w:pPr>
            <w:r>
              <w:rPr>
                <w:b/>
                <w:sz w:val="21"/>
              </w:rPr>
              <w:t>编</w:t>
            </w:r>
            <w:r>
              <w:rPr>
                <w:b/>
                <w:sz w:val="21"/>
              </w:rPr>
              <w:tab/>
            </w:r>
            <w:r>
              <w:rPr>
                <w:b/>
                <w:sz w:val="21"/>
              </w:rPr>
              <w:t>列</w:t>
            </w:r>
            <w:r>
              <w:rPr>
                <w:b/>
                <w:sz w:val="21"/>
              </w:rPr>
              <w:tab/>
            </w:r>
            <w:r>
              <w:rPr>
                <w:b/>
                <w:sz w:val="21"/>
              </w:rPr>
              <w:t>内</w:t>
            </w:r>
            <w:r>
              <w:rPr>
                <w:b/>
                <w:sz w:val="21"/>
              </w:rPr>
              <w:tab/>
            </w:r>
            <w:r>
              <w:rPr>
                <w:b/>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2" w:hRule="atLeast"/>
        </w:trPr>
        <w:tc>
          <w:tcPr>
            <w:tcW w:w="1164" w:type="dxa"/>
          </w:tcPr>
          <w:p>
            <w:pPr>
              <w:pStyle w:val="36"/>
              <w:rPr>
                <w:rFonts w:ascii="黑体"/>
                <w:b/>
              </w:rPr>
            </w:pPr>
          </w:p>
          <w:p>
            <w:pPr>
              <w:pStyle w:val="36"/>
              <w:rPr>
                <w:rFonts w:ascii="黑体"/>
                <w:b/>
              </w:rPr>
            </w:pPr>
          </w:p>
          <w:p>
            <w:pPr>
              <w:pStyle w:val="36"/>
              <w:spacing w:before="1"/>
              <w:rPr>
                <w:rFonts w:ascii="黑体"/>
                <w:b/>
                <w:sz w:val="17"/>
              </w:rPr>
            </w:pPr>
          </w:p>
          <w:p>
            <w:pPr>
              <w:pStyle w:val="36"/>
              <w:ind w:left="244" w:right="232"/>
              <w:jc w:val="center"/>
              <w:rPr>
                <w:rFonts w:ascii="Times New Roman"/>
                <w:sz w:val="21"/>
              </w:rPr>
            </w:pPr>
            <w:r>
              <w:rPr>
                <w:rFonts w:ascii="Times New Roman"/>
                <w:sz w:val="21"/>
              </w:rPr>
              <w:t>1.1.2</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ind w:left="15"/>
              <w:jc w:val="center"/>
              <w:rPr>
                <w:sz w:val="21"/>
              </w:rPr>
            </w:pPr>
            <w:r>
              <w:rPr>
                <w:sz w:val="21"/>
              </w:rPr>
              <w:t>招标人</w:t>
            </w:r>
          </w:p>
        </w:tc>
        <w:tc>
          <w:tcPr>
            <w:tcW w:w="6876" w:type="dxa"/>
          </w:tcPr>
          <w:p>
            <w:pPr>
              <w:spacing w:line="360" w:lineRule="exact"/>
            </w:pPr>
            <w:r>
              <w:rPr>
                <w:rFonts w:hint="eastAsia"/>
              </w:rPr>
              <w:t>名称：广东省江门市气象局</w:t>
            </w:r>
          </w:p>
          <w:p>
            <w:pPr>
              <w:spacing w:line="360" w:lineRule="exact"/>
            </w:pPr>
            <w:r>
              <w:rPr>
                <w:rFonts w:hint="eastAsia"/>
              </w:rPr>
              <w:t>地址：</w:t>
            </w:r>
            <w:r>
              <w:rPr>
                <w:rFonts w:hint="eastAsia"/>
                <w:sz w:val="24"/>
              </w:rPr>
              <w:t xml:space="preserve"> </w:t>
            </w:r>
            <w:r>
              <w:rPr>
                <w:rFonts w:hint="eastAsia"/>
              </w:rPr>
              <w:t>江门市蓬江区星云路8号</w:t>
            </w:r>
          </w:p>
          <w:p>
            <w:pPr>
              <w:spacing w:line="360" w:lineRule="exact"/>
            </w:pPr>
            <w:r>
              <w:rPr>
                <w:rFonts w:hint="eastAsia"/>
              </w:rPr>
              <w:t>联系人： 关先生</w:t>
            </w:r>
          </w:p>
          <w:p>
            <w:pPr>
              <w:spacing w:line="360" w:lineRule="exact"/>
            </w:pPr>
            <w:r>
              <w:rPr>
                <w:rFonts w:hint="eastAsia"/>
              </w:rPr>
              <w:t xml:space="preserve">电话： </w:t>
            </w:r>
            <w:r>
              <w:t>0750-328</w:t>
            </w:r>
            <w:r>
              <w:rPr>
                <w:rFonts w:hint="eastAsia"/>
              </w:rPr>
              <w:t>3971/13702419810</w:t>
            </w:r>
          </w:p>
          <w:p>
            <w:pPr>
              <w:pStyle w:val="36"/>
              <w:spacing w:line="266" w:lineRule="exact"/>
              <w:rPr>
                <w:rFonts w:ascii="Times New Roman" w:eastAsia="Times New Roman"/>
                <w:sz w:val="21"/>
              </w:rPr>
            </w:pPr>
            <w:r>
              <w:rPr>
                <w:rFonts w:hint="eastAsia"/>
              </w:rPr>
              <w:t>电子邮件：/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7" w:hRule="atLeast"/>
        </w:trPr>
        <w:tc>
          <w:tcPr>
            <w:tcW w:w="1164" w:type="dxa"/>
          </w:tcPr>
          <w:p>
            <w:pPr>
              <w:pStyle w:val="36"/>
              <w:rPr>
                <w:rFonts w:ascii="黑体"/>
                <w:b/>
              </w:rPr>
            </w:pPr>
          </w:p>
          <w:p>
            <w:pPr>
              <w:pStyle w:val="36"/>
              <w:rPr>
                <w:rFonts w:ascii="黑体"/>
                <w:b/>
              </w:rPr>
            </w:pPr>
          </w:p>
          <w:p>
            <w:pPr>
              <w:pStyle w:val="36"/>
              <w:spacing w:before="10"/>
              <w:rPr>
                <w:rFonts w:ascii="黑体"/>
                <w:b/>
                <w:sz w:val="20"/>
              </w:rPr>
            </w:pPr>
          </w:p>
          <w:p>
            <w:pPr>
              <w:pStyle w:val="36"/>
              <w:spacing w:before="1"/>
              <w:ind w:left="244" w:right="232"/>
              <w:jc w:val="center"/>
              <w:rPr>
                <w:rFonts w:ascii="Times New Roman"/>
                <w:sz w:val="21"/>
              </w:rPr>
            </w:pPr>
            <w:r>
              <w:rPr>
                <w:rFonts w:ascii="Times New Roman"/>
                <w:sz w:val="21"/>
              </w:rPr>
              <w:t>1.1.3</w:t>
            </w:r>
          </w:p>
        </w:tc>
        <w:tc>
          <w:tcPr>
            <w:tcW w:w="1920" w:type="dxa"/>
          </w:tcPr>
          <w:p>
            <w:pPr>
              <w:pStyle w:val="36"/>
              <w:rPr>
                <w:rFonts w:ascii="黑体"/>
                <w:b/>
                <w:sz w:val="20"/>
              </w:rPr>
            </w:pPr>
          </w:p>
          <w:p>
            <w:pPr>
              <w:pStyle w:val="36"/>
              <w:rPr>
                <w:rFonts w:ascii="黑体"/>
                <w:b/>
                <w:sz w:val="20"/>
              </w:rPr>
            </w:pPr>
          </w:p>
          <w:p>
            <w:pPr>
              <w:pStyle w:val="36"/>
              <w:spacing w:before="9"/>
              <w:rPr>
                <w:rFonts w:ascii="黑体"/>
                <w:b/>
                <w:sz w:val="23"/>
              </w:rPr>
            </w:pPr>
          </w:p>
          <w:p>
            <w:pPr>
              <w:pStyle w:val="36"/>
              <w:spacing w:before="1"/>
              <w:ind w:left="15"/>
              <w:jc w:val="center"/>
              <w:rPr>
                <w:sz w:val="21"/>
              </w:rPr>
            </w:pPr>
            <w:r>
              <w:rPr>
                <w:sz w:val="21"/>
              </w:rPr>
              <w:t>招标代理机构</w:t>
            </w:r>
          </w:p>
        </w:tc>
        <w:tc>
          <w:tcPr>
            <w:tcW w:w="6876" w:type="dxa"/>
          </w:tcPr>
          <w:p>
            <w:pPr>
              <w:spacing w:line="360" w:lineRule="exact"/>
            </w:pPr>
            <w:r>
              <w:rPr>
                <w:rFonts w:hint="eastAsia"/>
              </w:rPr>
              <w:t>名称：深圳科宇工程顾问有限公司</w:t>
            </w:r>
          </w:p>
          <w:p>
            <w:pPr>
              <w:spacing w:line="360" w:lineRule="exact"/>
            </w:pPr>
            <w:r>
              <w:rPr>
                <w:rFonts w:hint="eastAsia"/>
              </w:rPr>
              <w:t>地址：深圳市盐田区沙头角街道深盐路3046号</w:t>
            </w:r>
          </w:p>
          <w:p>
            <w:pPr>
              <w:spacing w:line="360" w:lineRule="exact"/>
            </w:pPr>
            <w:r>
              <w:rPr>
                <w:rFonts w:hint="eastAsia"/>
              </w:rPr>
              <w:t>联系人：唐艳芸</w:t>
            </w:r>
          </w:p>
          <w:p>
            <w:pPr>
              <w:spacing w:line="360" w:lineRule="exact"/>
            </w:pPr>
            <w:r>
              <w:rPr>
                <w:rFonts w:hint="eastAsia"/>
              </w:rPr>
              <w:t>电话：0750-5516828/15813790978</w:t>
            </w:r>
          </w:p>
          <w:p>
            <w:pPr>
              <w:pStyle w:val="36"/>
              <w:spacing w:line="266" w:lineRule="exact"/>
              <w:rPr>
                <w:sz w:val="21"/>
              </w:rPr>
            </w:pPr>
            <w:r>
              <w:rPr>
                <w:rFonts w:hint="eastAsia"/>
              </w:rPr>
              <w:t>电子邮件：</w:t>
            </w:r>
            <w:r>
              <w:t>495389236</w:t>
            </w:r>
            <w:r>
              <w:rPr>
                <w:rFonts w:hint="eastAsia"/>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164" w:type="dxa"/>
            <w:vAlign w:val="center"/>
          </w:tcPr>
          <w:p>
            <w:pPr>
              <w:pStyle w:val="36"/>
              <w:ind w:left="244" w:right="232"/>
              <w:jc w:val="both"/>
              <w:rPr>
                <w:rFonts w:ascii="Times New Roman"/>
                <w:sz w:val="21"/>
              </w:rPr>
            </w:pPr>
            <w:r>
              <w:rPr>
                <w:rFonts w:ascii="Times New Roman"/>
                <w:sz w:val="21"/>
              </w:rPr>
              <w:t>1.1.4</w:t>
            </w:r>
          </w:p>
        </w:tc>
        <w:tc>
          <w:tcPr>
            <w:tcW w:w="1920" w:type="dxa"/>
            <w:vAlign w:val="center"/>
          </w:tcPr>
          <w:p>
            <w:pPr>
              <w:pStyle w:val="36"/>
              <w:ind w:left="17"/>
              <w:jc w:val="both"/>
              <w:rPr>
                <w:sz w:val="21"/>
              </w:rPr>
            </w:pPr>
            <w:r>
              <w:rPr>
                <w:sz w:val="21"/>
              </w:rPr>
              <w:t>项目名称</w:t>
            </w:r>
          </w:p>
        </w:tc>
        <w:tc>
          <w:tcPr>
            <w:tcW w:w="6876" w:type="dxa"/>
            <w:vAlign w:val="center"/>
          </w:tcPr>
          <w:p>
            <w:pPr>
              <w:pStyle w:val="36"/>
              <w:ind w:left="111"/>
              <w:jc w:val="both"/>
              <w:rPr>
                <w:sz w:val="21"/>
              </w:rPr>
            </w:pPr>
            <w:r>
              <w:rPr>
                <w:sz w:val="21"/>
              </w:rPr>
              <w:t>广东省江门市气象局上川岛国家天气雷达项目设计施工总承包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9" w:hRule="atLeast"/>
        </w:trPr>
        <w:tc>
          <w:tcPr>
            <w:tcW w:w="1164" w:type="dxa"/>
          </w:tcPr>
          <w:p>
            <w:pPr>
              <w:pStyle w:val="36"/>
              <w:spacing w:before="6"/>
              <w:rPr>
                <w:rFonts w:ascii="黑体"/>
                <w:b/>
                <w:sz w:val="25"/>
              </w:rPr>
            </w:pPr>
          </w:p>
          <w:p>
            <w:pPr>
              <w:pStyle w:val="36"/>
              <w:ind w:left="244" w:right="232"/>
              <w:jc w:val="center"/>
              <w:rPr>
                <w:rFonts w:ascii="Times New Roman"/>
                <w:sz w:val="21"/>
              </w:rPr>
            </w:pPr>
            <w:r>
              <w:rPr>
                <w:rFonts w:ascii="Times New Roman"/>
                <w:sz w:val="21"/>
              </w:rPr>
              <w:t>1.1.5</w:t>
            </w:r>
          </w:p>
        </w:tc>
        <w:tc>
          <w:tcPr>
            <w:tcW w:w="1920" w:type="dxa"/>
          </w:tcPr>
          <w:p>
            <w:pPr>
              <w:pStyle w:val="36"/>
              <w:spacing w:before="5"/>
              <w:rPr>
                <w:rFonts w:ascii="黑体"/>
                <w:b/>
                <w:sz w:val="24"/>
              </w:rPr>
            </w:pPr>
          </w:p>
          <w:p>
            <w:pPr>
              <w:pStyle w:val="36"/>
              <w:ind w:left="17"/>
              <w:jc w:val="center"/>
              <w:rPr>
                <w:sz w:val="21"/>
              </w:rPr>
            </w:pPr>
            <w:r>
              <w:rPr>
                <w:sz w:val="21"/>
              </w:rPr>
              <w:t>建设地点</w:t>
            </w:r>
          </w:p>
        </w:tc>
        <w:tc>
          <w:tcPr>
            <w:tcW w:w="6876" w:type="dxa"/>
          </w:tcPr>
          <w:p>
            <w:pPr>
              <w:spacing w:line="360" w:lineRule="auto"/>
            </w:pPr>
            <w:r>
              <w:rPr>
                <w:rFonts w:hint="eastAsia"/>
              </w:rPr>
              <w:t>①本项目雷达塔楼及值班用房配套设施建设地点在江门台山市上川岛</w:t>
            </w:r>
          </w:p>
          <w:p>
            <w:pPr>
              <w:autoSpaceDE/>
              <w:autoSpaceDN/>
              <w:spacing w:line="360" w:lineRule="exact"/>
              <w:jc w:val="both"/>
            </w:pPr>
            <w:r>
              <w:rPr>
                <w:rFonts w:hint="eastAsia"/>
              </w:rPr>
              <w:t>②本项目雷达信息接收处理中心及配套设施建设地点在江门市蓬江区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trPr>
        <w:tc>
          <w:tcPr>
            <w:tcW w:w="1164" w:type="dxa"/>
            <w:vAlign w:val="center"/>
          </w:tcPr>
          <w:p>
            <w:pPr>
              <w:pStyle w:val="36"/>
              <w:ind w:left="244" w:right="232"/>
              <w:jc w:val="center"/>
              <w:rPr>
                <w:rFonts w:ascii="黑体"/>
                <w:b/>
                <w:sz w:val="25"/>
              </w:rPr>
            </w:pPr>
            <w:r>
              <w:rPr>
                <w:rFonts w:hint="eastAsia" w:ascii="Times New Roman"/>
                <w:sz w:val="21"/>
              </w:rPr>
              <w:t>1.2</w:t>
            </w:r>
          </w:p>
        </w:tc>
        <w:tc>
          <w:tcPr>
            <w:tcW w:w="1920" w:type="dxa"/>
            <w:vAlign w:val="center"/>
          </w:tcPr>
          <w:p>
            <w:pPr>
              <w:pStyle w:val="36"/>
              <w:ind w:left="17"/>
              <w:jc w:val="center"/>
              <w:rPr>
                <w:rFonts w:ascii="黑体"/>
                <w:b/>
                <w:sz w:val="24"/>
              </w:rPr>
            </w:pPr>
            <w:r>
              <w:rPr>
                <w:rFonts w:hint="eastAsia"/>
                <w:sz w:val="21"/>
              </w:rPr>
              <w:t>项目最高限价</w:t>
            </w:r>
          </w:p>
        </w:tc>
        <w:tc>
          <w:tcPr>
            <w:tcW w:w="6876" w:type="dxa"/>
            <w:vAlign w:val="bottom"/>
          </w:tcPr>
          <w:p>
            <w:pPr>
              <w:spacing w:line="360" w:lineRule="auto"/>
              <w:jc w:val="both"/>
            </w:pPr>
            <w:r>
              <w:rPr>
                <w:rFonts w:hint="eastAsia"/>
              </w:rPr>
              <w:t>2100万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trPr>
        <w:tc>
          <w:tcPr>
            <w:tcW w:w="1164" w:type="dxa"/>
          </w:tcPr>
          <w:p>
            <w:pPr>
              <w:pStyle w:val="36"/>
              <w:spacing w:before="7"/>
              <w:rPr>
                <w:rFonts w:ascii="黑体"/>
                <w:b/>
                <w:sz w:val="25"/>
              </w:rPr>
            </w:pPr>
          </w:p>
          <w:p>
            <w:pPr>
              <w:pStyle w:val="36"/>
              <w:ind w:left="244" w:right="232"/>
              <w:jc w:val="center"/>
              <w:rPr>
                <w:rFonts w:ascii="Times New Roman"/>
                <w:sz w:val="21"/>
              </w:rPr>
            </w:pPr>
            <w:r>
              <w:rPr>
                <w:rFonts w:ascii="Times New Roman"/>
                <w:sz w:val="21"/>
              </w:rPr>
              <w:t>1.2.1</w:t>
            </w:r>
          </w:p>
        </w:tc>
        <w:tc>
          <w:tcPr>
            <w:tcW w:w="1920" w:type="dxa"/>
          </w:tcPr>
          <w:p>
            <w:pPr>
              <w:pStyle w:val="36"/>
              <w:spacing w:before="5"/>
              <w:rPr>
                <w:rFonts w:ascii="黑体"/>
                <w:b/>
                <w:sz w:val="24"/>
              </w:rPr>
            </w:pPr>
          </w:p>
          <w:p>
            <w:pPr>
              <w:pStyle w:val="36"/>
              <w:spacing w:before="1"/>
              <w:ind w:left="15"/>
              <w:jc w:val="center"/>
              <w:rPr>
                <w:sz w:val="21"/>
              </w:rPr>
            </w:pPr>
            <w:r>
              <w:rPr>
                <w:sz w:val="21"/>
              </w:rPr>
              <w:t>资金来源及比例</w:t>
            </w:r>
          </w:p>
        </w:tc>
        <w:tc>
          <w:tcPr>
            <w:tcW w:w="6876" w:type="dxa"/>
          </w:tcPr>
          <w:p>
            <w:pPr>
              <w:pStyle w:val="36"/>
              <w:spacing w:before="5"/>
              <w:rPr>
                <w:rFonts w:ascii="黑体"/>
                <w:b/>
                <w:sz w:val="24"/>
              </w:rPr>
            </w:pPr>
          </w:p>
          <w:p>
            <w:pPr>
              <w:pStyle w:val="36"/>
              <w:spacing w:before="1"/>
              <w:ind w:firstLine="105" w:firstLineChars="50"/>
              <w:rPr>
                <w:rFonts w:ascii="Times New Roman" w:eastAsia="Times New Roman"/>
                <w:sz w:val="21"/>
              </w:rPr>
            </w:pPr>
            <w:r>
              <w:rPr>
                <w:rFonts w:hint="eastAsia"/>
                <w:sz w:val="21"/>
              </w:rPr>
              <w:t>财政资金</w:t>
            </w:r>
            <w:r>
              <w:rPr>
                <w:sz w:val="21"/>
              </w:rPr>
              <w:t>，</w:t>
            </w:r>
            <w:r>
              <w:rPr>
                <w:rFonts w:ascii="Times New Roman" w:eastAsia="Times New Roman"/>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164" w:type="dxa"/>
          </w:tcPr>
          <w:p>
            <w:pPr>
              <w:pStyle w:val="36"/>
              <w:spacing w:before="6"/>
              <w:rPr>
                <w:rFonts w:ascii="黑体"/>
                <w:b/>
                <w:sz w:val="25"/>
              </w:rPr>
            </w:pPr>
          </w:p>
          <w:p>
            <w:pPr>
              <w:pStyle w:val="36"/>
              <w:ind w:left="244" w:right="232"/>
              <w:jc w:val="center"/>
              <w:rPr>
                <w:rFonts w:ascii="Times New Roman"/>
                <w:sz w:val="21"/>
              </w:rPr>
            </w:pPr>
            <w:r>
              <w:rPr>
                <w:rFonts w:ascii="Times New Roman"/>
                <w:sz w:val="21"/>
              </w:rPr>
              <w:t>1.2.2</w:t>
            </w:r>
          </w:p>
        </w:tc>
        <w:tc>
          <w:tcPr>
            <w:tcW w:w="1920" w:type="dxa"/>
          </w:tcPr>
          <w:p>
            <w:pPr>
              <w:pStyle w:val="36"/>
              <w:spacing w:before="5"/>
              <w:rPr>
                <w:rFonts w:ascii="黑体"/>
                <w:b/>
                <w:sz w:val="24"/>
              </w:rPr>
            </w:pPr>
          </w:p>
          <w:p>
            <w:pPr>
              <w:pStyle w:val="36"/>
              <w:ind w:left="15"/>
              <w:jc w:val="center"/>
              <w:rPr>
                <w:sz w:val="21"/>
              </w:rPr>
            </w:pPr>
            <w:r>
              <w:rPr>
                <w:sz w:val="21"/>
              </w:rPr>
              <w:t>资金落实情况</w:t>
            </w:r>
          </w:p>
        </w:tc>
        <w:tc>
          <w:tcPr>
            <w:tcW w:w="6876" w:type="dxa"/>
          </w:tcPr>
          <w:p>
            <w:pPr>
              <w:pStyle w:val="36"/>
              <w:spacing w:before="5"/>
              <w:rPr>
                <w:rFonts w:ascii="黑体"/>
                <w:b/>
                <w:sz w:val="24"/>
              </w:rPr>
            </w:pPr>
          </w:p>
          <w:p>
            <w:pPr>
              <w:pStyle w:val="36"/>
              <w:ind w:left="111"/>
              <w:rPr>
                <w:sz w:val="21"/>
              </w:rPr>
            </w:pPr>
            <w:r>
              <w:rPr>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9" w:hRule="atLeast"/>
        </w:trPr>
        <w:tc>
          <w:tcPr>
            <w:tcW w:w="1164" w:type="dxa"/>
          </w:tcPr>
          <w:p>
            <w:pPr>
              <w:pStyle w:val="36"/>
              <w:rPr>
                <w:rFonts w:ascii="黑体"/>
                <w:b/>
              </w:rPr>
            </w:pPr>
          </w:p>
          <w:p>
            <w:pPr>
              <w:pStyle w:val="36"/>
              <w:rPr>
                <w:rFonts w:ascii="黑体"/>
                <w:b/>
              </w:rPr>
            </w:pPr>
          </w:p>
          <w:p>
            <w:pPr>
              <w:pStyle w:val="36"/>
              <w:rPr>
                <w:rFonts w:ascii="黑体"/>
                <w:b/>
              </w:rPr>
            </w:pPr>
          </w:p>
          <w:p>
            <w:pPr>
              <w:pStyle w:val="36"/>
              <w:spacing w:before="146"/>
              <w:ind w:left="244" w:right="232"/>
              <w:jc w:val="center"/>
              <w:rPr>
                <w:rFonts w:ascii="Times New Roman"/>
                <w:sz w:val="21"/>
              </w:rPr>
            </w:pPr>
            <w:r>
              <w:rPr>
                <w:rFonts w:ascii="Times New Roman"/>
                <w:sz w:val="21"/>
              </w:rPr>
              <w:t>1.3.1</w:t>
            </w:r>
          </w:p>
        </w:tc>
        <w:tc>
          <w:tcPr>
            <w:tcW w:w="1920" w:type="dxa"/>
          </w:tcPr>
          <w:p>
            <w:pPr>
              <w:pStyle w:val="36"/>
              <w:rPr>
                <w:rFonts w:ascii="黑体"/>
                <w:b/>
                <w:sz w:val="20"/>
              </w:rPr>
            </w:pPr>
          </w:p>
          <w:p>
            <w:pPr>
              <w:pStyle w:val="36"/>
              <w:rPr>
                <w:rFonts w:ascii="黑体"/>
                <w:b/>
                <w:sz w:val="20"/>
              </w:rPr>
            </w:pPr>
          </w:p>
          <w:p>
            <w:pPr>
              <w:pStyle w:val="36"/>
              <w:ind w:left="17"/>
              <w:jc w:val="center"/>
              <w:rPr>
                <w:sz w:val="21"/>
              </w:rPr>
            </w:pPr>
            <w:r>
              <w:rPr>
                <w:sz w:val="21"/>
              </w:rPr>
              <w:t>招标范围</w:t>
            </w:r>
          </w:p>
        </w:tc>
        <w:tc>
          <w:tcPr>
            <w:tcW w:w="6876" w:type="dxa"/>
          </w:tcPr>
          <w:p>
            <w:pPr>
              <w:pStyle w:val="36"/>
              <w:spacing w:line="266" w:lineRule="exact"/>
              <w:ind w:left="111"/>
              <w:rPr>
                <w:sz w:val="21"/>
              </w:rPr>
            </w:pPr>
            <w:r>
              <w:rPr>
                <w:spacing w:val="-5"/>
              </w:rPr>
              <w:t>可行性研究报告内包括但不限于以下内容：</w:t>
            </w:r>
            <w:r>
              <w:t>①设计工作包含：</w:t>
            </w:r>
            <w:r>
              <w:rPr>
                <w:spacing w:val="-5"/>
              </w:rPr>
              <w:t>完成本项目的设计</w:t>
            </w:r>
            <w:r>
              <w:rPr>
                <w:spacing w:val="-3"/>
              </w:rPr>
              <w:t>（</w:t>
            </w:r>
            <w:r>
              <w:rPr>
                <w:spacing w:val="-4"/>
              </w:rPr>
              <w:t>包括方案设计</w:t>
            </w:r>
            <w:r>
              <w:rPr>
                <w:rFonts w:hint="eastAsia"/>
                <w:spacing w:val="-4"/>
              </w:rPr>
              <w:t>和工程估算编制</w:t>
            </w:r>
            <w:r>
              <w:rPr>
                <w:spacing w:val="-4"/>
              </w:rPr>
              <w:t>、</w:t>
            </w:r>
            <w:r>
              <w:rPr>
                <w:rFonts w:hint="eastAsia"/>
                <w:spacing w:val="-4"/>
              </w:rPr>
              <w:t>初步设计、</w:t>
            </w:r>
            <w:r>
              <w:rPr>
                <w:spacing w:val="-4"/>
              </w:rPr>
              <w:t>设计概算、施工图设计、施工图预算编制、竣工图编制、</w:t>
            </w:r>
            <w:r>
              <w:rPr>
                <w:rFonts w:hint="eastAsia"/>
                <w:spacing w:val="-4"/>
                <w:highlight w:val="yellow"/>
              </w:rPr>
              <w:t>结算编制</w:t>
            </w:r>
            <w:r>
              <w:rPr>
                <w:rFonts w:hint="eastAsia"/>
                <w:spacing w:val="-4"/>
              </w:rPr>
              <w:t>、</w:t>
            </w:r>
            <w:r>
              <w:rPr>
                <w:spacing w:val="-4"/>
              </w:rPr>
              <w:t>施工配合、现场服务等相关服务</w:t>
            </w:r>
            <w:r>
              <w:rPr>
                <w:spacing w:val="-106"/>
              </w:rPr>
              <w:t>）</w:t>
            </w:r>
            <w:r>
              <w:rPr>
                <w:rFonts w:hint="eastAsia"/>
              </w:rPr>
              <w:t>；</w:t>
            </w:r>
            <w:r>
              <w:t>②施工工作包含：包括但不限于土建工程、装修部分（工程施工范围包括工程图纸设计范围内的所有工程内容</w:t>
            </w:r>
            <w:r>
              <w:rPr>
                <w:spacing w:val="-104"/>
              </w:rPr>
              <w:t>）</w:t>
            </w:r>
            <w:r>
              <w:t>、工程竣工验收合格，工程保修期内的缺陷修复和保修</w:t>
            </w:r>
            <w:r>
              <w:rPr>
                <w:spacing w:val="-3"/>
              </w:rPr>
              <w:t>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0" w:hRule="atLeast"/>
        </w:trPr>
        <w:tc>
          <w:tcPr>
            <w:tcW w:w="1164" w:type="dxa"/>
          </w:tcPr>
          <w:p>
            <w:pPr>
              <w:pStyle w:val="36"/>
              <w:spacing w:before="12"/>
              <w:rPr>
                <w:rFonts w:ascii="黑体"/>
                <w:b/>
                <w:sz w:val="27"/>
              </w:rPr>
            </w:pPr>
          </w:p>
          <w:p>
            <w:pPr>
              <w:pStyle w:val="36"/>
              <w:spacing w:before="1"/>
              <w:ind w:left="244" w:right="232"/>
              <w:jc w:val="center"/>
              <w:rPr>
                <w:rFonts w:ascii="Times New Roman"/>
                <w:sz w:val="21"/>
              </w:rPr>
            </w:pPr>
            <w:r>
              <w:rPr>
                <w:rFonts w:ascii="Times New Roman"/>
                <w:sz w:val="21"/>
              </w:rPr>
              <w:t>1.3.2</w:t>
            </w:r>
          </w:p>
        </w:tc>
        <w:tc>
          <w:tcPr>
            <w:tcW w:w="1920" w:type="dxa"/>
          </w:tcPr>
          <w:p>
            <w:pPr>
              <w:pStyle w:val="36"/>
              <w:spacing w:before="11"/>
              <w:rPr>
                <w:rFonts w:ascii="黑体"/>
                <w:b/>
                <w:sz w:val="26"/>
              </w:rPr>
            </w:pPr>
          </w:p>
          <w:p>
            <w:pPr>
              <w:pStyle w:val="36"/>
              <w:ind w:left="17"/>
              <w:jc w:val="center"/>
              <w:rPr>
                <w:sz w:val="21"/>
              </w:rPr>
            </w:pPr>
            <w:r>
              <w:rPr>
                <w:sz w:val="21"/>
              </w:rPr>
              <w:t>计划工期</w:t>
            </w:r>
          </w:p>
        </w:tc>
        <w:tc>
          <w:tcPr>
            <w:tcW w:w="6876" w:type="dxa"/>
          </w:tcPr>
          <w:p>
            <w:pPr>
              <w:pStyle w:val="36"/>
              <w:spacing w:line="400" w:lineRule="atLeast"/>
              <w:ind w:left="111" w:right="19"/>
              <w:rPr>
                <w:sz w:val="21"/>
              </w:rPr>
            </w:pPr>
            <w:r>
              <w:rPr>
                <w:sz w:val="21"/>
              </w:rPr>
              <w:t>计划</w:t>
            </w:r>
            <w:r>
              <w:rPr>
                <w:rFonts w:hint="eastAsia"/>
                <w:sz w:val="21"/>
              </w:rPr>
              <w:t>总</w:t>
            </w:r>
            <w:r>
              <w:rPr>
                <w:sz w:val="21"/>
              </w:rPr>
              <w:t>工期：</w:t>
            </w:r>
            <w:r>
              <w:rPr>
                <w:rFonts w:hint="eastAsia"/>
                <w:u w:val="single"/>
              </w:rPr>
              <w:t xml:space="preserve">  365 </w:t>
            </w:r>
            <w:r>
              <w:rPr>
                <w:rFonts w:hint="eastAsia"/>
              </w:rPr>
              <w:t>个日历天，（含施工图设计、施工报建、施工、竣工验收时间等）。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1164" w:type="dxa"/>
          </w:tcPr>
          <w:p>
            <w:pPr>
              <w:pStyle w:val="36"/>
              <w:rPr>
                <w:rFonts w:ascii="黑体"/>
                <w:b/>
              </w:rPr>
            </w:pPr>
          </w:p>
          <w:p>
            <w:pPr>
              <w:pStyle w:val="36"/>
              <w:rPr>
                <w:rFonts w:ascii="黑体"/>
                <w:b/>
              </w:rPr>
            </w:pPr>
          </w:p>
          <w:p>
            <w:pPr>
              <w:pStyle w:val="36"/>
              <w:spacing w:before="173"/>
              <w:ind w:left="244" w:right="232"/>
              <w:jc w:val="center"/>
              <w:rPr>
                <w:rFonts w:ascii="Times New Roman"/>
                <w:sz w:val="21"/>
              </w:rPr>
            </w:pPr>
            <w:r>
              <w:rPr>
                <w:rFonts w:ascii="Times New Roman"/>
                <w:sz w:val="21"/>
              </w:rPr>
              <w:t>1.3.3</w:t>
            </w:r>
          </w:p>
        </w:tc>
        <w:tc>
          <w:tcPr>
            <w:tcW w:w="1920" w:type="dxa"/>
          </w:tcPr>
          <w:p>
            <w:pPr>
              <w:pStyle w:val="36"/>
              <w:rPr>
                <w:rFonts w:ascii="黑体"/>
                <w:b/>
                <w:sz w:val="20"/>
              </w:rPr>
            </w:pPr>
          </w:p>
          <w:p>
            <w:pPr>
              <w:pStyle w:val="36"/>
              <w:rPr>
                <w:rFonts w:ascii="黑体"/>
                <w:b/>
                <w:sz w:val="20"/>
              </w:rPr>
            </w:pPr>
          </w:p>
          <w:p>
            <w:pPr>
              <w:pStyle w:val="36"/>
              <w:spacing w:before="5"/>
              <w:rPr>
                <w:rFonts w:ascii="黑体"/>
                <w:b/>
                <w:sz w:val="16"/>
              </w:rPr>
            </w:pPr>
          </w:p>
          <w:p>
            <w:pPr>
              <w:pStyle w:val="36"/>
              <w:spacing w:before="1"/>
              <w:ind w:left="15"/>
              <w:jc w:val="center"/>
              <w:rPr>
                <w:sz w:val="21"/>
              </w:rPr>
            </w:pPr>
            <w:r>
              <w:rPr>
                <w:sz w:val="21"/>
              </w:rPr>
              <w:t>质量标准</w:t>
            </w:r>
          </w:p>
        </w:tc>
        <w:tc>
          <w:tcPr>
            <w:tcW w:w="6876" w:type="dxa"/>
          </w:tcPr>
          <w:p>
            <w:pPr>
              <w:pStyle w:val="36"/>
              <w:spacing w:before="109" w:line="357" w:lineRule="auto"/>
              <w:ind w:left="111" w:right="89"/>
              <w:jc w:val="both"/>
              <w:rPr>
                <w:sz w:val="21"/>
              </w:rPr>
            </w:pPr>
            <w:r>
              <w:rPr>
                <w:sz w:val="21"/>
              </w:rPr>
              <w:t>（</w:t>
            </w:r>
            <w:r>
              <w:rPr>
                <w:rFonts w:ascii="Times New Roman" w:eastAsia="Times New Roman"/>
                <w:sz w:val="21"/>
              </w:rPr>
              <w:t>1</w:t>
            </w:r>
            <w:r>
              <w:rPr>
                <w:sz w:val="21"/>
              </w:rPr>
              <w:t>）</w:t>
            </w:r>
            <w:r>
              <w:rPr>
                <w:spacing w:val="-7"/>
                <w:sz w:val="21"/>
              </w:rPr>
              <w:t>设计质量要求：按国家、省或行业现行的工</w:t>
            </w:r>
            <w:r>
              <w:rPr>
                <w:spacing w:val="-10"/>
                <w:sz w:val="21"/>
              </w:rPr>
              <w:t>程设计准则和相关规范要求，满足招标人的功能需求，并通过招标人及</w:t>
            </w:r>
            <w:r>
              <w:rPr>
                <w:sz w:val="21"/>
              </w:rPr>
              <w:t>有关部门或专业机构的审查。</w:t>
            </w:r>
          </w:p>
          <w:p>
            <w:pPr>
              <w:pStyle w:val="36"/>
              <w:spacing w:line="266" w:lineRule="exact"/>
              <w:ind w:left="111"/>
              <w:rPr>
                <w:sz w:val="21"/>
              </w:rPr>
            </w:pPr>
            <w:r>
              <w:rPr>
                <w:spacing w:val="-7"/>
                <w:sz w:val="21"/>
              </w:rPr>
              <w:t>（</w:t>
            </w:r>
            <w:r>
              <w:rPr>
                <w:rFonts w:ascii="Times New Roman" w:eastAsia="Times New Roman"/>
                <w:spacing w:val="-7"/>
                <w:sz w:val="21"/>
              </w:rPr>
              <w:t>2</w:t>
            </w:r>
            <w:r>
              <w:rPr>
                <w:spacing w:val="-7"/>
                <w:sz w:val="21"/>
              </w:rPr>
              <w:t>）</w:t>
            </w:r>
            <w:r>
              <w:rPr>
                <w:sz w:val="21"/>
              </w:rPr>
              <w:t>施工质量要求：合格。</w:t>
            </w:r>
          </w:p>
        </w:tc>
      </w:tr>
    </w:tbl>
    <w:p>
      <w:pPr>
        <w:spacing w:line="266" w:lineRule="exact"/>
        <w:rPr>
          <w:sz w:val="21"/>
        </w:rPr>
        <w:sectPr>
          <w:pgSz w:w="11910" w:h="16840"/>
          <w:pgMar w:top="1480" w:right="580" w:bottom="1220" w:left="920" w:header="0" w:footer="950" w:gutter="0"/>
          <w:cols w:space="720" w:num="1"/>
        </w:sectPr>
      </w:pPr>
    </w:p>
    <w:tbl>
      <w:tblPr>
        <w:tblStyle w:val="24"/>
        <w:tblW w:w="981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1920"/>
        <w:gridCol w:w="72"/>
        <w:gridCol w:w="6591"/>
        <w:gridCol w:w="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6"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9"/>
              <w:rPr>
                <w:rFonts w:ascii="黑体"/>
                <w:b/>
                <w:sz w:val="24"/>
              </w:rPr>
            </w:pPr>
          </w:p>
          <w:p>
            <w:pPr>
              <w:pStyle w:val="36"/>
              <w:ind w:left="244" w:right="232"/>
              <w:jc w:val="center"/>
              <w:rPr>
                <w:rFonts w:ascii="Times New Roman"/>
                <w:sz w:val="21"/>
              </w:rPr>
            </w:pPr>
            <w:r>
              <w:rPr>
                <w:rFonts w:ascii="Times New Roman"/>
                <w:sz w:val="21"/>
              </w:rPr>
              <w:t>1.4.1</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5"/>
              <w:rPr>
                <w:rFonts w:ascii="黑体"/>
                <w:b/>
                <w:sz w:val="24"/>
              </w:rPr>
            </w:pPr>
          </w:p>
          <w:p>
            <w:pPr>
              <w:pStyle w:val="36"/>
              <w:spacing w:line="393" w:lineRule="auto"/>
              <w:ind w:left="437" w:right="102" w:hanging="315"/>
              <w:rPr>
                <w:sz w:val="21"/>
              </w:rPr>
            </w:pPr>
            <w:r>
              <w:rPr>
                <w:sz w:val="21"/>
              </w:rPr>
              <w:t>投标人资质条件、能力和信誉</w:t>
            </w:r>
          </w:p>
        </w:tc>
        <w:tc>
          <w:tcPr>
            <w:tcW w:w="6734" w:type="dxa"/>
            <w:gridSpan w:val="3"/>
          </w:tcPr>
          <w:p>
            <w:pPr>
              <w:pStyle w:val="36"/>
              <w:spacing w:before="39"/>
              <w:ind w:left="111"/>
              <w:rPr>
                <w:sz w:val="21"/>
              </w:rPr>
            </w:pPr>
            <w:r>
              <w:rPr>
                <w:b/>
                <w:sz w:val="21"/>
              </w:rPr>
              <w:t>资质条件</w:t>
            </w:r>
            <w:r>
              <w:rPr>
                <w:sz w:val="21"/>
              </w:rPr>
              <w:t>：</w:t>
            </w:r>
          </w:p>
          <w:p>
            <w:pPr>
              <w:pStyle w:val="36"/>
              <w:spacing w:before="41"/>
              <w:ind w:left="533"/>
              <w:rPr>
                <w:sz w:val="21"/>
              </w:rPr>
            </w:pPr>
            <w:r>
              <w:rPr>
                <w:sz w:val="21"/>
              </w:rPr>
              <w:t>一、设计资质：须具备下列资质之一：①工程设计综合甲级资质，</w:t>
            </w:r>
          </w:p>
          <w:p>
            <w:pPr>
              <w:pStyle w:val="36"/>
              <w:spacing w:before="43" w:line="276" w:lineRule="auto"/>
              <w:ind w:left="111" w:right="20"/>
              <w:rPr>
                <w:sz w:val="21"/>
              </w:rPr>
            </w:pPr>
            <w:r>
              <w:rPr>
                <w:sz w:val="21"/>
              </w:rPr>
              <w:t>②工程设计建筑行业乙级（或以上）资质，③工程设计建筑行业（建筑工程）专业乙级（或以上）资质；</w:t>
            </w:r>
          </w:p>
          <w:p>
            <w:pPr>
              <w:pStyle w:val="36"/>
              <w:spacing w:line="276" w:lineRule="auto"/>
              <w:ind w:left="531" w:right="1074"/>
              <w:rPr>
                <w:sz w:val="21"/>
              </w:rPr>
            </w:pPr>
            <w:r>
              <w:rPr>
                <w:rFonts w:hint="eastAsia"/>
                <w:sz w:val="21"/>
              </w:rPr>
              <w:t>二</w:t>
            </w:r>
            <w:r>
              <w:rPr>
                <w:sz w:val="21"/>
              </w:rPr>
              <w:t>、施工资质：建筑工程施工总承包三级及以上资质。</w:t>
            </w:r>
            <w:r>
              <w:rPr>
                <w:rFonts w:hint="eastAsia"/>
                <w:sz w:val="21"/>
              </w:rPr>
              <w:t>三</w:t>
            </w:r>
            <w:r>
              <w:rPr>
                <w:sz w:val="21"/>
              </w:rPr>
              <w:t>、具备有效的营业执照；</w:t>
            </w:r>
          </w:p>
          <w:p>
            <w:pPr>
              <w:pStyle w:val="36"/>
              <w:spacing w:before="1" w:line="276" w:lineRule="auto"/>
              <w:ind w:left="111" w:right="1285" w:firstLine="420"/>
              <w:rPr>
                <w:sz w:val="21"/>
              </w:rPr>
            </w:pPr>
            <w:r>
              <w:rPr>
                <w:rFonts w:hint="eastAsia"/>
                <w:spacing w:val="-4"/>
                <w:sz w:val="21"/>
              </w:rPr>
              <w:t>四</w:t>
            </w:r>
            <w:r>
              <w:rPr>
                <w:spacing w:val="-4"/>
                <w:sz w:val="21"/>
              </w:rPr>
              <w:t>、施工企业需要具备有效的企业安全生产许可证。</w:t>
            </w:r>
            <w:r>
              <w:rPr>
                <w:b/>
                <w:sz w:val="21"/>
              </w:rPr>
              <w:t>财务要求：</w:t>
            </w:r>
            <w:r>
              <w:rPr>
                <w:spacing w:val="-2"/>
                <w:sz w:val="21"/>
              </w:rPr>
              <w:t>无。</w:t>
            </w:r>
          </w:p>
          <w:p>
            <w:pPr>
              <w:pStyle w:val="36"/>
              <w:spacing w:before="3" w:line="276" w:lineRule="auto"/>
              <w:ind w:left="111" w:right="4641"/>
              <w:jc w:val="both"/>
              <w:rPr>
                <w:spacing w:val="-2"/>
                <w:sz w:val="21"/>
              </w:rPr>
            </w:pPr>
            <w:r>
              <w:rPr>
                <w:b/>
                <w:sz w:val="21"/>
              </w:rPr>
              <w:t>设计业绩要求</w:t>
            </w:r>
            <w:r>
              <w:rPr>
                <w:spacing w:val="-7"/>
                <w:sz w:val="21"/>
              </w:rPr>
              <w:t>：无。</w:t>
            </w:r>
            <w:r>
              <w:rPr>
                <w:b/>
                <w:sz w:val="21"/>
              </w:rPr>
              <w:t>施工业绩要求</w:t>
            </w:r>
            <w:r>
              <w:rPr>
                <w:spacing w:val="-7"/>
                <w:sz w:val="21"/>
              </w:rPr>
              <w:t>：无。</w:t>
            </w:r>
            <w:r>
              <w:rPr>
                <w:b/>
                <w:sz w:val="21"/>
              </w:rPr>
              <w:t>信誉要求</w:t>
            </w:r>
            <w:r>
              <w:rPr>
                <w:spacing w:val="-2"/>
                <w:sz w:val="21"/>
              </w:rPr>
              <w:t>：无。</w:t>
            </w:r>
          </w:p>
          <w:p>
            <w:pPr>
              <w:pStyle w:val="36"/>
              <w:spacing w:before="3" w:line="276" w:lineRule="auto"/>
              <w:ind w:left="111" w:right="284"/>
              <w:jc w:val="both"/>
              <w:rPr>
                <w:sz w:val="21"/>
              </w:rPr>
            </w:pPr>
            <w:r>
              <w:rPr>
                <w:b/>
              </w:rPr>
              <w:t>项目总负责人</w:t>
            </w:r>
            <w:r>
              <w:t>（若为联合体投标，由联合体牵头方提供；项目总负责人即为设计负责人）要求：具备一级注册建筑师资格。</w:t>
            </w:r>
          </w:p>
          <w:p>
            <w:pPr>
              <w:pStyle w:val="36"/>
              <w:spacing w:before="1" w:line="276" w:lineRule="auto"/>
              <w:ind w:left="111" w:right="-15"/>
              <w:rPr>
                <w:sz w:val="21"/>
              </w:rPr>
            </w:pPr>
            <w:r>
              <w:rPr>
                <w:b/>
                <w:spacing w:val="-5"/>
                <w:sz w:val="21"/>
              </w:rPr>
              <w:t>项目经理</w:t>
            </w:r>
            <w:r>
              <w:rPr>
                <w:rFonts w:hint="eastAsia"/>
                <w:b/>
                <w:spacing w:val="-5"/>
                <w:sz w:val="21"/>
              </w:rPr>
              <w:t xml:space="preserve"> 2名</w:t>
            </w:r>
            <w:r>
              <w:rPr>
                <w:b/>
                <w:sz w:val="21"/>
              </w:rPr>
              <w:t>（</w:t>
            </w:r>
            <w:r>
              <w:rPr>
                <w:sz w:val="21"/>
                <w:szCs w:val="21"/>
              </w:rPr>
              <w:t>注：</w:t>
            </w:r>
            <w:r>
              <w:t>若为联合体投标，指承担施工任务的单位</w:t>
            </w:r>
            <w:r>
              <w:rPr>
                <w:b/>
                <w:spacing w:val="-8"/>
                <w:sz w:val="21"/>
              </w:rPr>
              <w:t>）</w:t>
            </w:r>
            <w:r>
              <w:rPr>
                <w:b/>
                <w:spacing w:val="-2"/>
                <w:sz w:val="21"/>
              </w:rPr>
              <w:t>的资格要求</w:t>
            </w:r>
            <w:r>
              <w:rPr>
                <w:spacing w:val="-8"/>
                <w:sz w:val="21"/>
              </w:rPr>
              <w:t>：需具有</w:t>
            </w:r>
            <w:r>
              <w:rPr>
                <w:rFonts w:hint="eastAsia"/>
                <w:spacing w:val="-8"/>
                <w:sz w:val="21"/>
                <w:u w:val="single"/>
              </w:rPr>
              <w:t>建筑工程二级</w:t>
            </w:r>
            <w:r>
              <w:rPr>
                <w:spacing w:val="-16"/>
                <w:sz w:val="21"/>
                <w:u w:val="single"/>
              </w:rPr>
              <w:t>注册建造师</w:t>
            </w:r>
            <w:r>
              <w:rPr>
                <w:rFonts w:hint="eastAsia"/>
                <w:spacing w:val="-8"/>
                <w:sz w:val="21"/>
                <w:u w:val="single"/>
              </w:rPr>
              <w:t>（及以上）</w:t>
            </w:r>
            <w:r>
              <w:rPr>
                <w:spacing w:val="-16"/>
                <w:sz w:val="21"/>
                <w:u w:val="single"/>
              </w:rPr>
              <w:t>资格</w:t>
            </w:r>
            <w:r>
              <w:rPr>
                <w:sz w:val="21"/>
                <w:u w:val="single"/>
              </w:rPr>
              <w:t>（</w:t>
            </w:r>
            <w:r>
              <w:rPr>
                <w:spacing w:val="-3"/>
                <w:sz w:val="21"/>
              </w:rPr>
              <w:t>二级建造师必须在广东省内注册</w:t>
            </w:r>
            <w:r>
              <w:rPr>
                <w:spacing w:val="-106"/>
                <w:sz w:val="21"/>
              </w:rPr>
              <w:t>）</w:t>
            </w:r>
            <w:r>
              <w:rPr>
                <w:sz w:val="21"/>
              </w:rPr>
              <w:t>，</w:t>
            </w:r>
            <w:r>
              <w:rPr>
                <w:spacing w:val="-3"/>
                <w:sz w:val="21"/>
              </w:rPr>
              <w:t>具备有效的安全生产考核合格证书（</w:t>
            </w:r>
            <w:r>
              <w:rPr>
                <w:rFonts w:ascii="Times New Roman" w:eastAsia="Times New Roman"/>
                <w:sz w:val="21"/>
              </w:rPr>
              <w:t xml:space="preserve">B  </w:t>
            </w:r>
            <w:r>
              <w:rPr>
                <w:sz w:val="21"/>
              </w:rPr>
              <w:t>证</w:t>
            </w:r>
            <w:r>
              <w:rPr>
                <w:spacing w:val="-108"/>
                <w:sz w:val="21"/>
              </w:rPr>
              <w:t>）</w:t>
            </w:r>
            <w:r>
              <w:rPr>
                <w:spacing w:val="-3"/>
                <w:sz w:val="21"/>
              </w:rPr>
              <w:t>，且不得担任其他在建工程项目的施工负责人。</w:t>
            </w:r>
          </w:p>
          <w:p>
            <w:pPr>
              <w:pStyle w:val="36"/>
              <w:spacing w:before="3" w:line="276" w:lineRule="auto"/>
              <w:ind w:left="111" w:right="-15"/>
              <w:rPr>
                <w:sz w:val="21"/>
              </w:rPr>
            </w:pPr>
            <w:r>
              <w:rPr>
                <w:b/>
                <w:spacing w:val="-6"/>
                <w:sz w:val="21"/>
              </w:rPr>
              <w:t>施工</w:t>
            </w:r>
            <w:r>
              <w:rPr>
                <w:rFonts w:hint="eastAsia"/>
                <w:b/>
                <w:spacing w:val="-6"/>
                <w:sz w:val="21"/>
              </w:rPr>
              <w:t>负责人2名</w:t>
            </w:r>
            <w:r>
              <w:rPr>
                <w:b/>
                <w:sz w:val="21"/>
              </w:rPr>
              <w:t>（</w:t>
            </w:r>
            <w:r>
              <w:rPr>
                <w:sz w:val="21"/>
                <w:szCs w:val="21"/>
              </w:rPr>
              <w:t>注：</w:t>
            </w:r>
            <w:r>
              <w:t>若为联合体投标，指承担施工任务的单位</w:t>
            </w:r>
            <w:r>
              <w:rPr>
                <w:b/>
                <w:spacing w:val="-8"/>
                <w:sz w:val="21"/>
              </w:rPr>
              <w:t>）</w:t>
            </w:r>
            <w:r>
              <w:rPr>
                <w:b/>
                <w:spacing w:val="-2"/>
                <w:sz w:val="21"/>
              </w:rPr>
              <w:t>的资格要求</w:t>
            </w:r>
            <w:r>
              <w:rPr>
                <w:rFonts w:hint="eastAsia"/>
                <w:b/>
                <w:spacing w:val="-2"/>
                <w:sz w:val="21"/>
              </w:rPr>
              <w:t>：</w:t>
            </w:r>
            <w:r>
              <w:rPr>
                <w:spacing w:val="-8"/>
                <w:sz w:val="21"/>
              </w:rPr>
              <w:t>需具有</w:t>
            </w:r>
            <w:r>
              <w:rPr>
                <w:rFonts w:hint="eastAsia"/>
                <w:spacing w:val="-8"/>
                <w:sz w:val="21"/>
                <w:u w:val="single"/>
              </w:rPr>
              <w:t>建筑工程二级</w:t>
            </w:r>
            <w:r>
              <w:rPr>
                <w:spacing w:val="-16"/>
                <w:sz w:val="21"/>
                <w:u w:val="single"/>
              </w:rPr>
              <w:t>注册建造师</w:t>
            </w:r>
            <w:r>
              <w:rPr>
                <w:rFonts w:hint="eastAsia"/>
                <w:spacing w:val="-8"/>
                <w:sz w:val="21"/>
                <w:u w:val="single"/>
              </w:rPr>
              <w:t>（及以上）</w:t>
            </w:r>
            <w:r>
              <w:rPr>
                <w:spacing w:val="-16"/>
                <w:sz w:val="21"/>
                <w:u w:val="single"/>
              </w:rPr>
              <w:t>资格</w:t>
            </w:r>
            <w:r>
              <w:rPr>
                <w:sz w:val="21"/>
                <w:u w:val="single"/>
              </w:rPr>
              <w:t>（</w:t>
            </w:r>
            <w:r>
              <w:rPr>
                <w:spacing w:val="-3"/>
                <w:sz w:val="21"/>
              </w:rPr>
              <w:t>二级建造师必须在广东省内注册</w:t>
            </w:r>
            <w:r>
              <w:rPr>
                <w:spacing w:val="-106"/>
                <w:sz w:val="21"/>
              </w:rPr>
              <w:t>）</w:t>
            </w:r>
            <w:r>
              <w:rPr>
                <w:sz w:val="21"/>
              </w:rPr>
              <w:t>，具备</w:t>
            </w:r>
            <w:r>
              <w:rPr>
                <w:spacing w:val="-3"/>
                <w:sz w:val="21"/>
              </w:rPr>
              <w:t>有效的安全生产考核合格证书（</w:t>
            </w:r>
            <w:r>
              <w:rPr>
                <w:rFonts w:ascii="Times New Roman" w:eastAsia="Times New Roman"/>
                <w:sz w:val="21"/>
              </w:rPr>
              <w:t xml:space="preserve">B  </w:t>
            </w:r>
            <w:r>
              <w:rPr>
                <w:sz w:val="21"/>
              </w:rPr>
              <w:t>证</w:t>
            </w:r>
            <w:r>
              <w:rPr>
                <w:spacing w:val="-108"/>
                <w:sz w:val="21"/>
              </w:rPr>
              <w:t>）</w:t>
            </w:r>
            <w:r>
              <w:rPr>
                <w:spacing w:val="-3"/>
                <w:sz w:val="21"/>
              </w:rPr>
              <w:t>，且不得担任其他在建工程项</w:t>
            </w:r>
            <w:r>
              <w:rPr>
                <w:sz w:val="21"/>
              </w:rPr>
              <w:t>目</w:t>
            </w:r>
            <w:r>
              <w:rPr>
                <w:spacing w:val="-3"/>
                <w:sz w:val="21"/>
              </w:rPr>
              <w:t>的施工负责人。</w:t>
            </w:r>
          </w:p>
          <w:p>
            <w:pPr>
              <w:pStyle w:val="36"/>
              <w:ind w:firstLine="101" w:firstLineChars="48"/>
              <w:rPr>
                <w:b/>
                <w:sz w:val="21"/>
              </w:rPr>
            </w:pPr>
            <w:r>
              <w:rPr>
                <w:b/>
                <w:sz w:val="21"/>
              </w:rPr>
              <w:t>拟委派本工程项目经理、施工</w:t>
            </w:r>
            <w:r>
              <w:rPr>
                <w:rFonts w:hint="eastAsia"/>
                <w:b/>
                <w:sz w:val="21"/>
              </w:rPr>
              <w:t>负责人</w:t>
            </w:r>
            <w:r>
              <w:rPr>
                <w:b/>
                <w:sz w:val="21"/>
              </w:rPr>
              <w:t>可为同一人。</w:t>
            </w:r>
          </w:p>
          <w:p>
            <w:pPr>
              <w:pStyle w:val="36"/>
              <w:ind w:firstLine="96" w:firstLineChars="48"/>
              <w:rPr>
                <w:b/>
                <w:sz w:val="21"/>
              </w:rPr>
            </w:pPr>
            <w:r>
              <w:rPr>
                <w:rFonts w:hint="eastAsia"/>
                <w:b/>
                <w:spacing w:val="-5"/>
                <w:sz w:val="21"/>
              </w:rPr>
              <w:t>项目总负责人、</w:t>
            </w:r>
            <w:r>
              <w:rPr>
                <w:b/>
                <w:spacing w:val="-5"/>
                <w:sz w:val="21"/>
              </w:rPr>
              <w:t>项目经理</w:t>
            </w:r>
            <w:r>
              <w:rPr>
                <w:rFonts w:hint="eastAsia"/>
                <w:b/>
                <w:spacing w:val="-5"/>
                <w:sz w:val="21"/>
              </w:rPr>
              <w:t>、</w:t>
            </w:r>
            <w:r>
              <w:rPr>
                <w:b/>
                <w:spacing w:val="-2"/>
                <w:sz w:val="21"/>
              </w:rPr>
              <w:t>施工</w:t>
            </w:r>
            <w:r>
              <w:rPr>
                <w:rFonts w:hint="eastAsia"/>
                <w:b/>
                <w:spacing w:val="-2"/>
                <w:sz w:val="21"/>
              </w:rPr>
              <w:t>负责人须在投标单位缴纳养老保险</w:t>
            </w:r>
            <w:r>
              <w:rPr>
                <w:rFonts w:hint="eastAsia"/>
                <w:spacing w:val="-2"/>
                <w:sz w:val="21"/>
              </w:rPr>
              <w:t>（</w:t>
            </w:r>
            <w:r>
              <w:rPr>
                <w:spacing w:val="-14"/>
              </w:rPr>
              <w:t>①</w:t>
            </w:r>
            <w:r>
              <w:rPr>
                <w:rFonts w:hint="eastAsia"/>
                <w:spacing w:val="-14"/>
              </w:rPr>
              <w:t>未达到退休年龄的，需提供在投标单位2020年1月至2020年3月缴纳养老保险的证明；</w:t>
            </w:r>
            <w:r>
              <w:rPr>
                <w:spacing w:val="-14"/>
              </w:rPr>
              <w:t>②</w:t>
            </w:r>
            <w:r>
              <w:rPr>
                <w:rFonts w:hint="eastAsia"/>
                <w:spacing w:val="-14"/>
              </w:rPr>
              <w:t>已达到退休年龄且不超过65周岁的，则可提供养老保险待遇领取情况资料或退休证替代</w:t>
            </w:r>
            <w:r>
              <w:rPr>
                <w:rFonts w:hint="eastAsia"/>
                <w:spacing w:val="-2"/>
                <w:sz w:val="21"/>
              </w:rPr>
              <w:t>）。</w:t>
            </w:r>
          </w:p>
          <w:p>
            <w:pPr>
              <w:pStyle w:val="36"/>
              <w:spacing w:before="1"/>
              <w:ind w:left="111"/>
              <w:rPr>
                <w:sz w:val="21"/>
              </w:rPr>
            </w:pPr>
            <w:r>
              <w:rPr>
                <w:bCs/>
                <w:sz w:val="21"/>
              </w:rPr>
              <w:t>项目管理机构其他人员：</w:t>
            </w:r>
            <w:r>
              <w:rPr>
                <w:sz w:val="21"/>
              </w:rPr>
              <w:t>无。</w:t>
            </w:r>
          </w:p>
          <w:p>
            <w:pPr>
              <w:pStyle w:val="36"/>
              <w:spacing w:line="357" w:lineRule="auto"/>
              <w:ind w:left="107" w:right="23"/>
              <w:jc w:val="both"/>
              <w:rPr>
                <w:sz w:val="21"/>
              </w:rPr>
            </w:pPr>
            <w:r>
              <w:rPr>
                <w:b/>
                <w:sz w:val="21"/>
              </w:rPr>
              <w:t>其他要求</w:t>
            </w:r>
            <w:r>
              <w:rPr>
                <w:sz w:val="21"/>
              </w:rPr>
              <w:t>：</w:t>
            </w:r>
            <w:r>
              <w:rPr>
                <w:rFonts w:ascii="Times New Roman" w:eastAsia="Times New Roman"/>
                <w:sz w:val="21"/>
              </w:rPr>
              <w:t>1</w:t>
            </w:r>
            <w:r>
              <w:rPr>
                <w:sz w:val="21"/>
              </w:rPr>
              <w:t>、根据《广东省住房和城乡建设厅关于取消省外建筑企业和 人员进粤信息备案有关工作的通知》（粤建市[2015]52号）要 求，省外建筑企业需在“进粤企业和人员诚信信息登记平台” 录入相关信息并通过数据规范检查，并在投标文件中提供企业 基本信息、资质情况和驻粤技术管理人员情况信息（网上公开信息打印件）以备审查</w:t>
            </w:r>
            <w:r>
              <w:rPr>
                <w:spacing w:val="-1"/>
                <w:sz w:val="21"/>
              </w:rPr>
              <w:t>，如查实不符或未能查实的，其投标作否决投标处理。</w:t>
            </w:r>
          </w:p>
          <w:p>
            <w:pPr>
              <w:pStyle w:val="36"/>
              <w:spacing w:before="3" w:line="276" w:lineRule="auto"/>
              <w:ind w:left="111" w:right="87" w:firstLine="420"/>
              <w:jc w:val="both"/>
              <w:rPr>
                <w:sz w:val="21"/>
              </w:rPr>
            </w:pPr>
            <w:r>
              <w:rPr>
                <w:rFonts w:ascii="Times New Roman" w:hAnsi="Times New Roman" w:eastAsia="Times New Roman"/>
                <w:sz w:val="21"/>
              </w:rPr>
              <w:t>2</w:t>
            </w:r>
            <w:r>
              <w:rPr>
                <w:spacing w:val="-1"/>
                <w:sz w:val="21"/>
              </w:rPr>
              <w:t>、根据《江门市住房和城乡建设局关于江门市建筑业企业信用管</w:t>
            </w:r>
            <w:r>
              <w:rPr>
                <w:spacing w:val="-4"/>
                <w:sz w:val="21"/>
              </w:rPr>
              <w:t>理办法</w:t>
            </w:r>
            <w:r>
              <w:rPr>
                <w:spacing w:val="-3"/>
                <w:sz w:val="21"/>
              </w:rPr>
              <w:t>（</w:t>
            </w:r>
            <w:r>
              <w:rPr>
                <w:sz w:val="21"/>
              </w:rPr>
              <w:t>试行</w:t>
            </w:r>
            <w:r>
              <w:rPr>
                <w:spacing w:val="-108"/>
                <w:sz w:val="21"/>
              </w:rPr>
              <w:t>）</w:t>
            </w:r>
            <w:r>
              <w:rPr>
                <w:spacing w:val="-8"/>
                <w:sz w:val="21"/>
              </w:rPr>
              <w:t>》</w:t>
            </w:r>
            <w:r>
              <w:rPr>
                <w:rFonts w:ascii="Times New Roman" w:hAnsi="Times New Roman" w:eastAsia="Times New Roman"/>
                <w:sz w:val="21"/>
              </w:rPr>
              <w:t>(</w:t>
            </w:r>
            <w:r>
              <w:rPr>
                <w:spacing w:val="-5"/>
                <w:sz w:val="21"/>
              </w:rPr>
              <w:t>江建〔</w:t>
            </w:r>
            <w:r>
              <w:rPr>
                <w:rFonts w:ascii="Times New Roman" w:hAnsi="Times New Roman" w:eastAsia="Times New Roman"/>
                <w:sz w:val="21"/>
              </w:rPr>
              <w:t>2017</w:t>
            </w:r>
            <w:r>
              <w:rPr>
                <w:spacing w:val="-10"/>
                <w:sz w:val="21"/>
              </w:rPr>
              <w:t>〕</w:t>
            </w:r>
            <w:r>
              <w:rPr>
                <w:rFonts w:ascii="Times New Roman" w:hAnsi="Times New Roman" w:eastAsia="Times New Roman"/>
                <w:sz w:val="21"/>
              </w:rPr>
              <w:t xml:space="preserve">477 </w:t>
            </w:r>
            <w:r>
              <w:rPr>
                <w:sz w:val="21"/>
              </w:rPr>
              <w:t>号</w:t>
            </w:r>
            <w:r>
              <w:rPr>
                <w:rFonts w:ascii="Times New Roman" w:hAnsi="Times New Roman" w:eastAsia="Times New Roman"/>
                <w:sz w:val="21"/>
              </w:rPr>
              <w:t>)</w:t>
            </w:r>
            <w:r>
              <w:rPr>
                <w:spacing w:val="-6"/>
                <w:sz w:val="21"/>
              </w:rPr>
              <w:t>的相关规定，投标人</w:t>
            </w:r>
            <w:r>
              <w:rPr>
                <w:spacing w:val="-3"/>
                <w:sz w:val="21"/>
              </w:rPr>
              <w:t>（</w:t>
            </w:r>
            <w:r>
              <w:rPr>
                <w:spacing w:val="-2"/>
                <w:sz w:val="21"/>
              </w:rPr>
              <w:t>包括联合</w:t>
            </w:r>
            <w:r>
              <w:rPr>
                <w:spacing w:val="-3"/>
                <w:sz w:val="21"/>
              </w:rPr>
              <w:t>体所有成员</w:t>
            </w:r>
            <w:r>
              <w:rPr>
                <w:spacing w:val="-22"/>
                <w:sz w:val="21"/>
              </w:rPr>
              <w:t>）</w:t>
            </w:r>
            <w:r>
              <w:rPr>
                <w:spacing w:val="-7"/>
                <w:sz w:val="21"/>
              </w:rPr>
              <w:t>须是被列入“江门市建筑业企业信用管理信息系统”信用</w:t>
            </w:r>
            <w:r>
              <w:rPr>
                <w:spacing w:val="-15"/>
                <w:sz w:val="21"/>
              </w:rPr>
              <w:t xml:space="preserve">等级为 </w:t>
            </w:r>
            <w:r>
              <w:rPr>
                <w:rFonts w:ascii="Times New Roman" w:hAnsi="Times New Roman" w:eastAsia="Times New Roman"/>
                <w:sz w:val="21"/>
              </w:rPr>
              <w:t xml:space="preserve">C </w:t>
            </w:r>
            <w:r>
              <w:rPr>
                <w:spacing w:val="-17"/>
                <w:sz w:val="21"/>
              </w:rPr>
              <w:t>级或以上的企业。</w:t>
            </w:r>
            <w:r>
              <w:rPr>
                <w:sz w:val="21"/>
              </w:rPr>
              <w:t>（</w:t>
            </w:r>
            <w:r>
              <w:rPr>
                <w:spacing w:val="-3"/>
                <w:sz w:val="21"/>
              </w:rPr>
              <w:t>项目不要求投标人具备建筑业企业资质的</w:t>
            </w:r>
          </w:p>
          <w:p>
            <w:pPr>
              <w:pStyle w:val="36"/>
              <w:spacing w:before="3" w:line="250" w:lineRule="exact"/>
              <w:ind w:left="111"/>
              <w:rPr>
                <w:sz w:val="21"/>
              </w:rPr>
            </w:pPr>
            <w:r>
              <w:rPr>
                <w:sz w:val="21"/>
              </w:rPr>
              <w:t>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1" w:hRule="atLeast"/>
        </w:trPr>
        <w:tc>
          <w:tcPr>
            <w:tcW w:w="1164" w:type="dxa"/>
          </w:tcPr>
          <w:p>
            <w:pPr>
              <w:pStyle w:val="36"/>
              <w:rPr>
                <w:rFonts w:ascii="黑体"/>
                <w:b/>
              </w:rPr>
            </w:pPr>
          </w:p>
          <w:p>
            <w:pPr>
              <w:pStyle w:val="36"/>
              <w:rPr>
                <w:rFonts w:ascii="黑体"/>
                <w:b/>
              </w:rPr>
            </w:pPr>
          </w:p>
          <w:p>
            <w:pPr>
              <w:pStyle w:val="36"/>
              <w:rPr>
                <w:rFonts w:ascii="黑体"/>
                <w:b/>
              </w:rPr>
            </w:pPr>
          </w:p>
          <w:p>
            <w:pPr>
              <w:pStyle w:val="36"/>
              <w:spacing w:before="173"/>
              <w:ind w:left="244" w:right="232"/>
              <w:jc w:val="center"/>
              <w:rPr>
                <w:rFonts w:ascii="Times New Roman"/>
                <w:sz w:val="21"/>
              </w:rPr>
            </w:pPr>
            <w:r>
              <w:rPr>
                <w:rFonts w:ascii="Times New Roman"/>
                <w:sz w:val="21"/>
              </w:rPr>
              <w:t>1.4.2</w:t>
            </w:r>
          </w:p>
        </w:tc>
        <w:tc>
          <w:tcPr>
            <w:tcW w:w="1920" w:type="dxa"/>
          </w:tcPr>
          <w:p>
            <w:pPr>
              <w:pStyle w:val="36"/>
              <w:rPr>
                <w:rFonts w:ascii="黑体"/>
                <w:b/>
                <w:sz w:val="20"/>
              </w:rPr>
            </w:pPr>
          </w:p>
          <w:p>
            <w:pPr>
              <w:pStyle w:val="36"/>
              <w:rPr>
                <w:rFonts w:ascii="黑体"/>
                <w:b/>
                <w:sz w:val="20"/>
              </w:rPr>
            </w:pPr>
          </w:p>
          <w:p>
            <w:pPr>
              <w:pStyle w:val="36"/>
              <w:spacing w:before="2"/>
              <w:rPr>
                <w:rFonts w:ascii="黑体"/>
                <w:b/>
                <w:sz w:val="21"/>
              </w:rPr>
            </w:pPr>
          </w:p>
          <w:p>
            <w:pPr>
              <w:pStyle w:val="36"/>
              <w:spacing w:line="391" w:lineRule="auto"/>
              <w:ind w:left="751" w:right="208" w:hanging="526"/>
              <w:rPr>
                <w:sz w:val="21"/>
              </w:rPr>
            </w:pPr>
            <w:r>
              <w:rPr>
                <w:sz w:val="21"/>
              </w:rPr>
              <w:t>是否接受联合体投标</w:t>
            </w:r>
          </w:p>
        </w:tc>
        <w:tc>
          <w:tcPr>
            <w:tcW w:w="6734" w:type="dxa"/>
            <w:gridSpan w:val="3"/>
          </w:tcPr>
          <w:p>
            <w:pPr>
              <w:pStyle w:val="36"/>
              <w:spacing w:line="357" w:lineRule="exact"/>
              <w:ind w:left="111"/>
              <w:rPr>
                <w:sz w:val="21"/>
              </w:rPr>
            </w:pPr>
            <w:r>
              <w:rPr>
                <w:rFonts w:hint="eastAsia"/>
              </w:rPr>
              <w:t>□</w:t>
            </w:r>
            <w:r>
              <w:rPr>
                <w:sz w:val="21"/>
              </w:rPr>
              <w:t>不接受</w:t>
            </w:r>
          </w:p>
          <w:p>
            <w:pPr>
              <w:pStyle w:val="36"/>
              <w:spacing w:before="75"/>
              <w:ind w:left="111"/>
              <w:rPr>
                <w:sz w:val="21"/>
              </w:rPr>
            </w:pPr>
            <w:r>
              <w:rPr>
                <w:rFonts w:hint="eastAsia"/>
                <w:sz w:val="24"/>
              </w:rPr>
              <w:t>■</w:t>
            </w:r>
            <w:r>
              <w:rPr>
                <w:sz w:val="21"/>
              </w:rPr>
              <w:t>接受，应满足下列要求：</w:t>
            </w:r>
          </w:p>
          <w:p>
            <w:pPr>
              <w:pStyle w:val="36"/>
              <w:spacing w:line="360" w:lineRule="atLeast"/>
              <w:ind w:left="111" w:right="87"/>
              <w:jc w:val="both"/>
              <w:rPr>
                <w:spacing w:val="-54"/>
                <w:sz w:val="21"/>
              </w:rPr>
            </w:pPr>
            <w:r>
              <w:rPr>
                <w:sz w:val="21"/>
              </w:rPr>
              <w:t>（</w:t>
            </w:r>
            <w:r>
              <w:rPr>
                <w:rFonts w:ascii="Times New Roman" w:eastAsia="Times New Roman"/>
                <w:sz w:val="21"/>
              </w:rPr>
              <w:t>1</w:t>
            </w:r>
            <w:r>
              <w:rPr>
                <w:sz w:val="21"/>
              </w:rPr>
              <w:t>）</w:t>
            </w:r>
            <w:r>
              <w:rPr>
                <w:spacing w:val="-5"/>
                <w:sz w:val="21"/>
              </w:rPr>
              <w:t xml:space="preserve">联合体成员家数应不超过 </w:t>
            </w:r>
            <w:r>
              <w:rPr>
                <w:rFonts w:hint="eastAsia" w:ascii="Times New Roman" w:eastAsiaTheme="minorEastAsia"/>
                <w:sz w:val="21"/>
              </w:rPr>
              <w:t>2</w:t>
            </w:r>
            <w:r>
              <w:rPr>
                <w:rFonts w:ascii="Times New Roman" w:eastAsia="Times New Roman"/>
                <w:sz w:val="21"/>
              </w:rPr>
              <w:t xml:space="preserve"> </w:t>
            </w:r>
            <w:r>
              <w:rPr>
                <w:spacing w:val="-54"/>
                <w:sz w:val="21"/>
              </w:rPr>
              <w:t>家。</w:t>
            </w:r>
          </w:p>
          <w:p>
            <w:pPr>
              <w:pStyle w:val="36"/>
              <w:spacing w:line="360" w:lineRule="atLeast"/>
              <w:ind w:left="111" w:right="87"/>
              <w:jc w:val="both"/>
              <w:rPr>
                <w:sz w:val="21"/>
                <w:u w:val="single"/>
              </w:rPr>
            </w:pPr>
            <w:r>
              <w:rPr>
                <w:sz w:val="21"/>
              </w:rPr>
              <w:t>（</w:t>
            </w:r>
            <w:r>
              <w:rPr>
                <w:rFonts w:ascii="Times New Roman" w:eastAsia="Times New Roman"/>
                <w:sz w:val="21"/>
              </w:rPr>
              <w:t>2</w:t>
            </w:r>
            <w:r>
              <w:rPr>
                <w:sz w:val="21"/>
              </w:rPr>
              <w:t>）</w:t>
            </w:r>
            <w:r>
              <w:rPr>
                <w:spacing w:val="-3"/>
                <w:sz w:val="21"/>
              </w:rPr>
              <w:t>联合体牵头人必须具有</w:t>
            </w:r>
            <w:r>
              <w:rPr>
                <w:rFonts w:hint="eastAsia"/>
                <w:u w:val="single"/>
              </w:rPr>
              <w:t>设计方具备的</w:t>
            </w:r>
            <w:r>
              <w:rPr>
                <w:sz w:val="21"/>
                <w:u w:val="single"/>
              </w:rPr>
              <w:t>资质</w:t>
            </w:r>
          </w:p>
          <w:p>
            <w:pPr>
              <w:pStyle w:val="36"/>
              <w:spacing w:line="360" w:lineRule="atLeast"/>
              <w:ind w:left="111" w:right="87"/>
              <w:jc w:val="both"/>
              <w:rPr>
                <w:spacing w:val="-128"/>
                <w:sz w:val="21"/>
              </w:rPr>
            </w:pPr>
            <w:r>
              <w:rPr>
                <w:sz w:val="21"/>
              </w:rPr>
              <w:t>（</w:t>
            </w:r>
            <w:r>
              <w:rPr>
                <w:rFonts w:ascii="Times New Roman" w:eastAsia="Times New Roman"/>
                <w:sz w:val="21"/>
              </w:rPr>
              <w:t>3</w:t>
            </w:r>
            <w:r>
              <w:rPr>
                <w:sz w:val="21"/>
              </w:rPr>
              <w:t>）联合体各方应签订联合体投标协议书</w:t>
            </w:r>
            <w:r>
              <w:rPr>
                <w:spacing w:val="-6"/>
                <w:sz w:val="21"/>
              </w:rPr>
              <w:t>，明确联合体牵头人和各方权利义务</w:t>
            </w:r>
            <w:r>
              <w:rPr>
                <w:spacing w:val="-128"/>
                <w:sz w:val="21"/>
              </w:rPr>
              <w:t>。</w:t>
            </w:r>
          </w:p>
          <w:p>
            <w:pPr>
              <w:pStyle w:val="36"/>
              <w:spacing w:line="360" w:lineRule="atLeast"/>
              <w:ind w:left="111" w:right="87"/>
              <w:jc w:val="both"/>
              <w:rPr>
                <w:sz w:val="21"/>
              </w:rPr>
            </w:pPr>
            <w:r>
              <w:rPr>
                <w:spacing w:val="-9"/>
                <w:sz w:val="21"/>
              </w:rPr>
              <w:t>（</w:t>
            </w:r>
            <w:r>
              <w:rPr>
                <w:rFonts w:ascii="Times New Roman" w:eastAsia="Times New Roman"/>
                <w:spacing w:val="-9"/>
                <w:sz w:val="21"/>
              </w:rPr>
              <w:t>4</w:t>
            </w:r>
            <w:r>
              <w:rPr>
                <w:spacing w:val="-9"/>
                <w:sz w:val="21"/>
              </w:rPr>
              <w:t>）</w:t>
            </w:r>
            <w:r>
              <w:rPr>
                <w:spacing w:val="-3"/>
                <w:sz w:val="21"/>
              </w:rPr>
              <w:t>联合体各方不得再以自己名义或加入其他联合体在本工程</w:t>
            </w:r>
            <w:r>
              <w:rPr>
                <w:rFonts w:hint="eastAsia"/>
                <w:spacing w:val="-3"/>
                <w:sz w:val="21"/>
              </w:rPr>
              <w:t>登记</w:t>
            </w:r>
            <w:r>
              <w:rPr>
                <w:spacing w:val="-3"/>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4680"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8"/>
              <w:rPr>
                <w:rFonts w:ascii="黑体"/>
                <w:b/>
                <w:sz w:val="23"/>
              </w:rPr>
            </w:pPr>
          </w:p>
          <w:p>
            <w:pPr>
              <w:pStyle w:val="36"/>
              <w:ind w:left="244" w:right="232"/>
              <w:jc w:val="center"/>
              <w:rPr>
                <w:rFonts w:ascii="Times New Roman"/>
                <w:sz w:val="21"/>
              </w:rPr>
            </w:pPr>
            <w:r>
              <w:rPr>
                <w:rFonts w:ascii="Times New Roman"/>
                <w:sz w:val="21"/>
              </w:rPr>
              <w:t>1.4.3</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8"/>
              <w:rPr>
                <w:rFonts w:ascii="黑体"/>
                <w:b/>
                <w:sz w:val="20"/>
              </w:rPr>
            </w:pPr>
          </w:p>
          <w:p>
            <w:pPr>
              <w:pStyle w:val="36"/>
              <w:spacing w:line="321" w:lineRule="auto"/>
              <w:ind w:left="110" w:right="88"/>
              <w:rPr>
                <w:sz w:val="21"/>
              </w:rPr>
            </w:pPr>
            <w:r>
              <w:rPr>
                <w:sz w:val="21"/>
              </w:rPr>
              <w:t>投标人不得存在的情形</w:t>
            </w:r>
          </w:p>
        </w:tc>
        <w:tc>
          <w:tcPr>
            <w:tcW w:w="6663" w:type="dxa"/>
            <w:gridSpan w:val="2"/>
          </w:tcPr>
          <w:p>
            <w:pPr>
              <w:pStyle w:val="36"/>
              <w:spacing w:before="78"/>
              <w:ind w:left="111"/>
              <w:rPr>
                <w:sz w:val="21"/>
              </w:rPr>
            </w:pPr>
            <w:r>
              <w:rPr>
                <w:sz w:val="21"/>
              </w:rPr>
              <w:t>除投标人须知正文部分的内容外还包括：</w:t>
            </w:r>
          </w:p>
          <w:p>
            <w:pPr>
              <w:pStyle w:val="36"/>
              <w:spacing w:before="91" w:line="321" w:lineRule="auto"/>
              <w:ind w:left="111" w:right="90"/>
              <w:rPr>
                <w:sz w:val="21"/>
              </w:rPr>
            </w:pPr>
            <w:r>
              <w:rPr>
                <w:rFonts w:ascii="Arial" w:eastAsia="Arial"/>
                <w:sz w:val="21"/>
              </w:rPr>
              <w:t>1</w:t>
            </w:r>
            <w:r>
              <w:rPr>
                <w:sz w:val="21"/>
              </w:rPr>
              <w:t>、被工商行政管理机关在全国企业信用信息公示系统中列入严重违法失信企业名单；</w:t>
            </w:r>
          </w:p>
          <w:p>
            <w:pPr>
              <w:pStyle w:val="36"/>
              <w:spacing w:line="321" w:lineRule="auto"/>
              <w:ind w:left="111" w:right="-15"/>
              <w:rPr>
                <w:sz w:val="21"/>
              </w:rPr>
            </w:pPr>
            <w:r>
              <w:rPr>
                <w:rFonts w:ascii="Arial" w:hAnsi="Arial" w:eastAsia="Arial"/>
                <w:spacing w:val="-1"/>
                <w:sz w:val="21"/>
              </w:rPr>
              <w:t>2</w:t>
            </w:r>
            <w:r>
              <w:rPr>
                <w:spacing w:val="-25"/>
                <w:sz w:val="21"/>
              </w:rPr>
              <w:t>、被最高人民法院在“信用中国”网站</w:t>
            </w:r>
            <w:r>
              <w:rPr>
                <w:spacing w:val="-1"/>
                <w:sz w:val="21"/>
              </w:rPr>
              <w:t>（</w:t>
            </w:r>
            <w:r>
              <w:fldChar w:fldCharType="begin"/>
            </w:r>
            <w:r>
              <w:instrText xml:space="preserve"> HYPERLINK "http://www.creditchina.gov.cn/" \h </w:instrText>
            </w:r>
            <w:r>
              <w:fldChar w:fldCharType="separate"/>
            </w:r>
            <w:r>
              <w:rPr>
                <w:rFonts w:ascii="Arial" w:hAnsi="Arial" w:eastAsia="Arial"/>
                <w:spacing w:val="-1"/>
                <w:sz w:val="21"/>
              </w:rPr>
              <w:t>http://www.creditchina.gov.cn/</w:t>
            </w:r>
            <w:r>
              <w:rPr>
                <w:rFonts w:ascii="Arial" w:hAnsi="Arial" w:eastAsia="Arial"/>
                <w:spacing w:val="-1"/>
                <w:sz w:val="21"/>
              </w:rPr>
              <w:fldChar w:fldCharType="end"/>
            </w:r>
            <w:r>
              <w:rPr>
                <w:spacing w:val="-1"/>
                <w:sz w:val="21"/>
              </w:rPr>
              <w:t xml:space="preserve">） </w:t>
            </w:r>
            <w:r>
              <w:rPr>
                <w:spacing w:val="-3"/>
                <w:sz w:val="21"/>
              </w:rPr>
              <w:t>或各级信用信息共享平台中列入失信被执行人名单；</w:t>
            </w:r>
          </w:p>
          <w:p>
            <w:pPr>
              <w:pStyle w:val="36"/>
              <w:spacing w:line="321" w:lineRule="auto"/>
              <w:ind w:left="111" w:right="90"/>
              <w:rPr>
                <w:sz w:val="21"/>
              </w:rPr>
            </w:pPr>
            <w:r>
              <w:rPr>
                <w:rFonts w:ascii="Arial" w:hAnsi="Arial" w:eastAsia="Arial"/>
                <w:sz w:val="21"/>
              </w:rPr>
              <w:t>3</w:t>
            </w:r>
            <w:r>
              <w:rPr>
                <w:sz w:val="21"/>
              </w:rPr>
              <w:t>、投标人被国家、广东省或江门市各级行政部门列入“黑名单”，且在“黑名单”管理期限内的；</w:t>
            </w:r>
          </w:p>
          <w:p>
            <w:pPr>
              <w:pStyle w:val="36"/>
              <w:spacing w:line="321" w:lineRule="auto"/>
              <w:ind w:left="111" w:right="90"/>
              <w:rPr>
                <w:sz w:val="21"/>
              </w:rPr>
            </w:pPr>
            <w:r>
              <w:rPr>
                <w:rFonts w:ascii="Arial" w:eastAsia="Arial"/>
                <w:sz w:val="21"/>
              </w:rPr>
              <w:t>4</w:t>
            </w:r>
            <w:r>
              <w:rPr>
                <w:sz w:val="21"/>
              </w:rPr>
              <w:t>、投标人被国家、广东省或江门市各级行政部门限制参与建设工程招投标的；</w:t>
            </w:r>
          </w:p>
          <w:p>
            <w:pPr>
              <w:pStyle w:val="36"/>
              <w:spacing w:line="321" w:lineRule="auto"/>
              <w:ind w:left="111" w:right="91"/>
              <w:jc w:val="both"/>
              <w:rPr>
                <w:sz w:val="21"/>
              </w:rPr>
            </w:pPr>
            <w:r>
              <w:rPr>
                <w:rFonts w:ascii="Arial" w:hAnsi="Arial" w:eastAsia="Arial"/>
                <w:sz w:val="21"/>
              </w:rPr>
              <w:t>5</w:t>
            </w:r>
            <w:r>
              <w:rPr>
                <w:sz w:val="21"/>
              </w:rPr>
              <w:t>、投标人、投标人的法定代表人和拟投入本项目的</w:t>
            </w:r>
            <w:r>
              <w:rPr>
                <w:rFonts w:hint="eastAsia"/>
                <w:sz w:val="21"/>
              </w:rPr>
              <w:t>项目总负责人、</w:t>
            </w:r>
            <w:r>
              <w:rPr>
                <w:sz w:val="21"/>
              </w:rPr>
              <w:t>项目经理、施工负责人被“中国执行信息公开网”</w:t>
            </w:r>
            <w:r>
              <w:rPr>
                <w:rFonts w:ascii="Arial" w:hAnsi="Arial" w:eastAsia="Arial"/>
                <w:sz w:val="21"/>
              </w:rPr>
              <w:t>(</w:t>
            </w:r>
            <w:r>
              <w:fldChar w:fldCharType="begin"/>
            </w:r>
            <w:r>
              <w:instrText xml:space="preserve"> HYPERLINK "http://zxgk.court.gov.cn/)%E5%88%97" \h </w:instrText>
            </w:r>
            <w:r>
              <w:fldChar w:fldCharType="separate"/>
            </w:r>
            <w:r>
              <w:rPr>
                <w:rFonts w:ascii="Arial" w:hAnsi="Arial" w:eastAsia="Arial"/>
                <w:sz w:val="21"/>
              </w:rPr>
              <w:t>http://zxgk.court.gov.cn/)</w:t>
            </w:r>
            <w:r>
              <w:rPr>
                <w:sz w:val="21"/>
              </w:rPr>
              <w:t>列</w:t>
            </w:r>
            <w:r>
              <w:rPr>
                <w:sz w:val="21"/>
              </w:rPr>
              <w:fldChar w:fldCharType="end"/>
            </w:r>
            <w:r>
              <w:rPr>
                <w:sz w:val="21"/>
              </w:rPr>
              <w:t>入失信被执行人名单；</w:t>
            </w:r>
          </w:p>
          <w:p>
            <w:pPr>
              <w:pStyle w:val="36"/>
              <w:spacing w:line="261" w:lineRule="exact"/>
              <w:ind w:left="111"/>
              <w:rPr>
                <w:sz w:val="21"/>
              </w:rPr>
            </w:pPr>
            <w:r>
              <w:rPr>
                <w:rFonts w:ascii="Arial" w:eastAsia="Arial"/>
                <w:sz w:val="21"/>
              </w:rPr>
              <w:t>6</w:t>
            </w:r>
            <w:r>
              <w:rPr>
                <w:sz w:val="21"/>
              </w:rPr>
              <w:t>、法律法规规定的投标人不得存在的其他情形。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80" w:hRule="atLeast"/>
        </w:trPr>
        <w:tc>
          <w:tcPr>
            <w:tcW w:w="1164" w:type="dxa"/>
          </w:tcPr>
          <w:p>
            <w:pPr>
              <w:pStyle w:val="36"/>
              <w:spacing w:before="5"/>
              <w:rPr>
                <w:rFonts w:ascii="黑体"/>
                <w:b/>
                <w:sz w:val="29"/>
              </w:rPr>
            </w:pPr>
          </w:p>
          <w:p>
            <w:pPr>
              <w:pStyle w:val="36"/>
              <w:ind w:left="244" w:right="232"/>
              <w:jc w:val="center"/>
              <w:rPr>
                <w:rFonts w:ascii="Times New Roman"/>
                <w:sz w:val="21"/>
              </w:rPr>
            </w:pPr>
            <w:r>
              <w:rPr>
                <w:rFonts w:ascii="Times New Roman"/>
                <w:sz w:val="21"/>
              </w:rPr>
              <w:t>1.5</w:t>
            </w:r>
          </w:p>
        </w:tc>
        <w:tc>
          <w:tcPr>
            <w:tcW w:w="1920" w:type="dxa"/>
          </w:tcPr>
          <w:p>
            <w:pPr>
              <w:pStyle w:val="36"/>
              <w:spacing w:line="440" w:lineRule="exact"/>
              <w:ind w:left="645" w:right="102" w:hanging="524"/>
              <w:rPr>
                <w:sz w:val="21"/>
              </w:rPr>
            </w:pPr>
            <w:r>
              <w:rPr>
                <w:sz w:val="21"/>
              </w:rPr>
              <w:t>费用承担和设计成果补偿</w:t>
            </w:r>
          </w:p>
        </w:tc>
        <w:tc>
          <w:tcPr>
            <w:tcW w:w="6663" w:type="dxa"/>
            <w:gridSpan w:val="2"/>
          </w:tcPr>
          <w:p>
            <w:pPr>
              <w:pStyle w:val="36"/>
              <w:spacing w:before="137"/>
              <w:ind w:left="111"/>
              <w:rPr>
                <w:sz w:val="21"/>
              </w:rPr>
            </w:pPr>
            <w:r>
              <w:rPr>
                <w:rFonts w:hint="eastAsia"/>
                <w:sz w:val="24"/>
              </w:rPr>
              <w:t>■</w:t>
            </w:r>
            <w:r>
              <w:rPr>
                <w:sz w:val="21"/>
              </w:rPr>
              <w:t>不补偿</w:t>
            </w:r>
          </w:p>
          <w:p>
            <w:pPr>
              <w:pStyle w:val="36"/>
              <w:spacing w:before="81" w:line="367" w:lineRule="exact"/>
              <w:ind w:left="111"/>
              <w:rPr>
                <w:sz w:val="21"/>
              </w:rPr>
            </w:pPr>
            <w:r>
              <w:rPr>
                <w:rFonts w:ascii="Times New Roman" w:hAnsi="Times New Roman" w:eastAsia="Times New Roman"/>
                <w:sz w:val="32"/>
              </w:rPr>
              <w:t>□</w:t>
            </w:r>
            <w:r>
              <w:rPr>
                <w:sz w:val="21"/>
              </w:rPr>
              <w:t>补偿，补偿标准：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59" w:hRule="atLeast"/>
        </w:trPr>
        <w:tc>
          <w:tcPr>
            <w:tcW w:w="1164" w:type="dxa"/>
          </w:tcPr>
          <w:p>
            <w:pPr>
              <w:pStyle w:val="36"/>
              <w:spacing w:before="5"/>
              <w:rPr>
                <w:rFonts w:ascii="黑体"/>
                <w:b/>
                <w:sz w:val="32"/>
              </w:rPr>
            </w:pPr>
          </w:p>
          <w:p>
            <w:pPr>
              <w:pStyle w:val="36"/>
              <w:ind w:left="244" w:right="232"/>
              <w:jc w:val="center"/>
              <w:rPr>
                <w:rFonts w:ascii="Times New Roman"/>
                <w:sz w:val="21"/>
              </w:rPr>
            </w:pPr>
            <w:r>
              <w:rPr>
                <w:rFonts w:ascii="Times New Roman"/>
                <w:sz w:val="21"/>
              </w:rPr>
              <w:t>1.9.1</w:t>
            </w:r>
          </w:p>
        </w:tc>
        <w:tc>
          <w:tcPr>
            <w:tcW w:w="1920" w:type="dxa"/>
          </w:tcPr>
          <w:p>
            <w:pPr>
              <w:pStyle w:val="36"/>
              <w:rPr>
                <w:rFonts w:ascii="黑体"/>
                <w:b/>
                <w:sz w:val="20"/>
              </w:rPr>
            </w:pPr>
          </w:p>
          <w:p>
            <w:pPr>
              <w:pStyle w:val="36"/>
              <w:spacing w:before="145"/>
              <w:ind w:left="15"/>
              <w:jc w:val="center"/>
              <w:rPr>
                <w:sz w:val="21"/>
              </w:rPr>
            </w:pPr>
            <w:r>
              <w:rPr>
                <w:sz w:val="21"/>
              </w:rPr>
              <w:t>踏勘</w:t>
            </w:r>
          </w:p>
        </w:tc>
        <w:tc>
          <w:tcPr>
            <w:tcW w:w="6663" w:type="dxa"/>
            <w:gridSpan w:val="2"/>
          </w:tcPr>
          <w:p>
            <w:pPr>
              <w:pStyle w:val="36"/>
              <w:spacing w:before="1"/>
              <w:ind w:left="107"/>
              <w:rPr>
                <w:sz w:val="21"/>
              </w:rPr>
            </w:pPr>
            <w:r>
              <w:rPr>
                <w:rFonts w:hint="eastAsia"/>
                <w:sz w:val="24"/>
              </w:rPr>
              <w:t>■</w:t>
            </w:r>
            <w:r>
              <w:rPr>
                <w:sz w:val="21"/>
              </w:rPr>
              <w:t>不组织：</w:t>
            </w:r>
            <w:r>
              <w:rPr>
                <w:rFonts w:hint="eastAsia"/>
                <w:sz w:val="21"/>
              </w:rPr>
              <w:t>不组织，</w:t>
            </w:r>
            <w:r>
              <w:rPr>
                <w:sz w:val="21"/>
              </w:rPr>
              <w:t>招标人不统一组织踏勘现场，投标人应根据自身的需要自行对项目场地及周边环境进行详细的踏勘、 考察，并充分考虑项目场地及周边环境对项目施工实施时可能存在的影响及因此而可能会增加的成本。</w:t>
            </w:r>
          </w:p>
          <w:p>
            <w:pPr>
              <w:pStyle w:val="36"/>
              <w:spacing w:line="349" w:lineRule="exact"/>
              <w:ind w:left="111"/>
              <w:rPr>
                <w:sz w:val="21"/>
              </w:rPr>
            </w:pPr>
            <w:r>
              <w:rPr>
                <w:rFonts w:ascii="Times New Roman" w:hAnsi="Times New Roman" w:eastAsia="Times New Roman"/>
                <w:sz w:val="32"/>
              </w:rPr>
              <w:t>□</w:t>
            </w:r>
            <w:r>
              <w:rPr>
                <w:sz w:val="21"/>
              </w:rPr>
              <w:t>组织，踏勘时间：</w:t>
            </w:r>
          </w:p>
          <w:p>
            <w:pPr>
              <w:pStyle w:val="36"/>
              <w:spacing w:before="42" w:line="252" w:lineRule="exact"/>
              <w:ind w:left="951"/>
              <w:rPr>
                <w:sz w:val="21"/>
              </w:rPr>
            </w:pPr>
            <w:r>
              <w:rPr>
                <w:sz w:val="21"/>
              </w:rPr>
              <w:t>踏勘集中地点：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168" w:hRule="atLeast"/>
        </w:trPr>
        <w:tc>
          <w:tcPr>
            <w:tcW w:w="1164" w:type="dxa"/>
          </w:tcPr>
          <w:p>
            <w:pPr>
              <w:pStyle w:val="36"/>
              <w:rPr>
                <w:rFonts w:ascii="黑体"/>
                <w:b/>
              </w:rPr>
            </w:pPr>
          </w:p>
          <w:p>
            <w:pPr>
              <w:pStyle w:val="36"/>
              <w:spacing w:before="8"/>
              <w:rPr>
                <w:rFonts w:ascii="黑体"/>
                <w:b/>
                <w:sz w:val="18"/>
              </w:rPr>
            </w:pPr>
          </w:p>
          <w:p>
            <w:pPr>
              <w:pStyle w:val="36"/>
              <w:spacing w:before="1"/>
              <w:ind w:left="244" w:right="232"/>
              <w:jc w:val="center"/>
              <w:rPr>
                <w:rFonts w:ascii="Times New Roman"/>
                <w:sz w:val="21"/>
              </w:rPr>
            </w:pPr>
            <w:r>
              <w:rPr>
                <w:rFonts w:ascii="Times New Roman"/>
                <w:sz w:val="21"/>
              </w:rPr>
              <w:t>1.10.1</w:t>
            </w:r>
          </w:p>
        </w:tc>
        <w:tc>
          <w:tcPr>
            <w:tcW w:w="1920" w:type="dxa"/>
          </w:tcPr>
          <w:p>
            <w:pPr>
              <w:pStyle w:val="36"/>
              <w:rPr>
                <w:rFonts w:ascii="黑体"/>
                <w:b/>
                <w:sz w:val="20"/>
              </w:rPr>
            </w:pPr>
          </w:p>
          <w:p>
            <w:pPr>
              <w:pStyle w:val="36"/>
              <w:spacing w:before="7"/>
              <w:rPr>
                <w:rFonts w:ascii="黑体"/>
                <w:b/>
                <w:sz w:val="19"/>
              </w:rPr>
            </w:pPr>
          </w:p>
          <w:p>
            <w:pPr>
              <w:pStyle w:val="36"/>
              <w:ind w:left="17"/>
              <w:jc w:val="center"/>
              <w:rPr>
                <w:sz w:val="21"/>
              </w:rPr>
            </w:pPr>
            <w:r>
              <w:rPr>
                <w:sz w:val="21"/>
              </w:rPr>
              <w:t>投标预备会</w:t>
            </w:r>
          </w:p>
        </w:tc>
        <w:tc>
          <w:tcPr>
            <w:tcW w:w="6663" w:type="dxa"/>
            <w:gridSpan w:val="2"/>
          </w:tcPr>
          <w:p>
            <w:pPr>
              <w:pStyle w:val="36"/>
              <w:spacing w:before="144" w:line="257" w:lineRule="exact"/>
              <w:ind w:left="111"/>
              <w:rPr>
                <w:sz w:val="21"/>
              </w:rPr>
            </w:pPr>
            <w:r>
              <w:rPr>
                <w:rFonts w:hint="eastAsia"/>
                <w:sz w:val="24"/>
              </w:rPr>
              <w:t>■</w:t>
            </w:r>
            <w:r>
              <w:rPr>
                <w:sz w:val="21"/>
              </w:rPr>
              <w:t>不召开</w:t>
            </w:r>
          </w:p>
          <w:p>
            <w:pPr>
              <w:pStyle w:val="36"/>
              <w:spacing w:line="350" w:lineRule="exact"/>
              <w:ind w:left="111"/>
              <w:rPr>
                <w:sz w:val="21"/>
              </w:rPr>
            </w:pPr>
            <w:r>
              <w:rPr>
                <w:rFonts w:ascii="Times New Roman" w:hAnsi="Times New Roman" w:eastAsia="Times New Roman"/>
                <w:spacing w:val="-1"/>
                <w:sz w:val="32"/>
              </w:rPr>
              <w:t>□</w:t>
            </w:r>
            <w:r>
              <w:rPr>
                <w:spacing w:val="-2"/>
                <w:sz w:val="21"/>
              </w:rPr>
              <w:t>召开，召开时间：</w:t>
            </w:r>
          </w:p>
          <w:p>
            <w:pPr>
              <w:pStyle w:val="36"/>
              <w:spacing w:before="40"/>
              <w:ind w:left="951"/>
              <w:rPr>
                <w:sz w:val="21"/>
              </w:rPr>
            </w:pPr>
            <w:r>
              <w:rPr>
                <w:spacing w:val="-1"/>
                <w:sz w:val="21"/>
              </w:rPr>
              <w:t>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80" w:hRule="atLeast"/>
        </w:trPr>
        <w:tc>
          <w:tcPr>
            <w:tcW w:w="1164" w:type="dxa"/>
          </w:tcPr>
          <w:p>
            <w:pPr>
              <w:pStyle w:val="36"/>
              <w:spacing w:before="6"/>
              <w:rPr>
                <w:rFonts w:ascii="黑体"/>
                <w:b/>
                <w:sz w:val="29"/>
              </w:rPr>
            </w:pPr>
          </w:p>
          <w:p>
            <w:pPr>
              <w:pStyle w:val="36"/>
              <w:ind w:left="244" w:right="232"/>
              <w:jc w:val="center"/>
              <w:rPr>
                <w:rFonts w:ascii="Times New Roman"/>
                <w:sz w:val="21"/>
              </w:rPr>
            </w:pPr>
            <w:r>
              <w:rPr>
                <w:rFonts w:ascii="Times New Roman"/>
                <w:sz w:val="21"/>
              </w:rPr>
              <w:t>1.10.2</w:t>
            </w:r>
          </w:p>
        </w:tc>
        <w:tc>
          <w:tcPr>
            <w:tcW w:w="1920" w:type="dxa"/>
          </w:tcPr>
          <w:p>
            <w:pPr>
              <w:pStyle w:val="36"/>
              <w:spacing w:before="1" w:line="440" w:lineRule="exact"/>
              <w:ind w:left="542" w:right="102" w:hanging="420"/>
              <w:rPr>
                <w:sz w:val="21"/>
              </w:rPr>
            </w:pPr>
            <w:r>
              <w:rPr>
                <w:sz w:val="21"/>
              </w:rPr>
              <w:t>投标人提出问题的截止时间</w:t>
            </w:r>
          </w:p>
        </w:tc>
        <w:tc>
          <w:tcPr>
            <w:tcW w:w="6663" w:type="dxa"/>
            <w:gridSpan w:val="2"/>
            <w:vAlign w:val="center"/>
          </w:tcPr>
          <w:p>
            <w:pPr>
              <w:spacing w:line="360" w:lineRule="exac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日。在投标人提出问题（质疑、异议）的截止时间后，招标人不再受理投标人提出的问题（质疑、异议）</w:t>
            </w:r>
            <w:r>
              <w:rPr>
                <w:rFonts w:hint="eastAsia"/>
                <w:u w:val="single"/>
              </w:rPr>
              <w:t>(以发布的招标公告为准)</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77" w:hRule="atLeast"/>
        </w:trPr>
        <w:tc>
          <w:tcPr>
            <w:tcW w:w="1164" w:type="dxa"/>
          </w:tcPr>
          <w:p>
            <w:pPr>
              <w:pStyle w:val="36"/>
              <w:spacing w:before="3"/>
              <w:rPr>
                <w:rFonts w:ascii="黑体"/>
                <w:b/>
                <w:sz w:val="29"/>
              </w:rPr>
            </w:pPr>
          </w:p>
          <w:p>
            <w:pPr>
              <w:pStyle w:val="36"/>
              <w:ind w:left="244" w:right="232"/>
              <w:jc w:val="center"/>
              <w:rPr>
                <w:rFonts w:ascii="Times New Roman"/>
                <w:sz w:val="21"/>
              </w:rPr>
            </w:pPr>
            <w:r>
              <w:rPr>
                <w:rFonts w:ascii="Times New Roman"/>
                <w:sz w:val="21"/>
              </w:rPr>
              <w:t>1.10.3</w:t>
            </w:r>
          </w:p>
        </w:tc>
        <w:tc>
          <w:tcPr>
            <w:tcW w:w="1920" w:type="dxa"/>
          </w:tcPr>
          <w:p>
            <w:pPr>
              <w:pStyle w:val="36"/>
              <w:spacing w:line="440" w:lineRule="exact"/>
              <w:ind w:left="751" w:right="102" w:hanging="629"/>
              <w:rPr>
                <w:sz w:val="21"/>
              </w:rPr>
            </w:pPr>
            <w:r>
              <w:rPr>
                <w:sz w:val="21"/>
              </w:rPr>
              <w:t>招标人书面澄清的时间</w:t>
            </w:r>
          </w:p>
        </w:tc>
        <w:tc>
          <w:tcPr>
            <w:tcW w:w="6663" w:type="dxa"/>
            <w:gridSpan w:val="2"/>
          </w:tcPr>
          <w:p>
            <w:pPr>
              <w:pStyle w:val="36"/>
              <w:spacing w:before="2"/>
              <w:rPr>
                <w:spacing w:val="4"/>
                <w:sz w:val="21"/>
              </w:rPr>
            </w:pPr>
          </w:p>
          <w:p>
            <w:pPr>
              <w:pStyle w:val="36"/>
              <w:spacing w:before="2"/>
              <w:rPr>
                <w:sz w:val="21"/>
              </w:rPr>
            </w:pPr>
            <w:r>
              <w:rPr>
                <w:spacing w:val="4"/>
                <w:sz w:val="21"/>
              </w:rPr>
              <w:t>澄</w:t>
            </w:r>
            <w:r>
              <w:rPr>
                <w:sz w:val="21"/>
              </w:rPr>
              <w:t>清</w:t>
            </w:r>
            <w:r>
              <w:rPr>
                <w:spacing w:val="4"/>
                <w:sz w:val="21"/>
              </w:rPr>
              <w:t>时</w:t>
            </w:r>
            <w:r>
              <w:rPr>
                <w:sz w:val="21"/>
              </w:rPr>
              <w:t>间</w:t>
            </w:r>
            <w:r>
              <w:rPr>
                <w:rFonts w:hint="eastAsia"/>
                <w:sz w:val="21"/>
              </w:rPr>
              <w:t>：</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w:t>
            </w:r>
            <w:r>
              <w:rPr>
                <w:rFonts w:hint="eastAsia"/>
                <w:u w:val="single"/>
              </w:rPr>
              <w:t>(以发布的招标公告为准)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78" w:hRule="atLeast"/>
        </w:trPr>
        <w:tc>
          <w:tcPr>
            <w:tcW w:w="1164" w:type="dxa"/>
          </w:tcPr>
          <w:p>
            <w:pPr>
              <w:pStyle w:val="36"/>
              <w:spacing w:before="3"/>
              <w:rPr>
                <w:rFonts w:ascii="黑体"/>
                <w:b/>
                <w:sz w:val="29"/>
              </w:rPr>
            </w:pPr>
          </w:p>
          <w:p>
            <w:pPr>
              <w:pStyle w:val="36"/>
              <w:ind w:left="244" w:right="234"/>
              <w:jc w:val="center"/>
              <w:rPr>
                <w:rFonts w:ascii="Times New Roman"/>
                <w:sz w:val="21"/>
              </w:rPr>
            </w:pPr>
            <w:r>
              <w:rPr>
                <w:rFonts w:ascii="Times New Roman"/>
                <w:sz w:val="21"/>
              </w:rPr>
              <w:t>1.11.1</w:t>
            </w:r>
          </w:p>
        </w:tc>
        <w:tc>
          <w:tcPr>
            <w:tcW w:w="1920" w:type="dxa"/>
          </w:tcPr>
          <w:p>
            <w:pPr>
              <w:pStyle w:val="36"/>
              <w:spacing w:line="440" w:lineRule="exact"/>
              <w:ind w:left="331" w:right="102" w:hanging="209"/>
              <w:rPr>
                <w:sz w:val="21"/>
              </w:rPr>
            </w:pPr>
            <w:r>
              <w:rPr>
                <w:sz w:val="21"/>
              </w:rPr>
              <w:t>招标人规定由分包人承担的工作</w:t>
            </w:r>
          </w:p>
        </w:tc>
        <w:tc>
          <w:tcPr>
            <w:tcW w:w="6663" w:type="dxa"/>
            <w:gridSpan w:val="2"/>
          </w:tcPr>
          <w:p>
            <w:pPr>
              <w:pStyle w:val="36"/>
              <w:spacing w:before="142" w:line="393" w:lineRule="auto"/>
              <w:ind w:left="107" w:right="97"/>
              <w:jc w:val="both"/>
              <w:rPr>
                <w:sz w:val="21"/>
              </w:rPr>
            </w:pPr>
            <w:r>
              <w:t>投标人拟分包的工作允许合法的专业分包及劳务分包。（1） 投标人不得将工程总承包项目工程主体部分的设计业务及主体结构施工业务分包或转包给其他单位。（2）专业工程允许分包给符合国家相关资质要求的单位。（3）以上允许分包的专业工程承包人确定后报发包人登记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23" w:hRule="atLeast"/>
        </w:trPr>
        <w:tc>
          <w:tcPr>
            <w:tcW w:w="1164" w:type="dxa"/>
          </w:tcPr>
          <w:p>
            <w:pPr>
              <w:pStyle w:val="36"/>
              <w:spacing w:before="1"/>
              <w:rPr>
                <w:rFonts w:ascii="黑体"/>
                <w:b/>
                <w:sz w:val="31"/>
              </w:rPr>
            </w:pPr>
          </w:p>
          <w:p>
            <w:pPr>
              <w:pStyle w:val="36"/>
              <w:ind w:left="244" w:right="232"/>
              <w:jc w:val="center"/>
              <w:rPr>
                <w:rFonts w:ascii="Times New Roman"/>
                <w:sz w:val="21"/>
              </w:rPr>
            </w:pPr>
            <w:r>
              <w:rPr>
                <w:rFonts w:ascii="Times New Roman"/>
                <w:sz w:val="21"/>
              </w:rPr>
              <w:t>1.12</w:t>
            </w:r>
          </w:p>
        </w:tc>
        <w:tc>
          <w:tcPr>
            <w:tcW w:w="1920" w:type="dxa"/>
          </w:tcPr>
          <w:p>
            <w:pPr>
              <w:pStyle w:val="36"/>
              <w:rPr>
                <w:rFonts w:ascii="黑体"/>
                <w:b/>
                <w:sz w:val="20"/>
              </w:rPr>
            </w:pPr>
          </w:p>
          <w:p>
            <w:pPr>
              <w:pStyle w:val="36"/>
              <w:spacing w:before="128"/>
              <w:ind w:left="15"/>
              <w:jc w:val="center"/>
              <w:rPr>
                <w:sz w:val="21"/>
              </w:rPr>
            </w:pPr>
            <w:r>
              <w:rPr>
                <w:sz w:val="21"/>
              </w:rPr>
              <w:t>偏离</w:t>
            </w:r>
          </w:p>
        </w:tc>
        <w:tc>
          <w:tcPr>
            <w:tcW w:w="6663" w:type="dxa"/>
            <w:gridSpan w:val="2"/>
          </w:tcPr>
          <w:p>
            <w:pPr>
              <w:pStyle w:val="36"/>
              <w:spacing w:before="165"/>
              <w:ind w:left="111"/>
              <w:rPr>
                <w:sz w:val="21"/>
              </w:rPr>
            </w:pPr>
            <w:r>
              <w:rPr>
                <w:rFonts w:hint="eastAsia"/>
                <w:sz w:val="24"/>
              </w:rPr>
              <w:t>■</w:t>
            </w:r>
            <w:r>
              <w:rPr>
                <w:sz w:val="21"/>
              </w:rPr>
              <w:t>不允许</w:t>
            </w:r>
          </w:p>
          <w:p>
            <w:pPr>
              <w:pStyle w:val="36"/>
              <w:spacing w:before="43"/>
              <w:ind w:left="111"/>
              <w:rPr>
                <w:sz w:val="21"/>
              </w:rPr>
            </w:pPr>
            <w:r>
              <w:rPr>
                <w:rFonts w:ascii="Times New Roman" w:hAnsi="Times New Roman" w:eastAsia="Times New Roman"/>
                <w:sz w:val="32"/>
              </w:rPr>
              <w:t>□</w:t>
            </w:r>
            <w:r>
              <w:rPr>
                <w:sz w:val="21"/>
              </w:rPr>
              <w:t>允许，允许偏离的内容、偏离范围和幅度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22" w:hRule="atLeast"/>
        </w:trPr>
        <w:tc>
          <w:tcPr>
            <w:tcW w:w="1164" w:type="dxa"/>
          </w:tcPr>
          <w:p>
            <w:pPr>
              <w:pStyle w:val="36"/>
              <w:spacing w:before="2"/>
              <w:rPr>
                <w:rFonts w:ascii="黑体"/>
                <w:b/>
                <w:sz w:val="27"/>
              </w:rPr>
            </w:pPr>
          </w:p>
          <w:p>
            <w:pPr>
              <w:pStyle w:val="36"/>
              <w:ind w:left="244" w:right="232"/>
              <w:jc w:val="center"/>
              <w:rPr>
                <w:rFonts w:ascii="Times New Roman"/>
                <w:sz w:val="21"/>
              </w:rPr>
            </w:pPr>
            <w:r>
              <w:rPr>
                <w:rFonts w:ascii="Times New Roman"/>
                <w:sz w:val="21"/>
              </w:rPr>
              <w:t>2.1</w:t>
            </w:r>
          </w:p>
        </w:tc>
        <w:tc>
          <w:tcPr>
            <w:tcW w:w="1920" w:type="dxa"/>
          </w:tcPr>
          <w:p>
            <w:pPr>
              <w:pStyle w:val="36"/>
              <w:spacing w:before="39" w:line="360" w:lineRule="atLeast"/>
              <w:ind w:left="645" w:right="102" w:hanging="524"/>
              <w:rPr>
                <w:sz w:val="21"/>
              </w:rPr>
            </w:pPr>
            <w:r>
              <w:rPr>
                <w:sz w:val="21"/>
              </w:rPr>
              <w:t>构成招标文件的其他资料</w:t>
            </w:r>
          </w:p>
        </w:tc>
        <w:tc>
          <w:tcPr>
            <w:tcW w:w="6663" w:type="dxa"/>
            <w:gridSpan w:val="2"/>
          </w:tcPr>
          <w:p>
            <w:pPr>
              <w:pStyle w:val="36"/>
              <w:spacing w:before="2"/>
              <w:rPr>
                <w:rFonts w:ascii="黑体"/>
                <w:b/>
                <w:sz w:val="27"/>
              </w:rPr>
            </w:pPr>
          </w:p>
          <w:p>
            <w:pPr>
              <w:pStyle w:val="36"/>
              <w:ind w:left="111"/>
              <w:rPr>
                <w:rFonts w:ascii="Times New Roman"/>
                <w:sz w:val="21"/>
              </w:rPr>
            </w:pPr>
            <w:r>
              <w:rPr>
                <w:rFonts w:ascii="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51" w:hRule="atLeast"/>
        </w:trPr>
        <w:tc>
          <w:tcPr>
            <w:tcW w:w="1164" w:type="dxa"/>
          </w:tcPr>
          <w:p>
            <w:pPr>
              <w:pStyle w:val="36"/>
              <w:spacing w:before="5"/>
              <w:rPr>
                <w:rFonts w:ascii="黑体"/>
                <w:b/>
                <w:sz w:val="24"/>
              </w:rPr>
            </w:pPr>
          </w:p>
          <w:p>
            <w:pPr>
              <w:pStyle w:val="36"/>
              <w:ind w:left="244" w:right="232"/>
              <w:jc w:val="center"/>
              <w:rPr>
                <w:rFonts w:ascii="Times New Roman"/>
                <w:sz w:val="21"/>
              </w:rPr>
            </w:pPr>
            <w:r>
              <w:rPr>
                <w:rFonts w:ascii="Times New Roman"/>
                <w:sz w:val="21"/>
              </w:rPr>
              <w:t>2.2.1</w:t>
            </w:r>
          </w:p>
        </w:tc>
        <w:tc>
          <w:tcPr>
            <w:tcW w:w="1920" w:type="dxa"/>
          </w:tcPr>
          <w:p>
            <w:pPr>
              <w:pStyle w:val="36"/>
              <w:spacing w:before="1" w:line="360" w:lineRule="atLeast"/>
              <w:ind w:left="110" w:right="88"/>
              <w:rPr>
                <w:sz w:val="21"/>
              </w:rPr>
            </w:pPr>
            <w:r>
              <w:rPr>
                <w:rFonts w:hint="eastAsia"/>
              </w:rPr>
              <w:t>投标人要求澄清招标文件的截止时间</w:t>
            </w:r>
          </w:p>
        </w:tc>
        <w:tc>
          <w:tcPr>
            <w:tcW w:w="6663" w:type="dxa"/>
            <w:gridSpan w:val="2"/>
          </w:tcPr>
          <w:p>
            <w:pPr>
              <w:pStyle w:val="36"/>
              <w:ind w:left="111"/>
              <w:rPr>
                <w:u w:val="single"/>
              </w:rPr>
            </w:pPr>
          </w:p>
          <w:p>
            <w:pPr>
              <w:pStyle w:val="36"/>
              <w:ind w:left="111"/>
              <w:rPr>
                <w:sz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(以发布的招标公告为准)</w:t>
            </w:r>
            <w:r>
              <w:rPr>
                <w:rFonts w:hint="eastAsia"/>
              </w:rPr>
              <w:t>。在投标人要求澄清招标文件的截止时间后，招标人不再受理投标人要求澄清的要求。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50" w:hRule="atLeast"/>
        </w:trPr>
        <w:tc>
          <w:tcPr>
            <w:tcW w:w="1164" w:type="dxa"/>
          </w:tcPr>
          <w:p>
            <w:pPr>
              <w:pStyle w:val="36"/>
              <w:spacing w:before="6"/>
              <w:rPr>
                <w:rFonts w:ascii="黑体"/>
                <w:b/>
              </w:rPr>
            </w:pPr>
          </w:p>
          <w:p>
            <w:pPr>
              <w:pStyle w:val="36"/>
              <w:ind w:left="244" w:right="232"/>
              <w:jc w:val="center"/>
              <w:rPr>
                <w:rFonts w:ascii="Times New Roman"/>
                <w:sz w:val="21"/>
              </w:rPr>
            </w:pPr>
            <w:r>
              <w:rPr>
                <w:rFonts w:ascii="Times New Roman"/>
                <w:sz w:val="21"/>
              </w:rPr>
              <w:t>2.3.1</w:t>
            </w:r>
          </w:p>
        </w:tc>
        <w:tc>
          <w:tcPr>
            <w:tcW w:w="1920" w:type="dxa"/>
            <w:vAlign w:val="center"/>
          </w:tcPr>
          <w:p>
            <w:pPr>
              <w:spacing w:line="360" w:lineRule="exact"/>
            </w:pPr>
            <w:r>
              <w:rPr>
                <w:rFonts w:hint="eastAsia"/>
              </w:rPr>
              <w:t>投标人确认收到招标文件澄清的时间</w:t>
            </w:r>
          </w:p>
        </w:tc>
        <w:tc>
          <w:tcPr>
            <w:tcW w:w="6663" w:type="dxa"/>
            <w:gridSpan w:val="2"/>
            <w:vAlign w:val="center"/>
          </w:tcPr>
          <w:p>
            <w:pPr>
              <w:spacing w:line="360" w:lineRule="exact"/>
            </w:pPr>
            <w:r>
              <w:t>招标人通过报名所在的电子招标投标平台发出通知视为将招标文件的澄清送达到各招标文件收受人。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50" w:hRule="atLeast"/>
        </w:trPr>
        <w:tc>
          <w:tcPr>
            <w:tcW w:w="1164" w:type="dxa"/>
          </w:tcPr>
          <w:p>
            <w:pPr>
              <w:pStyle w:val="36"/>
              <w:spacing w:before="6"/>
              <w:rPr>
                <w:rFonts w:ascii="黑体"/>
                <w:b/>
              </w:rPr>
            </w:pPr>
          </w:p>
          <w:p>
            <w:pPr>
              <w:pStyle w:val="36"/>
              <w:ind w:left="244" w:right="232"/>
              <w:jc w:val="center"/>
              <w:rPr>
                <w:rFonts w:ascii="Times New Roman"/>
                <w:sz w:val="21"/>
              </w:rPr>
            </w:pPr>
            <w:r>
              <w:rPr>
                <w:rFonts w:ascii="Times New Roman"/>
                <w:sz w:val="21"/>
              </w:rPr>
              <w:t>2.3.2</w:t>
            </w:r>
          </w:p>
        </w:tc>
        <w:tc>
          <w:tcPr>
            <w:tcW w:w="1920" w:type="dxa"/>
            <w:vAlign w:val="center"/>
          </w:tcPr>
          <w:p>
            <w:pPr>
              <w:spacing w:line="360" w:lineRule="exact"/>
            </w:pPr>
            <w:r>
              <w:rPr>
                <w:rFonts w:hint="eastAsia"/>
              </w:rPr>
              <w:t>投标截止时间</w:t>
            </w:r>
          </w:p>
        </w:tc>
        <w:tc>
          <w:tcPr>
            <w:tcW w:w="6663" w:type="dxa"/>
            <w:gridSpan w:val="2"/>
            <w:vAlign w:val="center"/>
          </w:tcPr>
          <w:p>
            <w:pPr>
              <w:spacing w:line="360" w:lineRule="exac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u w:val="single"/>
              </w:rPr>
              <w:t>(以发布的招标公告为准)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50" w:hRule="atLeast"/>
        </w:trPr>
        <w:tc>
          <w:tcPr>
            <w:tcW w:w="1164" w:type="dxa"/>
          </w:tcPr>
          <w:p>
            <w:pPr>
              <w:pStyle w:val="36"/>
              <w:spacing w:before="6"/>
              <w:rPr>
                <w:rFonts w:ascii="黑体"/>
                <w:b/>
              </w:rPr>
            </w:pPr>
          </w:p>
          <w:p>
            <w:pPr>
              <w:pStyle w:val="36"/>
              <w:ind w:left="244" w:right="232"/>
              <w:jc w:val="center"/>
              <w:rPr>
                <w:rFonts w:ascii="Times New Roman"/>
                <w:sz w:val="21"/>
              </w:rPr>
            </w:pPr>
            <w:r>
              <w:rPr>
                <w:rFonts w:ascii="Times New Roman"/>
                <w:sz w:val="21"/>
              </w:rPr>
              <w:t>2.4.1</w:t>
            </w:r>
          </w:p>
        </w:tc>
        <w:tc>
          <w:tcPr>
            <w:tcW w:w="1920" w:type="dxa"/>
            <w:vAlign w:val="center"/>
          </w:tcPr>
          <w:p>
            <w:pPr>
              <w:spacing w:line="360" w:lineRule="exact"/>
            </w:pPr>
            <w:r>
              <w:rPr>
                <w:rFonts w:hint="eastAsia"/>
              </w:rPr>
              <w:t>投标人确认收到招标文件修改的时间</w:t>
            </w:r>
          </w:p>
        </w:tc>
        <w:tc>
          <w:tcPr>
            <w:tcW w:w="6663" w:type="dxa"/>
            <w:gridSpan w:val="2"/>
            <w:vAlign w:val="center"/>
          </w:tcPr>
          <w:p>
            <w:pPr>
              <w:spacing w:line="360" w:lineRule="exact"/>
            </w:pPr>
            <w:r>
              <w:t>招标人通过报名所在的电子招标投标平台发出通知视为将招标文件的</w:t>
            </w:r>
            <w:r>
              <w:rPr>
                <w:rFonts w:hint="eastAsia"/>
              </w:rPr>
              <w:t>修改</w:t>
            </w:r>
            <w:r>
              <w:t>送达到各招标文件收受人。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3097" w:hRule="atLeast"/>
        </w:trPr>
        <w:tc>
          <w:tcPr>
            <w:tcW w:w="1164" w:type="dxa"/>
          </w:tcPr>
          <w:p>
            <w:pPr>
              <w:pStyle w:val="36"/>
              <w:spacing w:before="6"/>
              <w:rPr>
                <w:b/>
                <w:sz w:val="23"/>
              </w:rPr>
            </w:pPr>
          </w:p>
          <w:p>
            <w:pPr>
              <w:pStyle w:val="36"/>
              <w:ind w:left="320"/>
              <w:rPr>
                <w:sz w:val="21"/>
              </w:rPr>
            </w:pPr>
            <w:r>
              <w:rPr>
                <w:sz w:val="21"/>
              </w:rPr>
              <w:t>3.1.1</w:t>
            </w:r>
          </w:p>
        </w:tc>
        <w:tc>
          <w:tcPr>
            <w:tcW w:w="1920" w:type="dxa"/>
          </w:tcPr>
          <w:p>
            <w:pPr>
              <w:pStyle w:val="36"/>
              <w:spacing w:before="6"/>
              <w:rPr>
                <w:b/>
                <w:sz w:val="23"/>
              </w:rPr>
            </w:pPr>
          </w:p>
          <w:p>
            <w:pPr>
              <w:pStyle w:val="36"/>
              <w:ind w:left="7"/>
              <w:jc w:val="center"/>
              <w:rPr>
                <w:sz w:val="21"/>
              </w:rPr>
            </w:pPr>
            <w:r>
              <w:rPr>
                <w:sz w:val="21"/>
              </w:rPr>
              <w:t>构成投标文件的其他资</w:t>
            </w:r>
            <w:r>
              <w:rPr>
                <w:rFonts w:hint="eastAsia"/>
                <w:sz w:val="21"/>
              </w:rPr>
              <w:t>料</w:t>
            </w:r>
          </w:p>
        </w:tc>
        <w:tc>
          <w:tcPr>
            <w:tcW w:w="6663" w:type="dxa"/>
            <w:gridSpan w:val="2"/>
            <w:vAlign w:val="center"/>
          </w:tcPr>
          <w:p>
            <w:pPr>
              <w:pStyle w:val="10"/>
              <w:spacing w:before="71" w:line="482" w:lineRule="auto"/>
              <w:ind w:left="210" w:right="210"/>
              <w:rPr>
                <w:spacing w:val="-3"/>
              </w:rPr>
            </w:pPr>
            <w:r>
              <w:rPr>
                <w:rFonts w:hint="eastAsia"/>
                <w:spacing w:val="-3"/>
              </w:rPr>
              <w:t>第一册 商务标（</w:t>
            </w:r>
            <w:r>
              <w:t>正本份数为壹份，副本为贰份</w:t>
            </w:r>
            <w:r>
              <w:rPr>
                <w:rFonts w:hint="eastAsia"/>
                <w:spacing w:val="-3"/>
              </w:rPr>
              <w:t>），包括以下内容：</w:t>
            </w:r>
          </w:p>
          <w:p>
            <w:pPr>
              <w:pStyle w:val="10"/>
              <w:spacing w:before="71" w:line="482" w:lineRule="auto"/>
              <w:ind w:left="210" w:right="210"/>
              <w:rPr>
                <w:spacing w:val="-3"/>
              </w:rPr>
            </w:pPr>
            <w:r>
              <w:rPr>
                <w:spacing w:val="-3"/>
              </w:rPr>
              <w:t>一、投标函及投标函附录</w:t>
            </w:r>
          </w:p>
          <w:p>
            <w:pPr>
              <w:pStyle w:val="10"/>
              <w:spacing w:before="71" w:line="482" w:lineRule="auto"/>
              <w:ind w:left="210" w:right="210"/>
              <w:rPr>
                <w:spacing w:val="-3"/>
              </w:rPr>
            </w:pPr>
            <w:r>
              <w:rPr>
                <w:spacing w:val="-3"/>
              </w:rPr>
              <w:t>二、法定代表人身份证明或附有法定代表人身份证明的授权委托书</w:t>
            </w:r>
          </w:p>
          <w:p>
            <w:pPr>
              <w:pStyle w:val="10"/>
              <w:spacing w:before="71" w:line="482" w:lineRule="auto"/>
              <w:ind w:left="210" w:right="210"/>
              <w:rPr>
                <w:spacing w:val="-3"/>
              </w:rPr>
            </w:pPr>
            <w:r>
              <w:rPr>
                <w:rFonts w:hint="eastAsia"/>
                <w:spacing w:val="-3"/>
              </w:rPr>
              <w:t>三</w:t>
            </w:r>
            <w:r>
              <w:rPr>
                <w:spacing w:val="-3"/>
              </w:rPr>
              <w:t>、联合体协议书（如有）</w:t>
            </w:r>
          </w:p>
          <w:p>
            <w:pPr>
              <w:pStyle w:val="10"/>
              <w:spacing w:before="71" w:line="482" w:lineRule="auto"/>
              <w:ind w:left="210" w:right="210"/>
              <w:rPr>
                <w:spacing w:val="-3"/>
              </w:rPr>
            </w:pPr>
            <w:r>
              <w:rPr>
                <w:rFonts w:hint="eastAsia"/>
                <w:spacing w:val="-3"/>
              </w:rPr>
              <w:t>四</w:t>
            </w:r>
            <w:r>
              <w:rPr>
                <w:spacing w:val="-3"/>
              </w:rPr>
              <w:t>、投标保证金（注：联合体投标的由牵头人提供）（附投标保证金的递交证明文件）</w:t>
            </w:r>
          </w:p>
          <w:p>
            <w:pPr>
              <w:pStyle w:val="10"/>
              <w:spacing w:before="71" w:line="482" w:lineRule="auto"/>
              <w:ind w:left="210" w:right="210"/>
              <w:rPr>
                <w:spacing w:val="-3"/>
              </w:rPr>
            </w:pPr>
            <w:r>
              <w:rPr>
                <w:rFonts w:hint="eastAsia"/>
                <w:spacing w:val="-3"/>
              </w:rPr>
              <w:t>五</w:t>
            </w:r>
            <w:r>
              <w:rPr>
                <w:spacing w:val="-3"/>
              </w:rPr>
              <w:t>、资格审查资料</w:t>
            </w:r>
          </w:p>
          <w:p>
            <w:pPr>
              <w:pStyle w:val="10"/>
              <w:spacing w:before="71" w:line="482" w:lineRule="auto"/>
              <w:ind w:left="210" w:right="210"/>
              <w:rPr>
                <w:spacing w:val="-3"/>
              </w:rPr>
            </w:pPr>
            <w:r>
              <w:rPr>
                <w:rFonts w:hint="eastAsia"/>
                <w:spacing w:val="-3"/>
              </w:rPr>
              <w:t>六</w:t>
            </w:r>
            <w:r>
              <w:rPr>
                <w:spacing w:val="-3"/>
              </w:rPr>
              <w:t>、技术或商务评审材料及其他资料</w:t>
            </w:r>
          </w:p>
          <w:p>
            <w:pPr>
              <w:pStyle w:val="10"/>
              <w:spacing w:before="71" w:line="482" w:lineRule="auto"/>
              <w:ind w:left="210" w:right="210"/>
              <w:rPr>
                <w:spacing w:val="-3"/>
              </w:rPr>
            </w:pPr>
            <w:r>
              <w:rPr>
                <w:rFonts w:hint="eastAsia"/>
                <w:spacing w:val="-3"/>
              </w:rPr>
              <w:t>第二册 技术标：</w:t>
            </w:r>
          </w:p>
          <w:p>
            <w:pPr>
              <w:pStyle w:val="10"/>
              <w:spacing w:before="71" w:line="482" w:lineRule="auto"/>
              <w:ind w:left="210" w:right="210"/>
              <w:rPr>
                <w:color w:val="FF0000"/>
                <w:spacing w:val="-3"/>
              </w:rPr>
            </w:pPr>
            <w:r>
              <w:rPr>
                <w:rFonts w:hint="eastAsia"/>
                <w:spacing w:val="-3"/>
              </w:rPr>
              <w:t>（</w:t>
            </w:r>
            <w:r>
              <w:t>正本份数为壹份，副本为贰份，包含设计方案</w:t>
            </w:r>
            <w:r>
              <w:rPr>
                <w:rFonts w:hint="eastAsia"/>
              </w:rPr>
              <w:t>和施工方案</w:t>
            </w:r>
            <w:r>
              <w:t>；</w:t>
            </w:r>
            <w:r>
              <w:rPr>
                <w:rFonts w:hint="eastAsia"/>
                <w:spacing w:val="-3"/>
              </w:rPr>
              <w:t>内容</w:t>
            </w:r>
            <w:r>
              <w:rPr>
                <w:spacing w:val="-3"/>
              </w:rPr>
              <w:t>格式自定</w:t>
            </w:r>
            <w:r>
              <w:rPr>
                <w:rFonts w:hint="eastAsia"/>
                <w:spacing w:val="-3"/>
              </w:rPr>
              <w:t>）</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6240"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3"/>
              <w:rPr>
                <w:rFonts w:ascii="黑体"/>
                <w:b/>
                <w:sz w:val="21"/>
              </w:rPr>
            </w:pPr>
          </w:p>
          <w:p>
            <w:pPr>
              <w:pStyle w:val="36"/>
              <w:ind w:left="244" w:right="232"/>
              <w:jc w:val="center"/>
              <w:rPr>
                <w:rFonts w:ascii="Times New Roman"/>
                <w:sz w:val="21"/>
              </w:rPr>
            </w:pPr>
            <w:r>
              <w:rPr>
                <w:rFonts w:ascii="Times New Roman"/>
                <w:sz w:val="21"/>
              </w:rPr>
              <w:t>3.2.4</w:t>
            </w:r>
          </w:p>
        </w:tc>
        <w:tc>
          <w:tcPr>
            <w:tcW w:w="1920" w:type="dxa"/>
          </w:tcPr>
          <w:p>
            <w:pPr>
              <w:pStyle w:val="36"/>
              <w:rPr>
                <w:rFonts w:ascii="黑体"/>
                <w:b/>
                <w:sz w:val="20"/>
              </w:rPr>
            </w:pPr>
          </w:p>
          <w:p>
            <w:pPr>
              <w:pStyle w:val="36"/>
              <w:rPr>
                <w:rFonts w:ascii="黑体"/>
                <w:b/>
                <w:sz w:val="20"/>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spacing w:before="2"/>
              <w:rPr>
                <w:rFonts w:ascii="黑体"/>
                <w:b/>
                <w:sz w:val="24"/>
              </w:rPr>
            </w:pPr>
          </w:p>
          <w:p>
            <w:pPr>
              <w:pStyle w:val="36"/>
              <w:ind w:left="15"/>
              <w:jc w:val="center"/>
              <w:rPr>
                <w:sz w:val="21"/>
              </w:rPr>
            </w:pPr>
            <w:r>
              <w:rPr>
                <w:sz w:val="21"/>
              </w:rPr>
              <w:t>招标控制价或其计算方法</w:t>
            </w:r>
          </w:p>
        </w:tc>
        <w:tc>
          <w:tcPr>
            <w:tcW w:w="6663" w:type="dxa"/>
            <w:gridSpan w:val="2"/>
          </w:tcPr>
          <w:p>
            <w:pPr>
              <w:pStyle w:val="36"/>
              <w:spacing w:before="95" w:line="338" w:lineRule="auto"/>
              <w:ind w:left="107" w:right="654"/>
              <w:rPr>
                <w:color w:val="FF0000"/>
                <w:sz w:val="21"/>
              </w:rPr>
            </w:pPr>
            <w:r>
              <w:rPr>
                <w:rFonts w:hint="eastAsia"/>
                <w:color w:val="FF0000"/>
                <w:sz w:val="21"/>
              </w:rPr>
              <w:t>一、</w:t>
            </w:r>
            <w:r>
              <w:rPr>
                <w:color w:val="FF0000"/>
                <w:sz w:val="21"/>
              </w:rPr>
              <w:t xml:space="preserve">中标人必须按工程费投资限额进行限额设计。 </w:t>
            </w:r>
          </w:p>
          <w:p>
            <w:pPr>
              <w:pStyle w:val="36"/>
              <w:spacing w:before="95" w:line="338" w:lineRule="auto"/>
              <w:ind w:left="107" w:right="213"/>
              <w:rPr>
                <w:color w:val="FF0000"/>
                <w:sz w:val="21"/>
              </w:rPr>
            </w:pPr>
            <w:r>
              <w:rPr>
                <w:color w:val="FF0000"/>
                <w:sz w:val="21"/>
              </w:rPr>
              <w:t>二、招标控制价（人民币）：</w:t>
            </w:r>
            <w:r>
              <w:rPr>
                <w:rFonts w:hint="eastAsia"/>
                <w:color w:val="FF0000"/>
                <w:sz w:val="21"/>
                <w:u w:val="single"/>
              </w:rPr>
              <w:t xml:space="preserve"> 2100</w:t>
            </w:r>
            <w:r>
              <w:rPr>
                <w:color w:val="FF0000"/>
                <w:sz w:val="21"/>
                <w:u w:val="single"/>
              </w:rPr>
              <w:t xml:space="preserve"> </w:t>
            </w:r>
            <w:r>
              <w:rPr>
                <w:color w:val="FF0000"/>
                <w:sz w:val="21"/>
              </w:rPr>
              <w:t>万元</w:t>
            </w:r>
            <w:r>
              <w:rPr>
                <w:rFonts w:hint="eastAsia"/>
                <w:color w:val="FF0000"/>
                <w:sz w:val="21"/>
              </w:rPr>
              <w:t xml:space="preserve"> （包含</w:t>
            </w:r>
            <w:r>
              <w:rPr>
                <w:color w:val="FF0000"/>
              </w:rPr>
              <w:t>工程建安费、工程设计费</w:t>
            </w:r>
            <w:r>
              <w:rPr>
                <w:rFonts w:hint="eastAsia"/>
                <w:color w:val="FF0000"/>
              </w:rPr>
              <w:t>，</w:t>
            </w:r>
            <w:r>
              <w:rPr>
                <w:color w:val="FF0000"/>
              </w:rPr>
              <w:t>投标报价不得超过招标控制价</w:t>
            </w:r>
            <w:r>
              <w:rPr>
                <w:rFonts w:hint="eastAsia"/>
                <w:color w:val="FF0000"/>
              </w:rPr>
              <w:t>，绿色施工安全防护措施费、暂列金额及暂估价包含在招标控制价内，投标总价也必须包含该部分费用</w:t>
            </w:r>
            <w:r>
              <w:rPr>
                <w:color w:val="FF0000"/>
              </w:rPr>
              <w:t>）</w:t>
            </w:r>
            <w:r>
              <w:rPr>
                <w:color w:val="FF0000"/>
                <w:sz w:val="21"/>
              </w:rPr>
              <w:t>；</w:t>
            </w:r>
          </w:p>
          <w:p>
            <w:pPr>
              <w:pStyle w:val="36"/>
              <w:tabs>
                <w:tab w:val="left" w:pos="2783"/>
              </w:tabs>
              <w:spacing w:before="110" w:line="338" w:lineRule="auto"/>
              <w:ind w:left="107" w:right="2387"/>
              <w:rPr>
                <w:color w:val="FF0000"/>
                <w:sz w:val="21"/>
              </w:rPr>
            </w:pPr>
            <w:r>
              <w:rPr>
                <w:color w:val="FF0000"/>
                <w:sz w:val="21"/>
              </w:rPr>
              <w:t>三</w:t>
            </w:r>
            <w:r>
              <w:rPr>
                <w:color w:val="FF0000"/>
                <w:spacing w:val="14"/>
                <w:sz w:val="21"/>
              </w:rPr>
              <w:t>、</w:t>
            </w:r>
            <w:r>
              <w:rPr>
                <w:color w:val="FF0000"/>
                <w:sz w:val="21"/>
              </w:rPr>
              <w:t>投标报价：</w:t>
            </w:r>
          </w:p>
          <w:p>
            <w:pPr>
              <w:pStyle w:val="36"/>
              <w:spacing w:before="2" w:line="338" w:lineRule="auto"/>
              <w:ind w:left="107" w:right="95"/>
              <w:jc w:val="both"/>
              <w:rPr>
                <w:color w:val="FF0000"/>
                <w:sz w:val="21"/>
              </w:rPr>
            </w:pPr>
            <w:r>
              <w:rPr>
                <w:color w:val="FF0000"/>
                <w:sz w:val="21"/>
              </w:rPr>
              <w:t>1、</w:t>
            </w:r>
            <w:r>
              <w:rPr>
                <w:color w:val="FF0000"/>
              </w:rPr>
              <w:t>招标控制价即为最高</w:t>
            </w:r>
            <w:r>
              <w:rPr>
                <w:rFonts w:hint="eastAsia"/>
                <w:color w:val="FF0000"/>
              </w:rPr>
              <w:t>投标</w:t>
            </w:r>
            <w:r>
              <w:rPr>
                <w:color w:val="FF0000"/>
              </w:rPr>
              <w:t>限价</w:t>
            </w:r>
            <w:r>
              <w:rPr>
                <w:rFonts w:hint="eastAsia"/>
                <w:color w:val="FF0000"/>
              </w:rPr>
              <w:t>（最高投标限价仅是投资概算价，不是工程承包价）。</w:t>
            </w:r>
          </w:p>
          <w:p>
            <w:pPr>
              <w:pStyle w:val="36"/>
              <w:tabs>
                <w:tab w:val="left" w:pos="6592"/>
              </w:tabs>
              <w:spacing w:line="360" w:lineRule="atLeast"/>
              <w:ind w:left="111" w:right="71"/>
              <w:rPr>
                <w:color w:val="FF0000"/>
                <w:sz w:val="21"/>
              </w:rPr>
            </w:pPr>
            <w:r>
              <w:rPr>
                <w:rFonts w:hint="eastAsia"/>
                <w:color w:val="FF0000"/>
                <w:sz w:val="21"/>
              </w:rPr>
              <w:t>2、</w:t>
            </w:r>
            <w:r>
              <w:rPr>
                <w:color w:val="FF0000"/>
              </w:rPr>
              <w:t>工程投标报价需按要求报投标总价，</w:t>
            </w:r>
            <w:r>
              <w:rPr>
                <w:rFonts w:hint="eastAsia"/>
                <w:color w:val="FF0000"/>
              </w:rPr>
              <w:t>采用下浮率报价方式，即投标人只须报一个工程投标总价的下浮率（下浮率保留小数后二位）</w:t>
            </w:r>
            <w:r>
              <w:rPr>
                <w:color w:val="FF0000"/>
              </w:rPr>
              <w:t>。</w:t>
            </w:r>
            <w:r>
              <w:rPr>
                <w:rFonts w:hint="eastAsia"/>
                <w:color w:val="FF0000"/>
              </w:rPr>
              <w:t>工程投标总价为按照投标下浮率与招标控制价计算出来的暂定数额，即：投标总价</w:t>
            </w:r>
            <w:r>
              <w:rPr>
                <w:color w:val="FF0000"/>
              </w:rPr>
              <w:t>=招标控制价×（1-投标下浮率）。中标通知书中的工程造价暂定中标价=招标控制价×（1-中标下浮率）。</w:t>
            </w:r>
          </w:p>
          <w:p>
            <w:pPr>
              <w:pStyle w:val="36"/>
              <w:spacing w:line="360" w:lineRule="atLeast"/>
              <w:ind w:left="111" w:right="71"/>
              <w:rPr>
                <w:sz w:val="21"/>
              </w:rPr>
            </w:pPr>
            <w:r>
              <w:rPr>
                <w:rFonts w:hint="eastAsia"/>
                <w:color w:val="FF0000"/>
                <w:spacing w:val="-9"/>
                <w:sz w:val="21"/>
              </w:rPr>
              <w:t>3</w:t>
            </w:r>
            <w:r>
              <w:rPr>
                <w:color w:val="FF0000"/>
                <w:spacing w:val="-9"/>
                <w:sz w:val="21"/>
              </w:rPr>
              <w:t>、本项目</w:t>
            </w:r>
            <w:r>
              <w:rPr>
                <w:color w:val="FF0000"/>
              </w:rPr>
              <w:t>投标报价以元为单位，小数点后保留两位，第三位小数四舍五 入，投标下浮率小数点后保留两位。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60" w:hRule="atLeast"/>
        </w:trPr>
        <w:tc>
          <w:tcPr>
            <w:tcW w:w="1164" w:type="dxa"/>
          </w:tcPr>
          <w:p>
            <w:pPr>
              <w:pStyle w:val="36"/>
              <w:spacing w:before="9"/>
              <w:rPr>
                <w:rFonts w:ascii="黑体"/>
                <w:b/>
                <w:sz w:val="24"/>
              </w:rPr>
            </w:pPr>
          </w:p>
          <w:p>
            <w:pPr>
              <w:pStyle w:val="36"/>
              <w:spacing w:before="1"/>
              <w:ind w:left="244" w:right="232"/>
              <w:jc w:val="center"/>
              <w:rPr>
                <w:rFonts w:ascii="Times New Roman"/>
                <w:sz w:val="21"/>
              </w:rPr>
            </w:pPr>
            <w:r>
              <w:rPr>
                <w:rFonts w:ascii="Times New Roman"/>
                <w:sz w:val="21"/>
              </w:rPr>
              <w:t>3.2.5</w:t>
            </w:r>
          </w:p>
        </w:tc>
        <w:tc>
          <w:tcPr>
            <w:tcW w:w="1920" w:type="dxa"/>
          </w:tcPr>
          <w:p>
            <w:pPr>
              <w:pStyle w:val="36"/>
              <w:spacing w:line="380" w:lineRule="exact"/>
              <w:ind w:left="857" w:right="102" w:hanging="735"/>
              <w:rPr>
                <w:sz w:val="21"/>
              </w:rPr>
            </w:pPr>
            <w:r>
              <w:rPr>
                <w:sz w:val="21"/>
              </w:rPr>
              <w:t>投标报价的其他要求</w:t>
            </w:r>
          </w:p>
        </w:tc>
        <w:tc>
          <w:tcPr>
            <w:tcW w:w="6663" w:type="dxa"/>
            <w:gridSpan w:val="2"/>
          </w:tcPr>
          <w:p>
            <w:pPr>
              <w:pStyle w:val="36"/>
              <w:spacing w:before="1"/>
              <w:rPr>
                <w:rFonts w:ascii="Times New Roman"/>
                <w:sz w:val="21"/>
              </w:rPr>
            </w:pPr>
            <w:r>
              <w:rPr>
                <w:rFonts w:ascii="Times New Roman"/>
                <w:color w:val="FF0000"/>
                <w:sz w:val="21"/>
              </w:rPr>
              <w:t xml:space="preserve"> 1、本工程投标报价时采用下浮率报价方式，投标人须基于招标控制价报一个投标下浮率。即：投标报价＝招标控制价×（1－投标下浮率）。（投标下浮率及投标报价保留小数点后两位</w:t>
            </w:r>
            <w:r>
              <w:rPr>
                <w:rFonts w:ascii="Times New Roman"/>
                <w:sz w:val="21"/>
              </w:rPr>
              <w:t>）</w:t>
            </w:r>
          </w:p>
          <w:p>
            <w:pPr>
              <w:pStyle w:val="36"/>
              <w:spacing w:before="1"/>
              <w:rPr>
                <w:rFonts w:ascii="Times New Roman"/>
                <w:sz w:val="21"/>
              </w:rPr>
            </w:pPr>
            <w:r>
              <w:rPr>
                <w:rFonts w:ascii="Times New Roman"/>
                <w:color w:val="FF0000"/>
                <w:sz w:val="21"/>
              </w:rPr>
              <w:t>2、本工程的招标控制价是一个暂定数值，只作为投标和评标参考。最终承包价是以经广东省气象局结算审定的</w:t>
            </w:r>
            <w:r>
              <w:rPr>
                <w:rFonts w:hint="eastAsia" w:ascii="Times New Roman"/>
                <w:color w:val="FF0000"/>
                <w:sz w:val="21"/>
              </w:rPr>
              <w:t>总</w:t>
            </w:r>
            <w:r>
              <w:rPr>
                <w:rFonts w:ascii="Times New Roman"/>
                <w:color w:val="FF0000"/>
                <w:sz w:val="21"/>
              </w:rPr>
              <w:t>费</w:t>
            </w:r>
            <w:r>
              <w:rPr>
                <w:rFonts w:hint="eastAsia" w:ascii="Times New Roman"/>
                <w:color w:val="FF0000"/>
                <w:sz w:val="21"/>
              </w:rPr>
              <w:t>用</w:t>
            </w:r>
            <w:r>
              <w:rPr>
                <w:rFonts w:ascii="Times New Roman"/>
                <w:color w:val="FF0000"/>
                <w:sz w:val="21"/>
              </w:rPr>
              <w:t>×（1-中标下浮率）为准。</w:t>
            </w:r>
            <w:r>
              <w:rPr>
                <w:rFonts w:ascii="Times New Roman"/>
                <w:sz w:val="21"/>
              </w:rPr>
              <w:t xml:space="preserve"> </w:t>
            </w:r>
          </w:p>
          <w:p>
            <w:pPr>
              <w:pStyle w:val="36"/>
              <w:spacing w:before="1"/>
              <w:rPr>
                <w:rFonts w:ascii="Times New Roman"/>
                <w:color w:val="FF0000"/>
                <w:sz w:val="21"/>
              </w:rPr>
            </w:pPr>
            <w:r>
              <w:rPr>
                <w:rFonts w:ascii="Times New Roman"/>
                <w:color w:val="FF0000"/>
                <w:sz w:val="21"/>
              </w:rPr>
              <w:t>3、本工程中标签约合同价为结算最高上限价，如经</w:t>
            </w:r>
            <w:r>
              <w:rPr>
                <w:rFonts w:hint="eastAsia" w:ascii="Times New Roman"/>
                <w:color w:val="FF0000"/>
                <w:sz w:val="21"/>
              </w:rPr>
              <w:t>广东省气象</w:t>
            </w:r>
            <w:r>
              <w:rPr>
                <w:rFonts w:ascii="Times New Roman"/>
                <w:color w:val="FF0000"/>
                <w:sz w:val="21"/>
              </w:rPr>
              <w:t xml:space="preserve">局审定的建安费×（1-中标下浮率）后超出原中标签约合同价，仍以中标签约合同价进行结算。 </w:t>
            </w:r>
          </w:p>
          <w:p>
            <w:pPr>
              <w:pStyle w:val="36"/>
              <w:spacing w:before="1"/>
              <w:rPr>
                <w:rFonts w:ascii="Times New Roman"/>
                <w:color w:val="FF0000"/>
                <w:sz w:val="21"/>
                <w:highlight w:val="yellow"/>
              </w:rPr>
            </w:pPr>
            <w:r>
              <w:rPr>
                <w:rFonts w:ascii="Times New Roman"/>
                <w:color w:val="FF0000"/>
                <w:sz w:val="21"/>
              </w:rPr>
              <w:t xml:space="preserve">4、投标下浮率不得低于 </w:t>
            </w:r>
            <w:r>
              <w:rPr>
                <w:rFonts w:hint="eastAsia" w:ascii="Times New Roman"/>
                <w:color w:val="FF0000"/>
                <w:sz w:val="21"/>
              </w:rPr>
              <w:t>3</w:t>
            </w:r>
            <w:r>
              <w:rPr>
                <w:rFonts w:ascii="Times New Roman"/>
                <w:color w:val="FF0000"/>
                <w:sz w:val="21"/>
              </w:rPr>
              <w:t>%，即≥</w:t>
            </w:r>
            <w:r>
              <w:rPr>
                <w:rFonts w:hint="eastAsia" w:ascii="Times New Roman"/>
                <w:color w:val="FF0000"/>
                <w:sz w:val="21"/>
              </w:rPr>
              <w:t>3</w:t>
            </w:r>
            <w:r>
              <w:rPr>
                <w:rFonts w:ascii="Times New Roman"/>
                <w:color w:val="FF0000"/>
                <w:sz w:val="21"/>
              </w:rPr>
              <w:t>%。</w:t>
            </w:r>
          </w:p>
          <w:p>
            <w:pPr>
              <w:pStyle w:val="36"/>
              <w:spacing w:before="1"/>
              <w:rPr>
                <w:rFonts w:ascii="Times New Roman"/>
                <w:color w:val="FF0000"/>
                <w:sz w:val="21"/>
              </w:rPr>
            </w:pPr>
            <w:r>
              <w:rPr>
                <w:rFonts w:hint="eastAsia" w:ascii="Times New Roman"/>
                <w:color w:val="FF0000"/>
                <w:sz w:val="21"/>
              </w:rPr>
              <w:t>5</w:t>
            </w:r>
            <w:r>
              <w:rPr>
                <w:rFonts w:ascii="Times New Roman"/>
                <w:color w:val="FF0000"/>
                <w:sz w:val="21"/>
              </w:rPr>
              <w:t xml:space="preserve">、投标单位要按概算额进行限额设计（如超出概算限额，设计单位须无条件调整设计方案，发包人另行增加的工程除外）。 </w:t>
            </w:r>
          </w:p>
          <w:p>
            <w:pPr>
              <w:pStyle w:val="36"/>
              <w:spacing w:before="1"/>
              <w:rPr>
                <w:rFonts w:ascii="Times New Roman"/>
                <w:b/>
                <w:sz w:val="21"/>
              </w:rPr>
            </w:pPr>
            <w:r>
              <w:rPr>
                <w:rFonts w:hint="eastAsia" w:ascii="Times New Roman"/>
                <w:color w:val="FF0000"/>
                <w:sz w:val="21"/>
              </w:rPr>
              <w:t>6</w:t>
            </w:r>
            <w:r>
              <w:rPr>
                <w:rFonts w:ascii="Times New Roman"/>
                <w:color w:val="FF0000"/>
                <w:sz w:val="21"/>
              </w:rPr>
              <w:t>、本项目中标人的设计方完成施工图</w:t>
            </w:r>
            <w:r>
              <w:rPr>
                <w:rFonts w:hint="eastAsia" w:ascii="Times New Roman"/>
                <w:color w:val="FF0000"/>
                <w:sz w:val="21"/>
              </w:rPr>
              <w:t>并经发包人确认</w:t>
            </w:r>
            <w:r>
              <w:rPr>
                <w:rFonts w:ascii="Times New Roman"/>
                <w:color w:val="FF0000"/>
                <w:sz w:val="21"/>
              </w:rPr>
              <w:t>后，由</w:t>
            </w:r>
            <w:r>
              <w:rPr>
                <w:rFonts w:hint="eastAsia" w:ascii="Times New Roman"/>
                <w:color w:val="FF0000"/>
                <w:sz w:val="21"/>
              </w:rPr>
              <w:t>中标人</w:t>
            </w:r>
            <w:r>
              <w:rPr>
                <w:rFonts w:ascii="Times New Roman"/>
                <w:color w:val="FF0000"/>
                <w:sz w:val="21"/>
              </w:rPr>
              <w:t>负责编制施工图预算并交由</w:t>
            </w:r>
            <w:r>
              <w:rPr>
                <w:rFonts w:hint="eastAsia" w:ascii="Times New Roman"/>
                <w:color w:val="FF0000"/>
                <w:sz w:val="21"/>
              </w:rPr>
              <w:t>广东省气象局</w:t>
            </w:r>
            <w:r>
              <w:rPr>
                <w:rFonts w:ascii="Times New Roman"/>
                <w:color w:val="FF0000"/>
                <w:sz w:val="21"/>
              </w:rPr>
              <w:t xml:space="preserve">审核。 </w:t>
            </w:r>
          </w:p>
          <w:p>
            <w:pPr>
              <w:pStyle w:val="36"/>
              <w:spacing w:before="1"/>
              <w:rPr>
                <w:rFonts w:ascii="Times New Roman"/>
                <w:color w:val="FF0000"/>
                <w:sz w:val="21"/>
              </w:rPr>
            </w:pPr>
            <w:r>
              <w:rPr>
                <w:rFonts w:hint="eastAsia" w:ascii="Times New Roman"/>
                <w:color w:val="FF0000"/>
                <w:sz w:val="21"/>
              </w:rPr>
              <w:t>7</w:t>
            </w:r>
            <w:r>
              <w:rPr>
                <w:rFonts w:ascii="Times New Roman"/>
                <w:color w:val="FF0000"/>
                <w:sz w:val="21"/>
              </w:rPr>
              <w:t>、投标报价应包含：</w:t>
            </w:r>
            <w:r>
              <w:rPr>
                <w:rFonts w:hint="eastAsia" w:ascii="Times New Roman"/>
                <w:color w:val="FF0000"/>
                <w:sz w:val="21"/>
              </w:rPr>
              <w:t>设计费、施工建安费、</w:t>
            </w:r>
            <w:r>
              <w:rPr>
                <w:rFonts w:ascii="Times New Roman"/>
                <w:color w:val="FF0000"/>
                <w:sz w:val="21"/>
              </w:rPr>
              <w:t>文明施工与环境保护、临时设施、安全施工措施项目费、施工扬尘污染防治费、用工实名管理费</w:t>
            </w:r>
            <w:r>
              <w:rPr>
                <w:rFonts w:hint="eastAsia" w:ascii="Times New Roman"/>
                <w:color w:val="FF0000"/>
                <w:sz w:val="21"/>
              </w:rPr>
              <w:t>等</w:t>
            </w:r>
            <w:r>
              <w:rPr>
                <w:rFonts w:ascii="Times New Roman"/>
                <w:color w:val="FF0000"/>
                <w:sz w:val="21"/>
              </w:rPr>
              <w:t xml:space="preserve">。 </w:t>
            </w:r>
          </w:p>
          <w:p>
            <w:pPr>
              <w:pStyle w:val="36"/>
              <w:spacing w:before="1"/>
              <w:rPr>
                <w:rFonts w:ascii="Times New Roman"/>
                <w:b/>
                <w:sz w:val="21"/>
              </w:rPr>
            </w:pPr>
            <w:r>
              <w:rPr>
                <w:rFonts w:hint="eastAsia" w:ascii="Times New Roman"/>
                <w:color w:val="FF0000"/>
                <w:sz w:val="21"/>
              </w:rPr>
              <w:t>8</w:t>
            </w:r>
            <w:r>
              <w:rPr>
                <w:rFonts w:ascii="Times New Roman"/>
                <w:color w:val="FF0000"/>
                <w:sz w:val="21"/>
              </w:rPr>
              <w:t>、本项目建设单位只提供现状条件，施工所需的场地平整、临水、临电、临时设施搭建以及保证周边车辆通行道路畅通，所产生的费用由承包人自行负责，相关费用已含在投标报价中，招标人不再额</w:t>
            </w:r>
            <w:r>
              <w:rPr>
                <w:rFonts w:hint="eastAsia" w:ascii="Times New Roman"/>
                <w:color w:val="FF0000"/>
                <w:sz w:val="21"/>
              </w:rPr>
              <w:t>外支付。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53" w:hRule="atLeast"/>
        </w:trPr>
        <w:tc>
          <w:tcPr>
            <w:tcW w:w="1164" w:type="dxa"/>
          </w:tcPr>
          <w:p>
            <w:pPr>
              <w:pStyle w:val="36"/>
              <w:spacing w:before="5"/>
              <w:rPr>
                <w:rFonts w:ascii="黑体"/>
                <w:b/>
                <w:sz w:val="24"/>
              </w:rPr>
            </w:pPr>
          </w:p>
          <w:p>
            <w:pPr>
              <w:pStyle w:val="36"/>
              <w:ind w:left="244" w:right="232"/>
              <w:jc w:val="center"/>
              <w:rPr>
                <w:rFonts w:ascii="Times New Roman"/>
                <w:sz w:val="21"/>
              </w:rPr>
            </w:pPr>
            <w:r>
              <w:rPr>
                <w:rFonts w:ascii="Times New Roman"/>
                <w:sz w:val="21"/>
              </w:rPr>
              <w:t>3.3.1</w:t>
            </w:r>
          </w:p>
        </w:tc>
        <w:tc>
          <w:tcPr>
            <w:tcW w:w="1920" w:type="dxa"/>
          </w:tcPr>
          <w:p>
            <w:pPr>
              <w:pStyle w:val="36"/>
              <w:spacing w:before="3"/>
              <w:rPr>
                <w:rFonts w:ascii="黑体"/>
                <w:b/>
                <w:sz w:val="23"/>
              </w:rPr>
            </w:pPr>
          </w:p>
          <w:p>
            <w:pPr>
              <w:pStyle w:val="36"/>
              <w:spacing w:before="1"/>
              <w:ind w:left="17"/>
              <w:jc w:val="center"/>
              <w:rPr>
                <w:sz w:val="21"/>
              </w:rPr>
            </w:pPr>
            <w:r>
              <w:rPr>
                <w:sz w:val="21"/>
              </w:rPr>
              <w:t>投标有效期</w:t>
            </w:r>
          </w:p>
        </w:tc>
        <w:tc>
          <w:tcPr>
            <w:tcW w:w="6663" w:type="dxa"/>
            <w:gridSpan w:val="2"/>
          </w:tcPr>
          <w:p>
            <w:pPr>
              <w:pStyle w:val="36"/>
              <w:spacing w:before="3"/>
              <w:rPr>
                <w:rFonts w:ascii="黑体"/>
                <w:b/>
                <w:sz w:val="23"/>
              </w:rPr>
            </w:pPr>
          </w:p>
          <w:p>
            <w:pPr>
              <w:pStyle w:val="36"/>
              <w:spacing w:before="1"/>
              <w:ind w:left="111"/>
              <w:rPr>
                <w:sz w:val="21"/>
              </w:rPr>
            </w:pPr>
            <w:r>
              <w:rPr>
                <w:rFonts w:ascii="Times New Roman" w:eastAsia="Times New Roman"/>
                <w:sz w:val="21"/>
              </w:rPr>
              <w:t xml:space="preserve">90 </w:t>
            </w:r>
            <w:r>
              <w:rPr>
                <w:sz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12"/>
              <w:rPr>
                <w:rFonts w:ascii="黑体"/>
                <w:b/>
                <w:sz w:val="20"/>
              </w:rPr>
            </w:pPr>
          </w:p>
          <w:p>
            <w:pPr>
              <w:pStyle w:val="36"/>
              <w:ind w:left="244" w:right="232"/>
              <w:jc w:val="center"/>
              <w:rPr>
                <w:rFonts w:ascii="Times New Roman"/>
                <w:sz w:val="21"/>
              </w:rPr>
            </w:pPr>
            <w:r>
              <w:rPr>
                <w:rFonts w:ascii="Times New Roman"/>
                <w:sz w:val="21"/>
              </w:rPr>
              <w:t>3.4.1</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11"/>
              <w:rPr>
                <w:rFonts w:ascii="黑体"/>
                <w:b/>
                <w:sz w:val="19"/>
              </w:rPr>
            </w:pPr>
          </w:p>
          <w:p>
            <w:pPr>
              <w:pStyle w:val="36"/>
              <w:ind w:left="17"/>
              <w:jc w:val="center"/>
              <w:rPr>
                <w:sz w:val="21"/>
              </w:rPr>
            </w:pPr>
            <w:r>
              <w:rPr>
                <w:sz w:val="21"/>
              </w:rPr>
              <w:t>投标保证金</w:t>
            </w:r>
          </w:p>
        </w:tc>
        <w:tc>
          <w:tcPr>
            <w:tcW w:w="6663" w:type="dxa"/>
            <w:gridSpan w:val="2"/>
          </w:tcPr>
          <w:p>
            <w:pPr>
              <w:pStyle w:val="36"/>
              <w:spacing w:before="128" w:line="374" w:lineRule="auto"/>
              <w:ind w:left="111" w:right="1075"/>
              <w:rPr>
                <w:sz w:val="21"/>
              </w:rPr>
            </w:pPr>
            <w:r>
              <w:rPr>
                <w:sz w:val="21"/>
              </w:rPr>
              <w:t>投标保证金的形式：银行转账或银行保函或投标保证保险。投标保证金的金额：</w:t>
            </w:r>
            <w:r>
              <w:rPr>
                <w:rFonts w:hint="eastAsia" w:ascii="Times New Roman" w:eastAsiaTheme="minorEastAsia"/>
                <w:sz w:val="21"/>
              </w:rPr>
              <w:t xml:space="preserve">40 </w:t>
            </w:r>
            <w:r>
              <w:rPr>
                <w:sz w:val="21"/>
              </w:rPr>
              <w:t>万元。</w:t>
            </w:r>
          </w:p>
          <w:p>
            <w:pPr>
              <w:pStyle w:val="36"/>
              <w:spacing w:before="1" w:line="374" w:lineRule="auto"/>
              <w:ind w:left="111" w:right="1631"/>
              <w:rPr>
                <w:sz w:val="21"/>
              </w:rPr>
            </w:pPr>
            <w:r>
              <w:rPr>
                <w:spacing w:val="-10"/>
                <w:sz w:val="21"/>
              </w:rPr>
              <w:t>投标保证金到账截止时间：</w:t>
            </w:r>
            <w:r>
              <w:rPr>
                <w:rFonts w:ascii="Times New Roman" w:eastAsia="Times New Roman"/>
                <w:spacing w:val="-5"/>
                <w:sz w:val="21"/>
              </w:rPr>
              <w:t xml:space="preserve">2020 </w:t>
            </w:r>
            <w:r>
              <w:rPr>
                <w:spacing w:val="-32"/>
                <w:sz w:val="21"/>
              </w:rPr>
              <w:t>年</w:t>
            </w:r>
            <w:r>
              <w:rPr>
                <w:rFonts w:hint="eastAsia" w:ascii="Times New Roman" w:eastAsiaTheme="minorEastAsia"/>
                <w:sz w:val="21"/>
              </w:rPr>
              <w:t xml:space="preserve">      </w:t>
            </w:r>
            <w:r>
              <w:rPr>
                <w:spacing w:val="-31"/>
                <w:sz w:val="21"/>
              </w:rPr>
              <w:t>月</w:t>
            </w:r>
            <w:r>
              <w:rPr>
                <w:rFonts w:hint="eastAsia" w:ascii="Times New Roman" w:eastAsiaTheme="minorEastAsia"/>
                <w:sz w:val="21"/>
              </w:rPr>
              <w:t xml:space="preserve">     </w:t>
            </w:r>
            <w:r>
              <w:rPr>
                <w:rFonts w:ascii="Times New Roman" w:eastAsia="Times New Roman"/>
                <w:sz w:val="21"/>
              </w:rPr>
              <w:t xml:space="preserve"> </w:t>
            </w:r>
            <w:r>
              <w:rPr>
                <w:spacing w:val="-31"/>
                <w:sz w:val="21"/>
              </w:rPr>
              <w:t>日</w:t>
            </w:r>
            <w:r>
              <w:rPr>
                <w:rFonts w:hint="eastAsia" w:ascii="Times New Roman" w:eastAsiaTheme="minorEastAsia"/>
                <w:sz w:val="21"/>
              </w:rPr>
              <w:t xml:space="preserve">     </w:t>
            </w:r>
            <w:r>
              <w:rPr>
                <w:spacing w:val="-31"/>
                <w:sz w:val="21"/>
              </w:rPr>
              <w:t xml:space="preserve">时 </w:t>
            </w:r>
            <w:r>
              <w:rPr>
                <w:rFonts w:hint="eastAsia"/>
                <w:spacing w:val="-31"/>
                <w:sz w:val="21"/>
              </w:rPr>
              <w:t xml:space="preserve">  </w:t>
            </w:r>
            <w:r>
              <w:rPr>
                <w:sz w:val="21"/>
              </w:rPr>
              <w:t>分</w:t>
            </w:r>
            <w:r>
              <w:rPr>
                <w:spacing w:val="-1"/>
                <w:sz w:val="21"/>
              </w:rPr>
              <w:t>递交方式：</w:t>
            </w:r>
          </w:p>
          <w:p>
            <w:pPr>
              <w:pStyle w:val="36"/>
              <w:spacing w:line="374" w:lineRule="auto"/>
              <w:ind w:left="111" w:right="-15"/>
              <w:rPr>
                <w:sz w:val="21"/>
              </w:rPr>
            </w:pPr>
            <w:r>
              <w:rPr>
                <w:b/>
                <w:sz w:val="21"/>
              </w:rPr>
              <w:t>采用银行转账的</w:t>
            </w:r>
            <w:r>
              <w:rPr>
                <w:spacing w:val="-22"/>
                <w:sz w:val="21"/>
              </w:rPr>
              <w:t>按《关于江门公共资源</w:t>
            </w:r>
            <w:r>
              <w:rPr>
                <w:spacing w:val="-3"/>
                <w:sz w:val="21"/>
              </w:rPr>
              <w:t>（房屋建筑和市政基础设施工程</w:t>
            </w:r>
            <w:r>
              <w:rPr>
                <w:spacing w:val="-11"/>
                <w:sz w:val="21"/>
              </w:rPr>
              <w:t>） 电子交易系统上线运行的通知》</w:t>
            </w:r>
            <w:r>
              <w:rPr>
                <w:spacing w:val="-3"/>
                <w:sz w:val="21"/>
              </w:rPr>
              <w:t>（</w:t>
            </w:r>
            <w:r>
              <w:rPr>
                <w:spacing w:val="-2"/>
                <w:sz w:val="21"/>
              </w:rPr>
              <w:t>江资交[</w:t>
            </w:r>
            <w:r>
              <w:rPr>
                <w:sz w:val="21"/>
              </w:rPr>
              <w:t>2015]22</w:t>
            </w:r>
            <w:r>
              <w:rPr>
                <w:spacing w:val="-24"/>
                <w:sz w:val="21"/>
              </w:rPr>
              <w:t xml:space="preserve"> 号</w:t>
            </w:r>
            <w:r>
              <w:rPr>
                <w:spacing w:val="-5"/>
                <w:sz w:val="21"/>
              </w:rPr>
              <w:t>）</w:t>
            </w:r>
            <w:r>
              <w:rPr>
                <w:spacing w:val="-3"/>
                <w:sz w:val="21"/>
              </w:rPr>
              <w:t>执行，投标保证</w:t>
            </w:r>
            <w:r>
              <w:rPr>
                <w:spacing w:val="-8"/>
                <w:sz w:val="21"/>
              </w:rPr>
              <w:t>金必须由投标人的基本账户转出</w:t>
            </w:r>
            <w:r>
              <w:rPr>
                <w:sz w:val="21"/>
              </w:rPr>
              <w:t>（</w:t>
            </w:r>
            <w:r>
              <w:rPr>
                <w:spacing w:val="-3"/>
                <w:sz w:val="21"/>
              </w:rPr>
              <w:t>以投标截止时江门市公共资源交易中</w:t>
            </w:r>
            <w:r>
              <w:rPr>
                <w:sz w:val="21"/>
              </w:rPr>
              <w:t>心出具的到账名单或投标截止前投标人提供的投标保证金银行成功缴</w:t>
            </w:r>
            <w:r>
              <w:rPr>
                <w:spacing w:val="-10"/>
                <w:sz w:val="21"/>
              </w:rPr>
              <w:t>纳的到账回执为准。投标人在投标截止时间前必须自行核实投标保证金</w:t>
            </w:r>
            <w:r>
              <w:rPr>
                <w:spacing w:val="-7"/>
                <w:sz w:val="21"/>
              </w:rPr>
              <w:t>到账情况</w:t>
            </w:r>
            <w:r>
              <w:rPr>
                <w:spacing w:val="-106"/>
                <w:sz w:val="21"/>
              </w:rPr>
              <w:t>）</w:t>
            </w:r>
            <w:r>
              <w:rPr>
                <w:sz w:val="21"/>
              </w:rPr>
              <w:t>（具体操作细则按江门市公共资源交易中心《江门公共资源</w:t>
            </w:r>
            <w:r>
              <w:rPr>
                <w:spacing w:val="-3"/>
                <w:sz w:val="21"/>
              </w:rPr>
              <w:t>交易平台投标企业操作手册》为准</w:t>
            </w:r>
            <w:r>
              <w:rPr>
                <w:spacing w:val="-109"/>
                <w:sz w:val="21"/>
              </w:rPr>
              <w:t>）</w:t>
            </w:r>
            <w:r>
              <w:rPr>
                <w:sz w:val="21"/>
              </w:rPr>
              <w:t>。</w:t>
            </w:r>
          </w:p>
          <w:p>
            <w:pPr>
              <w:pStyle w:val="36"/>
              <w:spacing w:before="3" w:line="374" w:lineRule="auto"/>
              <w:ind w:left="111" w:right="89"/>
              <w:rPr>
                <w:sz w:val="21"/>
              </w:rPr>
            </w:pPr>
            <w:r>
              <w:rPr>
                <w:b/>
                <w:sz w:val="21"/>
              </w:rPr>
              <w:t>采用银行保函的,</w:t>
            </w:r>
            <w:r>
              <w:rPr>
                <w:spacing w:val="-3"/>
                <w:sz w:val="21"/>
              </w:rPr>
              <w:t>在开标时须提供银行保函原件[银行保函应从其基本</w:t>
            </w:r>
            <w:r>
              <w:rPr>
                <w:spacing w:val="-8"/>
                <w:sz w:val="21"/>
              </w:rPr>
              <w:t>账户开户银行开具，如银行保函不是从其基本帐户开户银行开具的，则</w:t>
            </w:r>
            <w:r>
              <w:rPr>
                <w:spacing w:val="-5"/>
                <w:sz w:val="21"/>
              </w:rPr>
              <w:t>须由开具保函的银行提供从其基本帐户转帐划付资金的收款凭证或收</w:t>
            </w:r>
          </w:p>
          <w:p>
            <w:pPr>
              <w:pStyle w:val="36"/>
              <w:ind w:left="111"/>
              <w:rPr>
                <w:spacing w:val="-3"/>
                <w:sz w:val="21"/>
              </w:rPr>
            </w:pPr>
            <w:r>
              <w:rPr>
                <w:spacing w:val="-3"/>
                <w:sz w:val="21"/>
              </w:rPr>
              <w:t>费凭证（</w:t>
            </w:r>
            <w:r>
              <w:t>凭证须注明对应的保函编号，并在编号处加盖银行印章予以确认</w:t>
            </w:r>
            <w:r>
              <w:rPr>
                <w:spacing w:val="-3"/>
                <w:sz w:val="21"/>
              </w:rPr>
              <w:t>）]。</w:t>
            </w:r>
          </w:p>
          <w:p>
            <w:pPr>
              <w:pStyle w:val="36"/>
              <w:ind w:left="111"/>
              <w:rPr>
                <w:spacing w:val="-3"/>
                <w:sz w:val="21"/>
              </w:rPr>
            </w:pPr>
            <w:r>
              <w:rPr>
                <w:spacing w:val="-3"/>
                <w:sz w:val="21"/>
              </w:rPr>
              <w:t>注：（1）投标保证金采用银行转账或开具银行保函的，在投标文件中提供投标人基本账户的开户许可证扫描件;如采用银行保函的，且银行保函不是从其基本帐户开户银行开具的，则须提供从其基本帐户转帐划付资金的收款凭证或收费凭证扫描件。（2）经评标委员会核查，不符合招标文件要求的否决其投标。（3）投标有效期内招标人对投标人提供的银行保函进行核查，如发现有虚假须上报行政主管部门处理。（4）投标人递交投标保证金的有效性由评标委员会认定。</w:t>
            </w:r>
          </w:p>
          <w:p>
            <w:pPr>
              <w:pStyle w:val="36"/>
              <w:spacing w:before="2" w:line="374" w:lineRule="auto"/>
              <w:ind w:left="111" w:right="90"/>
              <w:rPr>
                <w:sz w:val="21"/>
              </w:rPr>
            </w:pPr>
            <w:r>
              <w:rPr>
                <w:b/>
                <w:sz w:val="21"/>
              </w:rPr>
              <w:t>采用保证保险的</w:t>
            </w:r>
            <w:r>
              <w:rPr>
                <w:spacing w:val="-11"/>
                <w:sz w:val="21"/>
              </w:rPr>
              <w:t>，开标时须提供投标保证保险原件。投标保证保险保单</w:t>
            </w:r>
            <w:r>
              <w:rPr>
                <w:spacing w:val="-3"/>
                <w:sz w:val="21"/>
              </w:rPr>
              <w:t>在投标文件中提供。</w:t>
            </w:r>
          </w:p>
          <w:p>
            <w:pPr>
              <w:pStyle w:val="36"/>
              <w:spacing w:line="374" w:lineRule="auto"/>
              <w:ind w:left="111" w:right="-15"/>
              <w:jc w:val="both"/>
              <w:rPr>
                <w:sz w:val="21"/>
              </w:rPr>
            </w:pPr>
            <w:r>
              <w:rPr>
                <w:spacing w:val="-64"/>
                <w:sz w:val="21"/>
              </w:rPr>
              <w:t>注：</w:t>
            </w:r>
            <w:r>
              <w:rPr>
                <w:spacing w:val="-1"/>
                <w:sz w:val="21"/>
              </w:rPr>
              <w:t>（</w:t>
            </w:r>
            <w:r>
              <w:rPr>
                <w:spacing w:val="-3"/>
                <w:sz w:val="21"/>
              </w:rPr>
              <w:t>1</w:t>
            </w:r>
            <w:r>
              <w:rPr>
                <w:spacing w:val="-22"/>
                <w:sz w:val="21"/>
              </w:rPr>
              <w:t>）</w:t>
            </w:r>
            <w:r>
              <w:rPr>
                <w:spacing w:val="-5"/>
                <w:sz w:val="21"/>
              </w:rPr>
              <w:t>经评标委员会核查保证保险，不符合招标文件要求的否决其投</w:t>
            </w:r>
            <w:r>
              <w:rPr>
                <w:spacing w:val="-73"/>
                <w:sz w:val="21"/>
              </w:rPr>
              <w:t>标。</w:t>
            </w:r>
            <w:r>
              <w:rPr>
                <w:spacing w:val="-12"/>
                <w:sz w:val="21"/>
              </w:rPr>
              <w:t>（2）</w:t>
            </w:r>
            <w:r>
              <w:rPr>
                <w:spacing w:val="-3"/>
                <w:sz w:val="21"/>
              </w:rPr>
              <w:t>投标有效期内招标人对投标人提供的投标保证保险保单进行核</w:t>
            </w:r>
            <w:r>
              <w:rPr>
                <w:spacing w:val="-6"/>
                <w:sz w:val="21"/>
              </w:rPr>
              <w:t>查，如发现有虚假须上报行政主管部门处理</w:t>
            </w:r>
            <w:r>
              <w:rPr>
                <w:spacing w:val="-130"/>
                <w:sz w:val="21"/>
              </w:rPr>
              <w:t>。</w:t>
            </w:r>
            <w:r>
              <w:rPr>
                <w:spacing w:val="-9"/>
                <w:sz w:val="21"/>
              </w:rPr>
              <w:t>（3）</w:t>
            </w:r>
            <w:r>
              <w:rPr>
                <w:spacing w:val="-3"/>
                <w:sz w:val="21"/>
              </w:rPr>
              <w:t>投标人递交投标保证金的有效性由评标委员会认定</w:t>
            </w:r>
            <w:r>
              <w:rPr>
                <w:spacing w:val="-130"/>
                <w:sz w:val="21"/>
              </w:rPr>
              <w:t>。</w:t>
            </w:r>
            <w:r>
              <w:rPr>
                <w:spacing w:val="-8"/>
                <w:sz w:val="21"/>
              </w:rPr>
              <w:t>（4）</w:t>
            </w:r>
            <w:r>
              <w:rPr>
                <w:spacing w:val="-6"/>
                <w:sz w:val="21"/>
              </w:rPr>
              <w:t>保证保险具体按照《关于在全市房</w:t>
            </w:r>
            <w:r>
              <w:rPr>
                <w:spacing w:val="5"/>
                <w:sz w:val="21"/>
              </w:rPr>
              <w:t>屋建筑和市政基础设施工程开展建设工程保证保险有关工作的通知》</w:t>
            </w:r>
          </w:p>
          <w:p>
            <w:pPr>
              <w:pStyle w:val="36"/>
              <w:ind w:left="111"/>
              <w:rPr>
                <w:sz w:val="21"/>
              </w:rPr>
            </w:pPr>
            <w:r>
              <w:rPr>
                <w:sz w:val="21"/>
              </w:rPr>
              <w:t>（江建函〔2018〕1343 号）的要求执行。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rPr>
                <w:rFonts w:ascii="黑体"/>
                <w:b/>
              </w:rPr>
            </w:pPr>
          </w:p>
          <w:p>
            <w:pPr>
              <w:pStyle w:val="36"/>
              <w:spacing w:before="2"/>
              <w:rPr>
                <w:rFonts w:ascii="黑体"/>
                <w:b/>
                <w:sz w:val="32"/>
              </w:rPr>
            </w:pPr>
          </w:p>
          <w:p>
            <w:pPr>
              <w:pStyle w:val="36"/>
              <w:ind w:left="244" w:right="232"/>
              <w:jc w:val="center"/>
              <w:rPr>
                <w:rFonts w:ascii="Times New Roman"/>
                <w:sz w:val="21"/>
              </w:rPr>
            </w:pPr>
            <w:r>
              <w:rPr>
                <w:rFonts w:ascii="Times New Roman"/>
                <w:sz w:val="21"/>
              </w:rPr>
              <w:t>3.4.3</w:t>
            </w:r>
          </w:p>
        </w:tc>
        <w:tc>
          <w:tcPr>
            <w:tcW w:w="1920" w:type="dxa"/>
          </w:tcPr>
          <w:p>
            <w:pPr>
              <w:pStyle w:val="36"/>
              <w:rPr>
                <w:rFonts w:ascii="黑体"/>
                <w:b/>
                <w:sz w:val="20"/>
              </w:rPr>
            </w:pPr>
          </w:p>
          <w:p>
            <w:pPr>
              <w:pStyle w:val="36"/>
              <w:rPr>
                <w:rFonts w:ascii="黑体"/>
                <w:b/>
                <w:sz w:val="20"/>
              </w:rPr>
            </w:pPr>
          </w:p>
          <w:p>
            <w:pPr>
              <w:pStyle w:val="36"/>
              <w:spacing w:before="167"/>
              <w:ind w:left="15"/>
              <w:jc w:val="center"/>
              <w:rPr>
                <w:sz w:val="21"/>
              </w:rPr>
            </w:pPr>
            <w:r>
              <w:rPr>
                <w:sz w:val="21"/>
              </w:rPr>
              <w:t>投标保证金退还</w:t>
            </w:r>
          </w:p>
        </w:tc>
        <w:tc>
          <w:tcPr>
            <w:tcW w:w="6663" w:type="dxa"/>
            <w:gridSpan w:val="2"/>
          </w:tcPr>
          <w:p>
            <w:pPr>
              <w:pStyle w:val="36"/>
              <w:spacing w:before="116" w:line="321" w:lineRule="auto"/>
              <w:ind w:left="144" w:right="29"/>
              <w:rPr>
                <w:sz w:val="21"/>
              </w:rPr>
            </w:pPr>
            <w:r>
              <w:rPr>
                <w:rFonts w:hint="eastAsia"/>
              </w:rPr>
              <w:t>①</w:t>
            </w:r>
            <w:r>
              <w:rPr>
                <w:spacing w:val="-3"/>
                <w:sz w:val="21"/>
              </w:rPr>
              <w:t xml:space="preserve">中标候选人情况公示完毕后 </w:t>
            </w:r>
            <w:r>
              <w:rPr>
                <w:sz w:val="21"/>
              </w:rPr>
              <w:t xml:space="preserve">10 </w:t>
            </w:r>
            <w:r>
              <w:rPr>
                <w:spacing w:val="-3"/>
                <w:sz w:val="21"/>
              </w:rPr>
              <w:t>个工作日内，向非中标候选人退还投标保证金。</w:t>
            </w:r>
          </w:p>
          <w:p>
            <w:pPr>
              <w:pStyle w:val="36"/>
              <w:spacing w:line="268" w:lineRule="exact"/>
              <w:ind w:left="144"/>
              <w:rPr>
                <w:sz w:val="21"/>
              </w:rPr>
            </w:pPr>
            <w:r>
              <w:rPr>
                <w:rFonts w:hint="eastAsia"/>
                <w:szCs w:val="21"/>
              </w:rPr>
              <w:t>②</w:t>
            </w:r>
            <w:r>
              <w:rPr>
                <w:spacing w:val="-3"/>
                <w:sz w:val="21"/>
              </w:rPr>
              <w:t>招标人与中标人签订合同后</w:t>
            </w:r>
            <w:r>
              <w:rPr>
                <w:spacing w:val="-53"/>
                <w:sz w:val="21"/>
              </w:rPr>
              <w:t xml:space="preserve"> </w:t>
            </w:r>
            <w:r>
              <w:rPr>
                <w:sz w:val="21"/>
              </w:rPr>
              <w:t>5</w:t>
            </w:r>
            <w:r>
              <w:rPr>
                <w:spacing w:val="-53"/>
                <w:sz w:val="21"/>
              </w:rPr>
              <w:t xml:space="preserve"> </w:t>
            </w:r>
            <w:r>
              <w:rPr>
                <w:spacing w:val="-11"/>
                <w:sz w:val="21"/>
              </w:rPr>
              <w:t>个工作日内，向中标人和未中标的中标</w:t>
            </w:r>
          </w:p>
          <w:p>
            <w:pPr>
              <w:pStyle w:val="36"/>
              <w:spacing w:before="91"/>
              <w:ind w:left="144"/>
              <w:rPr>
                <w:sz w:val="21"/>
              </w:rPr>
            </w:pPr>
            <w:r>
              <w:rPr>
                <w:sz w:val="21"/>
              </w:rPr>
              <w:t>候选人退还投标保证金。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spacing w:before="10"/>
              <w:rPr>
                <w:rFonts w:ascii="黑体"/>
                <w:b/>
                <w:sz w:val="27"/>
              </w:rPr>
            </w:pPr>
          </w:p>
          <w:p>
            <w:pPr>
              <w:pStyle w:val="36"/>
              <w:ind w:left="244" w:right="232"/>
              <w:jc w:val="center"/>
              <w:rPr>
                <w:rFonts w:ascii="Times New Roman"/>
                <w:sz w:val="21"/>
              </w:rPr>
            </w:pPr>
            <w:r>
              <w:rPr>
                <w:rFonts w:ascii="Times New Roman"/>
                <w:sz w:val="21"/>
              </w:rPr>
              <w:t>3.5.2</w:t>
            </w:r>
          </w:p>
        </w:tc>
        <w:tc>
          <w:tcPr>
            <w:tcW w:w="1920" w:type="dxa"/>
          </w:tcPr>
          <w:p>
            <w:pPr>
              <w:pStyle w:val="36"/>
              <w:spacing w:before="9"/>
              <w:rPr>
                <w:rFonts w:ascii="黑体"/>
                <w:b/>
                <w:sz w:val="26"/>
              </w:rPr>
            </w:pPr>
          </w:p>
          <w:p>
            <w:pPr>
              <w:pStyle w:val="36"/>
              <w:ind w:left="15"/>
              <w:jc w:val="center"/>
              <w:rPr>
                <w:sz w:val="21"/>
              </w:rPr>
            </w:pPr>
            <w:r>
              <w:rPr>
                <w:sz w:val="21"/>
              </w:rPr>
              <w:t>近年财务状况</w:t>
            </w:r>
          </w:p>
        </w:tc>
        <w:tc>
          <w:tcPr>
            <w:tcW w:w="6663" w:type="dxa"/>
            <w:gridSpan w:val="2"/>
          </w:tcPr>
          <w:p>
            <w:pPr>
              <w:pStyle w:val="36"/>
              <w:spacing w:before="9"/>
              <w:rPr>
                <w:rFonts w:ascii="黑体"/>
                <w:b/>
                <w:sz w:val="26"/>
              </w:rPr>
            </w:pPr>
          </w:p>
          <w:p>
            <w:pPr>
              <w:pStyle w:val="36"/>
              <w:ind w:left="111"/>
              <w:rPr>
                <w:sz w:val="21"/>
              </w:rPr>
            </w:pPr>
            <w:r>
              <w:rPr>
                <w:sz w:val="21"/>
                <w:u w:val="single"/>
              </w:rPr>
              <w:t xml:space="preserve">/ </w:t>
            </w:r>
            <w:r>
              <w:rPr>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spacing w:before="9"/>
              <w:rPr>
                <w:rFonts w:ascii="黑体"/>
                <w:b/>
                <w:sz w:val="27"/>
              </w:rPr>
            </w:pPr>
          </w:p>
          <w:p>
            <w:pPr>
              <w:pStyle w:val="36"/>
              <w:spacing w:before="1"/>
              <w:ind w:left="244" w:right="232"/>
              <w:jc w:val="center"/>
              <w:rPr>
                <w:rFonts w:ascii="Times New Roman"/>
                <w:sz w:val="21"/>
              </w:rPr>
            </w:pPr>
            <w:r>
              <w:rPr>
                <w:rFonts w:ascii="Times New Roman"/>
                <w:sz w:val="21"/>
              </w:rPr>
              <w:t>3.5.3</w:t>
            </w:r>
          </w:p>
        </w:tc>
        <w:tc>
          <w:tcPr>
            <w:tcW w:w="1920" w:type="dxa"/>
          </w:tcPr>
          <w:p>
            <w:pPr>
              <w:pStyle w:val="36"/>
              <w:spacing w:before="147" w:line="285" w:lineRule="auto"/>
              <w:ind w:left="857" w:right="102" w:hanging="735"/>
              <w:rPr>
                <w:sz w:val="21"/>
              </w:rPr>
            </w:pPr>
            <w:r>
              <w:rPr>
                <w:sz w:val="21"/>
              </w:rPr>
              <w:t>近年完成的类似项目</w:t>
            </w:r>
          </w:p>
        </w:tc>
        <w:tc>
          <w:tcPr>
            <w:tcW w:w="6663" w:type="dxa"/>
            <w:gridSpan w:val="2"/>
          </w:tcPr>
          <w:p>
            <w:pPr>
              <w:pStyle w:val="36"/>
              <w:spacing w:before="8"/>
              <w:rPr>
                <w:rFonts w:ascii="黑体"/>
                <w:b/>
                <w:sz w:val="26"/>
              </w:rPr>
            </w:pPr>
          </w:p>
          <w:p>
            <w:pPr>
              <w:pStyle w:val="36"/>
              <w:ind w:left="111"/>
              <w:rPr>
                <w:sz w:val="21"/>
              </w:rPr>
            </w:pPr>
            <w:r>
              <w:rPr>
                <w:sz w:val="21"/>
                <w:u w:val="single"/>
              </w:rPr>
              <w:t xml:space="preserve">/ </w:t>
            </w:r>
            <w:r>
              <w:rPr>
                <w:sz w:val="21"/>
              </w:rPr>
              <w:t>年</w:t>
            </w:r>
            <w:r>
              <w:rPr>
                <w:sz w:val="21"/>
                <w:u w:val="single"/>
              </w:rPr>
              <w:t xml:space="preserve"> /</w:t>
            </w:r>
            <w:r>
              <w:rPr>
                <w:sz w:val="21"/>
              </w:rPr>
              <w:t xml:space="preserve"> 月</w:t>
            </w:r>
            <w:r>
              <w:rPr>
                <w:sz w:val="21"/>
                <w:u w:val="single"/>
              </w:rPr>
              <w:t xml:space="preserve"> / </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spacing w:before="12"/>
              <w:rPr>
                <w:rFonts w:ascii="黑体"/>
                <w:b/>
                <w:sz w:val="27"/>
              </w:rPr>
            </w:pPr>
          </w:p>
          <w:p>
            <w:pPr>
              <w:pStyle w:val="36"/>
              <w:ind w:left="244" w:right="232"/>
              <w:jc w:val="center"/>
              <w:rPr>
                <w:rFonts w:ascii="Times New Roman"/>
                <w:sz w:val="21"/>
              </w:rPr>
            </w:pPr>
            <w:r>
              <w:rPr>
                <w:rFonts w:ascii="Times New Roman"/>
                <w:sz w:val="21"/>
              </w:rPr>
              <w:t>3.5.5</w:t>
            </w:r>
          </w:p>
        </w:tc>
        <w:tc>
          <w:tcPr>
            <w:tcW w:w="1920" w:type="dxa"/>
          </w:tcPr>
          <w:p>
            <w:pPr>
              <w:pStyle w:val="36"/>
              <w:spacing w:before="147" w:line="285" w:lineRule="auto"/>
              <w:ind w:left="542" w:right="102" w:hanging="420"/>
              <w:rPr>
                <w:sz w:val="21"/>
              </w:rPr>
            </w:pPr>
            <w:r>
              <w:rPr>
                <w:sz w:val="21"/>
              </w:rPr>
              <w:t>近年发生的诉讼及仲裁情况</w:t>
            </w:r>
          </w:p>
        </w:tc>
        <w:tc>
          <w:tcPr>
            <w:tcW w:w="6663" w:type="dxa"/>
            <w:gridSpan w:val="2"/>
          </w:tcPr>
          <w:p>
            <w:pPr>
              <w:pStyle w:val="36"/>
              <w:spacing w:before="11"/>
              <w:rPr>
                <w:rFonts w:ascii="黑体"/>
                <w:b/>
                <w:sz w:val="26"/>
              </w:rPr>
            </w:pPr>
          </w:p>
          <w:p>
            <w:pPr>
              <w:pStyle w:val="36"/>
              <w:ind w:left="216"/>
              <w:rPr>
                <w:sz w:val="21"/>
              </w:rPr>
            </w:pPr>
            <w:r>
              <w:rPr>
                <w:sz w:val="21"/>
                <w:u w:val="single"/>
              </w:rPr>
              <w:t xml:space="preserve">/ </w:t>
            </w:r>
            <w:r>
              <w:rPr>
                <w:sz w:val="21"/>
              </w:rPr>
              <w:t>年</w:t>
            </w:r>
            <w:r>
              <w:rPr>
                <w:sz w:val="21"/>
                <w:u w:val="single"/>
              </w:rPr>
              <w:t xml:space="preserve"> /</w:t>
            </w:r>
            <w:r>
              <w:rPr>
                <w:sz w:val="21"/>
              </w:rPr>
              <w:t xml:space="preserve"> 月</w:t>
            </w:r>
            <w:r>
              <w:rPr>
                <w:sz w:val="21"/>
                <w:u w:val="single"/>
              </w:rPr>
              <w:t xml:space="preserve"> / </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spacing w:before="12"/>
              <w:rPr>
                <w:rFonts w:ascii="黑体"/>
                <w:b/>
                <w:sz w:val="27"/>
              </w:rPr>
            </w:pPr>
          </w:p>
          <w:p>
            <w:pPr>
              <w:pStyle w:val="36"/>
              <w:ind w:left="244" w:right="232"/>
              <w:jc w:val="center"/>
              <w:rPr>
                <w:rFonts w:ascii="Times New Roman"/>
                <w:sz w:val="21"/>
              </w:rPr>
            </w:pPr>
            <w:r>
              <w:rPr>
                <w:rFonts w:ascii="Times New Roman"/>
                <w:sz w:val="21"/>
              </w:rPr>
              <w:t>3.6</w:t>
            </w:r>
          </w:p>
        </w:tc>
        <w:tc>
          <w:tcPr>
            <w:tcW w:w="1920" w:type="dxa"/>
          </w:tcPr>
          <w:p>
            <w:pPr>
              <w:pStyle w:val="36"/>
              <w:spacing w:before="147" w:line="285" w:lineRule="auto"/>
              <w:ind w:left="542" w:right="104" w:hanging="420"/>
              <w:rPr>
                <w:sz w:val="21"/>
              </w:rPr>
            </w:pPr>
            <w:r>
              <w:rPr>
                <w:sz w:val="21"/>
              </w:rPr>
              <w:t>是否允许递交备选投标方案</w:t>
            </w:r>
          </w:p>
        </w:tc>
        <w:tc>
          <w:tcPr>
            <w:tcW w:w="6663" w:type="dxa"/>
            <w:gridSpan w:val="2"/>
          </w:tcPr>
          <w:p>
            <w:pPr>
              <w:pStyle w:val="36"/>
              <w:spacing w:before="103"/>
              <w:ind w:left="111"/>
              <w:rPr>
                <w:sz w:val="21"/>
              </w:rPr>
            </w:pPr>
            <w:r>
              <w:rPr>
                <w:rFonts w:hint="eastAsia"/>
                <w:sz w:val="24"/>
              </w:rPr>
              <w:t>■</w:t>
            </w:r>
            <w:r>
              <w:rPr>
                <w:sz w:val="21"/>
              </w:rPr>
              <w:t>不允许</w:t>
            </w:r>
          </w:p>
          <w:p>
            <w:pPr>
              <w:pStyle w:val="36"/>
              <w:spacing w:before="77" w:line="365" w:lineRule="exact"/>
              <w:ind w:left="111"/>
              <w:rPr>
                <w:sz w:val="21"/>
              </w:rPr>
            </w:pPr>
            <w:r>
              <w:rPr>
                <w:rFonts w:ascii="Times New Roman" w:hAnsi="Times New Roman" w:eastAsia="Times New Roman"/>
                <w:sz w:val="32"/>
              </w:rPr>
              <w:t>□</w:t>
            </w:r>
            <w:r>
              <w:rPr>
                <w:sz w:val="21"/>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172"/>
              <w:ind w:left="244" w:right="232"/>
              <w:jc w:val="center"/>
              <w:rPr>
                <w:rFonts w:ascii="Times New Roman"/>
                <w:sz w:val="21"/>
              </w:rPr>
            </w:pPr>
            <w:r>
              <w:rPr>
                <w:rFonts w:ascii="Times New Roman"/>
                <w:sz w:val="21"/>
              </w:rPr>
              <w:t>3.7.3</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4"/>
              <w:rPr>
                <w:rFonts w:ascii="黑体"/>
                <w:b/>
                <w:sz w:val="20"/>
              </w:rPr>
            </w:pPr>
          </w:p>
          <w:p>
            <w:pPr>
              <w:pStyle w:val="36"/>
              <w:ind w:left="15"/>
              <w:jc w:val="center"/>
              <w:rPr>
                <w:sz w:val="21"/>
              </w:rPr>
            </w:pPr>
            <w:r>
              <w:rPr>
                <w:sz w:val="21"/>
              </w:rPr>
              <w:t>签字或盖章要求</w:t>
            </w:r>
          </w:p>
        </w:tc>
        <w:tc>
          <w:tcPr>
            <w:tcW w:w="6663" w:type="dxa"/>
            <w:gridSpan w:val="2"/>
          </w:tcPr>
          <w:p>
            <w:pPr>
              <w:pStyle w:val="36"/>
              <w:spacing w:before="141" w:line="393" w:lineRule="auto"/>
              <w:ind w:left="107" w:right="97"/>
              <w:jc w:val="both"/>
              <w:rPr>
                <w:b/>
                <w:sz w:val="21"/>
              </w:rPr>
            </w:pPr>
            <w:r>
              <w:rPr>
                <w:sz w:val="21"/>
              </w:rPr>
              <w:t>招标文件（投标文件格式）中规定的需要加盖投标人公章和经法定代表人或其授权委托代理人签字或盖章的，必须按投标文件格式要求进行签字和盖章。若授权委托代理人签字的，应在投标文件中提交投标文件签署授权委托书。联合体投标的，除联合体协议书需要联合体各成员单位分别盖章、签字外，其他提交的资料均由联合体牵头人盖章、签字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vAlign w:val="center"/>
          </w:tcPr>
          <w:p>
            <w:pPr>
              <w:pStyle w:val="36"/>
              <w:jc w:val="both"/>
              <w:rPr>
                <w:rFonts w:ascii="黑体"/>
                <w:b/>
              </w:rPr>
            </w:pPr>
          </w:p>
          <w:p>
            <w:pPr>
              <w:pStyle w:val="36"/>
              <w:ind w:left="244" w:right="232"/>
              <w:jc w:val="both"/>
              <w:rPr>
                <w:rFonts w:ascii="Times New Roman"/>
                <w:sz w:val="21"/>
              </w:rPr>
            </w:pPr>
            <w:r>
              <w:rPr>
                <w:rFonts w:ascii="Times New Roman"/>
                <w:sz w:val="21"/>
              </w:rPr>
              <w:t>3.7.4</w:t>
            </w:r>
          </w:p>
        </w:tc>
        <w:tc>
          <w:tcPr>
            <w:tcW w:w="1920" w:type="dxa"/>
            <w:vAlign w:val="center"/>
          </w:tcPr>
          <w:p>
            <w:pPr>
              <w:pStyle w:val="36"/>
              <w:jc w:val="both"/>
              <w:rPr>
                <w:rFonts w:ascii="黑体"/>
                <w:b/>
                <w:sz w:val="20"/>
              </w:rPr>
            </w:pPr>
          </w:p>
          <w:p>
            <w:pPr>
              <w:pStyle w:val="36"/>
              <w:ind w:left="17"/>
              <w:jc w:val="both"/>
              <w:rPr>
                <w:sz w:val="21"/>
              </w:rPr>
            </w:pPr>
            <w:r>
              <w:rPr>
                <w:sz w:val="21"/>
              </w:rPr>
              <w:t>投标文件份数</w:t>
            </w:r>
          </w:p>
        </w:tc>
        <w:tc>
          <w:tcPr>
            <w:tcW w:w="6663" w:type="dxa"/>
            <w:gridSpan w:val="2"/>
            <w:vAlign w:val="center"/>
          </w:tcPr>
          <w:p>
            <w:pPr>
              <w:pStyle w:val="36"/>
              <w:spacing w:before="147"/>
              <w:ind w:left="111"/>
              <w:jc w:val="both"/>
            </w:pPr>
            <w:r>
              <w:t>投标文件份数总数共</w:t>
            </w:r>
            <w:r>
              <w:rPr>
                <w:rFonts w:hint="eastAsia"/>
              </w:rPr>
              <w:t>七</w:t>
            </w:r>
            <w:r>
              <w:t>份</w:t>
            </w:r>
            <w:r>
              <w:rPr>
                <w:rFonts w:hint="eastAsia"/>
              </w:rPr>
              <w:t>；</w:t>
            </w:r>
          </w:p>
          <w:p>
            <w:pPr>
              <w:pStyle w:val="36"/>
              <w:spacing w:before="147"/>
              <w:ind w:left="111"/>
              <w:jc w:val="both"/>
            </w:pPr>
            <w:r>
              <w:t xml:space="preserve">商务文件共三份：正本一份，副本两份； </w:t>
            </w:r>
          </w:p>
          <w:p>
            <w:pPr>
              <w:pStyle w:val="36"/>
              <w:spacing w:before="147"/>
              <w:ind w:left="111"/>
              <w:jc w:val="both"/>
            </w:pPr>
            <w:r>
              <w:t>技术 文件共三份：正本一份，副本两份；</w:t>
            </w:r>
          </w:p>
          <w:p>
            <w:pPr>
              <w:pStyle w:val="36"/>
              <w:spacing w:before="147"/>
              <w:ind w:left="111"/>
              <w:jc w:val="both"/>
            </w:pPr>
            <w:r>
              <w:t>投标文件网上公示内容电子版（U盘）一份。</w:t>
            </w:r>
          </w:p>
          <w:p>
            <w:pPr>
              <w:pStyle w:val="36"/>
              <w:spacing w:before="147"/>
              <w:ind w:left="111"/>
              <w:jc w:val="both"/>
              <w:rPr>
                <w:sz w:val="21"/>
              </w:rPr>
            </w:pPr>
            <w:r>
              <w:t>注：中标人在收到中标通知书后5天内，须向招标人提供投标文件（副本）叁份，内容与投标时必须一 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12"/>
              <w:rPr>
                <w:rFonts w:ascii="黑体"/>
                <w:b/>
                <w:sz w:val="16"/>
              </w:rPr>
            </w:pPr>
          </w:p>
          <w:p>
            <w:pPr>
              <w:pStyle w:val="36"/>
              <w:ind w:left="244" w:right="232"/>
              <w:jc w:val="center"/>
              <w:rPr>
                <w:rFonts w:ascii="Times New Roman"/>
                <w:sz w:val="21"/>
              </w:rPr>
            </w:pPr>
            <w:r>
              <w:rPr>
                <w:rFonts w:hint="eastAsia" w:ascii="Times New Roman"/>
                <w:sz w:val="21"/>
              </w:rPr>
              <w:t>3.7.5</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10"/>
              <w:rPr>
                <w:rFonts w:ascii="黑体"/>
                <w:b/>
                <w:sz w:val="23"/>
              </w:rPr>
            </w:pPr>
          </w:p>
          <w:p>
            <w:pPr>
              <w:pStyle w:val="36"/>
              <w:spacing w:before="1"/>
              <w:ind w:left="17"/>
              <w:rPr>
                <w:sz w:val="21"/>
              </w:rPr>
            </w:pPr>
            <w:r>
              <w:rPr>
                <w:sz w:val="21"/>
              </w:rPr>
              <w:t>投标文件的</w:t>
            </w:r>
            <w:r>
              <w:rPr>
                <w:rFonts w:hint="eastAsia"/>
                <w:sz w:val="21"/>
              </w:rPr>
              <w:t>装订及</w:t>
            </w:r>
            <w:r>
              <w:rPr>
                <w:sz w:val="21"/>
              </w:rPr>
              <w:t>密封要求</w:t>
            </w:r>
          </w:p>
        </w:tc>
        <w:tc>
          <w:tcPr>
            <w:tcW w:w="6663" w:type="dxa"/>
            <w:gridSpan w:val="2"/>
          </w:tcPr>
          <w:p>
            <w:pPr>
              <w:pStyle w:val="36"/>
              <w:spacing w:before="142" w:line="393" w:lineRule="auto"/>
              <w:ind w:left="107" w:right="23"/>
            </w:pPr>
            <w:r>
              <w:t>1、正本与副本应分别装订成册，不得使用活页套。</w:t>
            </w:r>
          </w:p>
          <w:p>
            <w:pPr>
              <w:pStyle w:val="36"/>
              <w:spacing w:before="142" w:line="393" w:lineRule="auto"/>
              <w:ind w:left="107" w:right="23"/>
            </w:pPr>
            <w:r>
              <w:t>2、投标文件须采用坚固材料进行密封包装， 确保包装袋不会开裂以致投标文件外露，</w:t>
            </w:r>
            <w:r>
              <w:rPr>
                <w:spacing w:val="-7"/>
                <w:sz w:val="21"/>
              </w:rPr>
              <w:t xml:space="preserve">加贴封条，并在外封套上按本须知前附表 </w:t>
            </w:r>
            <w:r>
              <w:rPr>
                <w:rFonts w:ascii="Times New Roman" w:eastAsia="Times New Roman"/>
                <w:sz w:val="21"/>
              </w:rPr>
              <w:t>4.1.2</w:t>
            </w:r>
            <w:r>
              <w:rPr>
                <w:rFonts w:ascii="Times New Roman" w:eastAsia="Times New Roman"/>
                <w:spacing w:val="28"/>
                <w:sz w:val="21"/>
              </w:rPr>
              <w:t xml:space="preserve"> </w:t>
            </w:r>
            <w:r>
              <w:rPr>
                <w:spacing w:val="-3"/>
                <w:sz w:val="21"/>
              </w:rPr>
              <w:t>的要求标识</w:t>
            </w:r>
            <w:r>
              <w:rPr>
                <w:rFonts w:hint="eastAsia"/>
                <w:spacing w:val="-3"/>
                <w:sz w:val="21"/>
              </w:rPr>
              <w:t>，</w:t>
            </w:r>
            <w:r>
              <w:t xml:space="preserve">并在骑缝处加盖投标人公章（联合体投标的盖牵头单位公章即可）。 </w:t>
            </w:r>
          </w:p>
          <w:p>
            <w:pPr>
              <w:pStyle w:val="36"/>
              <w:spacing w:before="142" w:line="393" w:lineRule="auto"/>
              <w:ind w:left="107" w:right="23"/>
            </w:pPr>
            <w:r>
              <w:t xml:space="preserve">3、技术方案文件采用 A3 页面，其他投标文件除图表可采用A3 页面外，均采用 A4 页面。 </w:t>
            </w:r>
          </w:p>
          <w:p>
            <w:pPr>
              <w:pStyle w:val="36"/>
              <w:spacing w:before="142" w:line="393" w:lineRule="auto"/>
              <w:ind w:left="107" w:right="23"/>
            </w:pPr>
            <w:r>
              <w:t xml:space="preserve">4、所有文件均需采用不透明包装物包装。 </w:t>
            </w:r>
          </w:p>
          <w:p>
            <w:pPr>
              <w:pStyle w:val="36"/>
              <w:spacing w:before="142" w:line="393" w:lineRule="auto"/>
              <w:ind w:left="107" w:right="23"/>
              <w:rPr>
                <w:b/>
                <w:sz w:val="21"/>
              </w:rPr>
            </w:pPr>
            <w:r>
              <w:t>5、投标单位编制的投标文件除封面和封底外其 他页面必须有连续的页码。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2052" w:hRule="atLeast"/>
        </w:trPr>
        <w:tc>
          <w:tcPr>
            <w:tcW w:w="1164" w:type="dxa"/>
          </w:tcPr>
          <w:p>
            <w:pPr>
              <w:pStyle w:val="36"/>
              <w:rPr>
                <w:rFonts w:ascii="黑体"/>
                <w:b/>
              </w:rPr>
            </w:pPr>
          </w:p>
          <w:p>
            <w:pPr>
              <w:pStyle w:val="36"/>
              <w:rPr>
                <w:rFonts w:ascii="黑体"/>
                <w:b/>
              </w:rPr>
            </w:pPr>
          </w:p>
          <w:p>
            <w:pPr>
              <w:pStyle w:val="36"/>
              <w:rPr>
                <w:rFonts w:ascii="黑体"/>
                <w:b/>
              </w:rPr>
            </w:pPr>
          </w:p>
          <w:p>
            <w:pPr>
              <w:pStyle w:val="36"/>
              <w:spacing w:before="153"/>
              <w:ind w:left="244" w:right="232"/>
              <w:jc w:val="center"/>
              <w:rPr>
                <w:rFonts w:ascii="Times New Roman"/>
                <w:sz w:val="21"/>
              </w:rPr>
            </w:pPr>
            <w:r>
              <w:rPr>
                <w:rFonts w:ascii="Times New Roman"/>
                <w:sz w:val="21"/>
              </w:rPr>
              <w:t>4.1.2</w:t>
            </w:r>
          </w:p>
        </w:tc>
        <w:tc>
          <w:tcPr>
            <w:tcW w:w="1920" w:type="dxa"/>
          </w:tcPr>
          <w:p>
            <w:pPr>
              <w:pStyle w:val="36"/>
              <w:rPr>
                <w:rFonts w:ascii="黑体"/>
                <w:b/>
                <w:sz w:val="20"/>
              </w:rPr>
            </w:pPr>
          </w:p>
          <w:p>
            <w:pPr>
              <w:pStyle w:val="36"/>
              <w:rPr>
                <w:rFonts w:ascii="黑体"/>
                <w:b/>
                <w:sz w:val="20"/>
              </w:rPr>
            </w:pPr>
          </w:p>
          <w:p>
            <w:pPr>
              <w:pStyle w:val="36"/>
              <w:spacing w:before="8"/>
              <w:rPr>
                <w:rFonts w:ascii="黑体"/>
                <w:b/>
                <w:sz w:val="19"/>
              </w:rPr>
            </w:pPr>
          </w:p>
          <w:p>
            <w:pPr>
              <w:pStyle w:val="36"/>
              <w:spacing w:line="393" w:lineRule="auto"/>
              <w:ind w:left="751" w:right="208" w:hanging="526"/>
              <w:rPr>
                <w:sz w:val="21"/>
              </w:rPr>
            </w:pPr>
            <w:r>
              <w:rPr>
                <w:sz w:val="21"/>
              </w:rPr>
              <w:t>封套上应载明的信息</w:t>
            </w:r>
          </w:p>
        </w:tc>
        <w:tc>
          <w:tcPr>
            <w:tcW w:w="6663" w:type="dxa"/>
            <w:gridSpan w:val="2"/>
          </w:tcPr>
          <w:p>
            <w:pPr>
              <w:pStyle w:val="36"/>
              <w:spacing w:before="171" w:line="357" w:lineRule="auto"/>
              <w:ind w:left="111" w:right="1957"/>
              <w:rPr>
                <w:sz w:val="21"/>
              </w:rPr>
            </w:pPr>
            <w:r>
              <w:rPr>
                <w:sz w:val="21"/>
              </w:rPr>
              <w:t>招标人的地址：</w:t>
            </w:r>
            <w:r>
              <w:rPr>
                <w:rFonts w:hint="eastAsia"/>
                <w:sz w:val="21"/>
              </w:rPr>
              <w:t>江门市蓬江区星云路8号</w:t>
            </w:r>
          </w:p>
          <w:p>
            <w:pPr>
              <w:pStyle w:val="36"/>
              <w:spacing w:before="171" w:line="357" w:lineRule="auto"/>
              <w:ind w:left="111" w:right="1957"/>
              <w:rPr>
                <w:sz w:val="21"/>
              </w:rPr>
            </w:pPr>
            <w:r>
              <w:rPr>
                <w:sz w:val="21"/>
              </w:rPr>
              <w:t>招标人名称：</w:t>
            </w:r>
            <w:r>
              <w:rPr>
                <w:rFonts w:hint="eastAsia"/>
                <w:sz w:val="21"/>
              </w:rPr>
              <w:t>广东省江门市气象局</w:t>
            </w:r>
          </w:p>
          <w:p>
            <w:pPr>
              <w:adjustRightInd w:val="0"/>
              <w:rPr>
                <w:sz w:val="21"/>
              </w:rPr>
            </w:pPr>
            <w:r>
              <w:rPr>
                <w:spacing w:val="-3"/>
                <w:sz w:val="21"/>
                <w:u w:val="single"/>
              </w:rPr>
              <w:t>广东省江门市气象局上川岛国家天气雷达项目设计施工总承包</w:t>
            </w:r>
            <w:r>
              <w:rPr>
                <w:rFonts w:hint="eastAsia"/>
                <w:spacing w:val="-3"/>
                <w:sz w:val="21"/>
                <w:u w:val="single"/>
              </w:rPr>
              <w:t xml:space="preserve"> </w:t>
            </w:r>
            <w:r>
              <w:rPr>
                <w:spacing w:val="-3"/>
                <w:sz w:val="21"/>
              </w:rPr>
              <w:t>投标文件</w:t>
            </w:r>
            <w:r>
              <w:rPr>
                <w:spacing w:val="-28"/>
                <w:sz w:val="21"/>
              </w:rPr>
              <w:t xml:space="preserve">在 </w:t>
            </w:r>
            <w:r>
              <w:rPr>
                <w:rFonts w:ascii="Times New Roman" w:eastAsia="Times New Roman"/>
                <w:sz w:val="21"/>
                <w:u w:val="single"/>
              </w:rPr>
              <w:t xml:space="preserve">2020 </w:t>
            </w:r>
            <w:r>
              <w:rPr>
                <w:spacing w:val="-28"/>
                <w:sz w:val="21"/>
              </w:rPr>
              <w:t xml:space="preserve">年 </w:t>
            </w:r>
            <w:r>
              <w:rPr>
                <w:rFonts w:hint="eastAsia" w:ascii="Times New Roman" w:eastAsiaTheme="minorEastAsia"/>
                <w:sz w:val="21"/>
                <w:u w:val="single"/>
              </w:rPr>
              <w:t xml:space="preserve">      </w:t>
            </w:r>
            <w:r>
              <w:rPr>
                <w:rFonts w:ascii="Times New Roman" w:eastAsia="Times New Roman"/>
                <w:sz w:val="21"/>
                <w:u w:val="single"/>
              </w:rPr>
              <w:t xml:space="preserve"> </w:t>
            </w:r>
            <w:r>
              <w:rPr>
                <w:spacing w:val="-28"/>
                <w:sz w:val="21"/>
              </w:rPr>
              <w:t xml:space="preserve">月 </w:t>
            </w:r>
            <w:r>
              <w:rPr>
                <w:rFonts w:hint="eastAsia" w:ascii="Times New Roman" w:eastAsiaTheme="minorEastAsia"/>
                <w:sz w:val="21"/>
                <w:u w:val="single"/>
              </w:rPr>
              <w:t xml:space="preserve">    </w:t>
            </w:r>
            <w:r>
              <w:rPr>
                <w:rFonts w:ascii="Times New Roman" w:eastAsia="Times New Roman"/>
                <w:spacing w:val="51"/>
                <w:sz w:val="21"/>
                <w:u w:val="single"/>
              </w:rPr>
              <w:t xml:space="preserve"> </w:t>
            </w:r>
            <w:r>
              <w:rPr>
                <w:spacing w:val="-26"/>
                <w:sz w:val="21"/>
              </w:rPr>
              <w:t xml:space="preserve">日 </w:t>
            </w:r>
            <w:r>
              <w:rPr>
                <w:rFonts w:hint="eastAsia" w:ascii="Times New Roman" w:eastAsiaTheme="minorEastAsia"/>
                <w:sz w:val="21"/>
                <w:u w:val="single"/>
              </w:rPr>
              <w:t xml:space="preserve">     </w:t>
            </w:r>
            <w:r>
              <w:rPr>
                <w:rFonts w:ascii="Times New Roman" w:eastAsia="Times New Roman"/>
                <w:spacing w:val="51"/>
                <w:sz w:val="21"/>
                <w:u w:val="single"/>
              </w:rPr>
              <w:t xml:space="preserve"> </w:t>
            </w:r>
            <w:r>
              <w:rPr>
                <w:spacing w:val="-26"/>
                <w:sz w:val="21"/>
              </w:rPr>
              <w:t xml:space="preserve">时 </w:t>
            </w:r>
            <w:r>
              <w:rPr>
                <w:rFonts w:hint="eastAsia" w:ascii="Times New Roman" w:eastAsiaTheme="minorEastAsia"/>
                <w:sz w:val="21"/>
                <w:u w:val="single"/>
              </w:rPr>
              <w:t xml:space="preserve">     </w:t>
            </w:r>
            <w:r>
              <w:rPr>
                <w:rFonts w:ascii="Times New Roman" w:eastAsia="Times New Roman"/>
                <w:sz w:val="21"/>
              </w:rPr>
              <w:t xml:space="preserve"> </w:t>
            </w:r>
            <w:r>
              <w:rPr>
                <w:spacing w:val="-3"/>
                <w:sz w:val="21"/>
              </w:rPr>
              <w:t>分前不得开启</w:t>
            </w:r>
            <w:r>
              <w:rPr>
                <w:rFonts w:hint="eastAsia" w:hAnsiTheme="minorHAnsi"/>
                <w:sz w:val="21"/>
                <w:szCs w:val="21"/>
                <w:lang w:val="en-US" w:bidi="ar-SA"/>
              </w:rPr>
              <w:t>（北京时间）（时间以发布的招标公告为准）。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692" w:hRule="atLeast"/>
        </w:trPr>
        <w:tc>
          <w:tcPr>
            <w:tcW w:w="1164" w:type="dxa"/>
          </w:tcPr>
          <w:p>
            <w:pPr>
              <w:pStyle w:val="36"/>
              <w:ind w:left="244" w:right="232"/>
              <w:jc w:val="center"/>
              <w:rPr>
                <w:rFonts w:ascii="Times New Roman"/>
                <w:sz w:val="21"/>
              </w:rPr>
            </w:pPr>
          </w:p>
          <w:p>
            <w:pPr>
              <w:pStyle w:val="36"/>
              <w:ind w:left="244" w:right="232"/>
              <w:jc w:val="center"/>
              <w:rPr>
                <w:rFonts w:ascii="Times New Roman"/>
                <w:sz w:val="21"/>
              </w:rPr>
            </w:pPr>
            <w:r>
              <w:rPr>
                <w:rFonts w:ascii="Times New Roman"/>
                <w:sz w:val="21"/>
              </w:rPr>
              <w:t>4.2.1</w:t>
            </w:r>
          </w:p>
        </w:tc>
        <w:tc>
          <w:tcPr>
            <w:tcW w:w="1920" w:type="dxa"/>
            <w:vAlign w:val="center"/>
          </w:tcPr>
          <w:p>
            <w:pPr>
              <w:pStyle w:val="36"/>
              <w:ind w:left="12" w:right="16"/>
              <w:jc w:val="both"/>
              <w:rPr>
                <w:sz w:val="21"/>
              </w:rPr>
            </w:pPr>
            <w:r>
              <w:rPr>
                <w:sz w:val="21"/>
              </w:rPr>
              <w:t>递交投标文件时间</w:t>
            </w:r>
          </w:p>
        </w:tc>
        <w:tc>
          <w:tcPr>
            <w:tcW w:w="6663" w:type="dxa"/>
            <w:gridSpan w:val="2"/>
            <w:vAlign w:val="center"/>
          </w:tcPr>
          <w:p>
            <w:pPr>
              <w:pStyle w:val="36"/>
              <w:spacing w:before="1"/>
              <w:ind w:left="111"/>
              <w:jc w:val="both"/>
              <w:rPr>
                <w:sz w:val="21"/>
              </w:rPr>
            </w:pPr>
            <w:r>
              <w:rPr>
                <w:rFonts w:ascii="Times New Roman" w:eastAsia="Times New Roman"/>
                <w:sz w:val="21"/>
              </w:rPr>
              <w:t xml:space="preserve">2020 </w:t>
            </w:r>
            <w:r>
              <w:rPr>
                <w:spacing w:val="-27"/>
                <w:sz w:val="21"/>
              </w:rPr>
              <w:t xml:space="preserve">年 </w:t>
            </w:r>
            <w:r>
              <w:rPr>
                <w:rFonts w:hint="eastAsia" w:ascii="Times New Roman" w:eastAsiaTheme="minorEastAsia"/>
                <w:sz w:val="21"/>
              </w:rPr>
              <w:t xml:space="preserve">   </w:t>
            </w:r>
            <w:r>
              <w:rPr>
                <w:rFonts w:ascii="Times New Roman" w:eastAsia="Times New Roman"/>
                <w:sz w:val="21"/>
              </w:rPr>
              <w:t xml:space="preserve"> </w:t>
            </w:r>
            <w:r>
              <w:rPr>
                <w:spacing w:val="-26"/>
                <w:sz w:val="21"/>
              </w:rPr>
              <w:t xml:space="preserve">月 </w:t>
            </w:r>
            <w:r>
              <w:rPr>
                <w:rFonts w:hint="eastAsia" w:ascii="Times New Roman" w:eastAsiaTheme="minorEastAsia"/>
                <w:sz w:val="21"/>
              </w:rPr>
              <w:t xml:space="preserve">   </w:t>
            </w:r>
            <w:r>
              <w:rPr>
                <w:rFonts w:ascii="Times New Roman" w:eastAsia="Times New Roman"/>
                <w:spacing w:val="51"/>
                <w:sz w:val="21"/>
              </w:rPr>
              <w:t xml:space="preserve"> </w:t>
            </w:r>
            <w:r>
              <w:rPr>
                <w:spacing w:val="-15"/>
                <w:sz w:val="21"/>
              </w:rPr>
              <w:t xml:space="preserve">日上午 </w:t>
            </w:r>
            <w:r>
              <w:rPr>
                <w:rFonts w:hint="eastAsia" w:ascii="Times New Roman" w:eastAsiaTheme="minorEastAsia"/>
                <w:sz w:val="21"/>
              </w:rPr>
              <w:t xml:space="preserve">     </w:t>
            </w:r>
            <w:r>
              <w:rPr>
                <w:rFonts w:ascii="Times New Roman" w:eastAsia="Times New Roman"/>
                <w:sz w:val="21"/>
              </w:rPr>
              <w:t xml:space="preserve"> </w:t>
            </w:r>
            <w:r>
              <w:rPr>
                <w:spacing w:val="-26"/>
                <w:sz w:val="21"/>
              </w:rPr>
              <w:t xml:space="preserve">时 </w:t>
            </w:r>
            <w:r>
              <w:rPr>
                <w:rFonts w:hint="eastAsia" w:ascii="Times New Roman" w:eastAsiaTheme="minorEastAsia"/>
                <w:sz w:val="21"/>
              </w:rPr>
              <w:t xml:space="preserve">   </w:t>
            </w:r>
            <w:r>
              <w:rPr>
                <w:rFonts w:ascii="Times New Roman" w:eastAsia="Times New Roman"/>
                <w:sz w:val="21"/>
              </w:rPr>
              <w:t xml:space="preserve"> </w:t>
            </w:r>
            <w:r>
              <w:rPr>
                <w:spacing w:val="-18"/>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6" w:hRule="atLeast"/>
        </w:trPr>
        <w:tc>
          <w:tcPr>
            <w:tcW w:w="1164" w:type="dxa"/>
          </w:tcPr>
          <w:p>
            <w:pPr>
              <w:pStyle w:val="36"/>
              <w:spacing w:before="4"/>
              <w:rPr>
                <w:rFonts w:ascii="黑体"/>
                <w:b/>
                <w:sz w:val="31"/>
              </w:rPr>
            </w:pPr>
          </w:p>
          <w:p>
            <w:pPr>
              <w:pStyle w:val="36"/>
              <w:ind w:left="244" w:right="232"/>
              <w:jc w:val="center"/>
              <w:rPr>
                <w:rFonts w:ascii="Times New Roman"/>
                <w:sz w:val="21"/>
              </w:rPr>
            </w:pPr>
            <w:r>
              <w:rPr>
                <w:rFonts w:ascii="Times New Roman"/>
                <w:sz w:val="21"/>
              </w:rPr>
              <w:t>4.2.2</w:t>
            </w:r>
          </w:p>
        </w:tc>
        <w:tc>
          <w:tcPr>
            <w:tcW w:w="1920" w:type="dxa"/>
          </w:tcPr>
          <w:p>
            <w:pPr>
              <w:pStyle w:val="36"/>
              <w:rPr>
                <w:rFonts w:ascii="黑体"/>
                <w:b/>
                <w:sz w:val="20"/>
              </w:rPr>
            </w:pPr>
          </w:p>
          <w:p>
            <w:pPr>
              <w:pStyle w:val="36"/>
              <w:spacing w:before="131"/>
              <w:ind w:left="17"/>
              <w:jc w:val="center"/>
              <w:rPr>
                <w:sz w:val="21"/>
              </w:rPr>
            </w:pPr>
            <w:r>
              <w:rPr>
                <w:sz w:val="21"/>
              </w:rPr>
              <w:t>递交投标文件地点</w:t>
            </w:r>
          </w:p>
        </w:tc>
        <w:tc>
          <w:tcPr>
            <w:tcW w:w="6663" w:type="dxa"/>
            <w:gridSpan w:val="2"/>
          </w:tcPr>
          <w:p>
            <w:pPr>
              <w:pStyle w:val="36"/>
              <w:spacing w:before="43" w:line="400" w:lineRule="atLeast"/>
              <w:ind w:left="111" w:right="90"/>
              <w:rPr>
                <w:sz w:val="21"/>
              </w:rPr>
            </w:pPr>
            <w:r>
              <w:rPr>
                <w:rFonts w:hint="eastAsia" w:ascii="Times New Roman" w:cs="Times New Roman"/>
                <w:kern w:val="2"/>
                <w:sz w:val="21"/>
              </w:rPr>
              <w:t>江门市公共资源交易中心（地址：江门市蓬江区堤西路</w:t>
            </w:r>
            <w:r>
              <w:rPr>
                <w:rFonts w:ascii="Times New Roman" w:cs="Times New Roman"/>
                <w:kern w:val="2"/>
                <w:sz w:val="21"/>
              </w:rPr>
              <w:t>88</w:t>
            </w:r>
            <w:r>
              <w:rPr>
                <w:rFonts w:hint="eastAsia" w:ascii="Times New Roman" w:cs="Times New Roman"/>
                <w:kern w:val="2"/>
                <w:sz w:val="21"/>
              </w:rPr>
              <w:t>号市人民政府行政服务中心三楼）</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72" w:hRule="atLeast"/>
        </w:trPr>
        <w:tc>
          <w:tcPr>
            <w:tcW w:w="1164" w:type="dxa"/>
          </w:tcPr>
          <w:p>
            <w:pPr>
              <w:pStyle w:val="36"/>
              <w:spacing w:before="4"/>
              <w:rPr>
                <w:rFonts w:ascii="黑体"/>
                <w:b/>
                <w:sz w:val="31"/>
              </w:rPr>
            </w:pPr>
          </w:p>
          <w:p>
            <w:pPr>
              <w:pStyle w:val="36"/>
              <w:ind w:left="244" w:right="232"/>
              <w:jc w:val="center"/>
              <w:rPr>
                <w:rFonts w:ascii="Times New Roman"/>
                <w:sz w:val="21"/>
              </w:rPr>
            </w:pPr>
            <w:r>
              <w:rPr>
                <w:rFonts w:ascii="Times New Roman"/>
                <w:sz w:val="21"/>
              </w:rPr>
              <w:t>4.2.3</w:t>
            </w:r>
          </w:p>
        </w:tc>
        <w:tc>
          <w:tcPr>
            <w:tcW w:w="1920" w:type="dxa"/>
          </w:tcPr>
          <w:p>
            <w:pPr>
              <w:pStyle w:val="36"/>
              <w:rPr>
                <w:rFonts w:ascii="黑体"/>
                <w:b/>
                <w:sz w:val="20"/>
              </w:rPr>
            </w:pPr>
          </w:p>
          <w:p>
            <w:pPr>
              <w:pStyle w:val="36"/>
              <w:spacing w:before="131"/>
              <w:ind w:left="17"/>
              <w:jc w:val="center"/>
              <w:rPr>
                <w:sz w:val="21"/>
              </w:rPr>
            </w:pPr>
            <w:r>
              <w:rPr>
                <w:sz w:val="21"/>
              </w:rPr>
              <w:t>是否退还投标文件</w:t>
            </w:r>
          </w:p>
        </w:tc>
        <w:tc>
          <w:tcPr>
            <w:tcW w:w="6663" w:type="dxa"/>
            <w:gridSpan w:val="2"/>
          </w:tcPr>
          <w:p>
            <w:pPr>
              <w:pStyle w:val="36"/>
              <w:spacing w:before="168"/>
              <w:ind w:left="111"/>
              <w:rPr>
                <w:sz w:val="21"/>
              </w:rPr>
            </w:pPr>
            <w:r>
              <w:rPr>
                <w:rFonts w:hint="eastAsia"/>
                <w:sz w:val="24"/>
              </w:rPr>
              <w:t>■</w:t>
            </w:r>
            <w:r>
              <w:rPr>
                <w:sz w:val="21"/>
              </w:rPr>
              <w:t>否</w:t>
            </w:r>
          </w:p>
          <w:p>
            <w:pPr>
              <w:pStyle w:val="36"/>
              <w:spacing w:before="43"/>
              <w:ind w:left="111"/>
              <w:rPr>
                <w:sz w:val="21"/>
              </w:rPr>
            </w:pPr>
            <w:r>
              <w:rPr>
                <w:rFonts w:ascii="Times New Roman" w:hAnsi="Times New Roman" w:eastAsia="Times New Roman"/>
                <w:spacing w:val="-1"/>
                <w:sz w:val="32"/>
              </w:rPr>
              <w:t>□</w:t>
            </w:r>
            <w:r>
              <w:rPr>
                <w:sz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72" w:hRule="atLeast"/>
        </w:trPr>
        <w:tc>
          <w:tcPr>
            <w:tcW w:w="1164" w:type="dxa"/>
          </w:tcPr>
          <w:p>
            <w:pPr>
              <w:pStyle w:val="36"/>
              <w:rPr>
                <w:rFonts w:ascii="黑体"/>
                <w:b/>
              </w:rPr>
            </w:pPr>
          </w:p>
          <w:p>
            <w:pPr>
              <w:pStyle w:val="36"/>
              <w:rPr>
                <w:rFonts w:ascii="黑体"/>
                <w:b/>
                <w:sz w:val="20"/>
              </w:rPr>
            </w:pPr>
          </w:p>
          <w:p>
            <w:pPr>
              <w:pStyle w:val="36"/>
              <w:ind w:left="244" w:right="232"/>
              <w:jc w:val="center"/>
              <w:rPr>
                <w:rFonts w:ascii="Times New Roman"/>
                <w:sz w:val="21"/>
              </w:rPr>
            </w:pPr>
            <w:r>
              <w:rPr>
                <w:rFonts w:ascii="Times New Roman"/>
                <w:sz w:val="21"/>
              </w:rPr>
              <w:t>5.1</w:t>
            </w:r>
          </w:p>
        </w:tc>
        <w:tc>
          <w:tcPr>
            <w:tcW w:w="1920" w:type="dxa"/>
          </w:tcPr>
          <w:p>
            <w:pPr>
              <w:pStyle w:val="36"/>
              <w:rPr>
                <w:rFonts w:ascii="黑体"/>
                <w:b/>
                <w:sz w:val="20"/>
              </w:rPr>
            </w:pPr>
          </w:p>
          <w:p>
            <w:pPr>
              <w:pStyle w:val="36"/>
              <w:spacing w:before="11"/>
              <w:rPr>
                <w:rFonts w:ascii="黑体"/>
                <w:b/>
                <w:sz w:val="20"/>
              </w:rPr>
            </w:pPr>
          </w:p>
          <w:p>
            <w:pPr>
              <w:pStyle w:val="36"/>
              <w:ind w:left="15"/>
              <w:jc w:val="center"/>
              <w:rPr>
                <w:sz w:val="21"/>
              </w:rPr>
            </w:pPr>
            <w:r>
              <w:rPr>
                <w:sz w:val="21"/>
              </w:rPr>
              <w:t>开标时间和地点</w:t>
            </w:r>
          </w:p>
        </w:tc>
        <w:tc>
          <w:tcPr>
            <w:tcW w:w="6663" w:type="dxa"/>
            <w:gridSpan w:val="2"/>
          </w:tcPr>
          <w:p>
            <w:pPr>
              <w:pStyle w:val="36"/>
              <w:spacing w:before="109"/>
              <w:ind w:left="111"/>
              <w:rPr>
                <w:sz w:val="21"/>
              </w:rPr>
            </w:pPr>
            <w:r>
              <w:rPr>
                <w:sz w:val="21"/>
              </w:rPr>
              <w:t xml:space="preserve">开标时间：同投标截止时间（即 </w:t>
            </w:r>
            <w:r>
              <w:rPr>
                <w:rFonts w:ascii="Times New Roman" w:eastAsia="Times New Roman"/>
                <w:sz w:val="21"/>
              </w:rPr>
              <w:t xml:space="preserve">2020 </w:t>
            </w:r>
            <w:r>
              <w:rPr>
                <w:sz w:val="21"/>
              </w:rPr>
              <w:t>年</w:t>
            </w:r>
            <w:r>
              <w:rPr>
                <w:rFonts w:hint="eastAsia" w:ascii="Times New Roman" w:eastAsiaTheme="minorEastAsia"/>
                <w:sz w:val="21"/>
              </w:rPr>
              <w:t xml:space="preserve">   </w:t>
            </w:r>
            <w:r>
              <w:rPr>
                <w:sz w:val="21"/>
              </w:rPr>
              <w:t xml:space="preserve">月 </w:t>
            </w:r>
            <w:r>
              <w:rPr>
                <w:rFonts w:hint="eastAsia" w:ascii="Times New Roman" w:eastAsiaTheme="minorEastAsia"/>
                <w:sz w:val="21"/>
              </w:rPr>
              <w:t xml:space="preserve">  </w:t>
            </w:r>
            <w:r>
              <w:rPr>
                <w:sz w:val="21"/>
              </w:rPr>
              <w:t xml:space="preserve">日 </w:t>
            </w:r>
            <w:r>
              <w:rPr>
                <w:rFonts w:hint="eastAsia" w:ascii="Times New Roman" w:eastAsiaTheme="minorEastAsia"/>
                <w:sz w:val="21"/>
              </w:rPr>
              <w:t xml:space="preserve">  </w:t>
            </w:r>
            <w:r>
              <w:rPr>
                <w:rFonts w:ascii="Times New Roman" w:eastAsia="Times New Roman"/>
                <w:sz w:val="21"/>
              </w:rPr>
              <w:t xml:space="preserve"> </w:t>
            </w:r>
            <w:r>
              <w:rPr>
                <w:sz w:val="21"/>
              </w:rPr>
              <w:t xml:space="preserve">时 </w:t>
            </w:r>
            <w:r>
              <w:rPr>
                <w:rFonts w:hint="eastAsia" w:ascii="Times New Roman" w:eastAsiaTheme="minorEastAsia"/>
                <w:sz w:val="21"/>
              </w:rPr>
              <w:t xml:space="preserve">  </w:t>
            </w:r>
            <w:r>
              <w:rPr>
                <w:rFonts w:ascii="Times New Roman" w:eastAsia="Times New Roman"/>
                <w:sz w:val="21"/>
              </w:rPr>
              <w:t xml:space="preserve"> </w:t>
            </w:r>
            <w:r>
              <w:rPr>
                <w:sz w:val="21"/>
              </w:rPr>
              <w:t>分）</w:t>
            </w:r>
          </w:p>
          <w:p>
            <w:pPr>
              <w:pStyle w:val="36"/>
              <w:spacing w:line="400" w:lineRule="atLeast"/>
              <w:ind w:left="111" w:right="47"/>
              <w:rPr>
                <w:sz w:val="21"/>
              </w:rPr>
            </w:pPr>
            <w:r>
              <w:rPr>
                <w:sz w:val="21"/>
              </w:rPr>
              <w:t>开标地点：</w:t>
            </w:r>
            <w:r>
              <w:rPr>
                <w:rFonts w:hint="eastAsia" w:ascii="Times New Roman" w:cs="Times New Roman"/>
                <w:kern w:val="2"/>
                <w:sz w:val="21"/>
              </w:rPr>
              <w:t>江门市公共资源交易中心（地址：江门市蓬江区堤西路</w:t>
            </w:r>
            <w:r>
              <w:rPr>
                <w:rFonts w:ascii="Times New Roman" w:cs="Times New Roman"/>
                <w:kern w:val="2"/>
                <w:sz w:val="21"/>
              </w:rPr>
              <w:t>88</w:t>
            </w:r>
            <w:r>
              <w:rPr>
                <w:rFonts w:hint="eastAsia" w:ascii="Times New Roman" w:cs="Times New Roman"/>
                <w:kern w:val="2"/>
                <w:sz w:val="21"/>
              </w:rPr>
              <w:t>号市人民政府行政服务中心三楼）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266" w:hRule="atLeast"/>
        </w:trPr>
        <w:tc>
          <w:tcPr>
            <w:tcW w:w="1164" w:type="dxa"/>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160"/>
              <w:ind w:left="244" w:right="232"/>
              <w:jc w:val="center"/>
              <w:rPr>
                <w:rFonts w:ascii="Times New Roman"/>
                <w:sz w:val="21"/>
              </w:rPr>
            </w:pPr>
            <w:r>
              <w:rPr>
                <w:rFonts w:ascii="Times New Roman"/>
                <w:sz w:val="21"/>
              </w:rPr>
              <w:t>5.2</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5"/>
              <w:rPr>
                <w:rFonts w:ascii="黑体"/>
                <w:b/>
                <w:sz w:val="23"/>
              </w:rPr>
            </w:pPr>
          </w:p>
          <w:p>
            <w:pPr>
              <w:pStyle w:val="36"/>
              <w:ind w:left="17"/>
              <w:jc w:val="center"/>
              <w:rPr>
                <w:sz w:val="21"/>
              </w:rPr>
            </w:pPr>
            <w:r>
              <w:rPr>
                <w:sz w:val="21"/>
              </w:rPr>
              <w:t>开标程序</w:t>
            </w:r>
          </w:p>
        </w:tc>
        <w:tc>
          <w:tcPr>
            <w:tcW w:w="6663" w:type="dxa"/>
            <w:gridSpan w:val="2"/>
          </w:tcPr>
          <w:p>
            <w:pPr>
              <w:pStyle w:val="36"/>
              <w:spacing w:before="6"/>
              <w:rPr>
                <w:rFonts w:ascii="黑体"/>
                <w:b/>
                <w:sz w:val="17"/>
              </w:rPr>
            </w:pPr>
          </w:p>
          <w:p>
            <w:pPr>
              <w:pStyle w:val="36"/>
              <w:spacing w:before="142" w:line="393" w:lineRule="auto"/>
              <w:ind w:left="107" w:right="95"/>
              <w:jc w:val="both"/>
              <w:rPr>
                <w:sz w:val="21"/>
              </w:rPr>
            </w:pPr>
            <w:r>
              <w:rPr>
                <w:rFonts w:hint="eastAsia"/>
                <w:sz w:val="21"/>
              </w:rPr>
              <w:t>（4）</w:t>
            </w:r>
            <w:r>
              <w:rPr>
                <w:sz w:val="21"/>
              </w:rPr>
              <w:t xml:space="preserve">招标人核查投标人的信用等级，对未被列入“江门市建筑业企业信用管理信息系统”信用等级为 </w:t>
            </w:r>
            <w:r>
              <w:rPr>
                <w:rFonts w:ascii="Times New Roman" w:hAnsi="Times New Roman" w:eastAsia="Times New Roman"/>
                <w:sz w:val="21"/>
              </w:rPr>
              <w:t xml:space="preserve">C </w:t>
            </w:r>
            <w:r>
              <w:rPr>
                <w:spacing w:val="3"/>
                <w:sz w:val="21"/>
              </w:rPr>
              <w:t>级或以上的投标人（包括联合体所有成员），招标人拒收或退回其投标文件</w:t>
            </w:r>
            <w:r>
              <w:rPr>
                <w:spacing w:val="-5"/>
                <w:sz w:val="21"/>
              </w:rPr>
              <w:t>；（项目不要求投标人具备建筑业企业资质的除外）</w:t>
            </w:r>
          </w:p>
          <w:p>
            <w:pPr>
              <w:pStyle w:val="36"/>
              <w:spacing w:line="266" w:lineRule="exact"/>
              <w:ind w:left="111"/>
              <w:rPr>
                <w:sz w:val="21"/>
              </w:rPr>
            </w:pPr>
            <w:r>
              <w:rPr>
                <w:sz w:val="21"/>
              </w:rPr>
              <w:t>开标顺序：按随机顺序开封。</w:t>
            </w:r>
          </w:p>
          <w:p>
            <w:pPr>
              <w:pStyle w:val="36"/>
              <w:spacing w:before="134"/>
              <w:ind w:firstLine="295" w:firstLineChars="150"/>
              <w:rPr>
                <w:sz w:val="21"/>
              </w:rPr>
            </w:pPr>
            <w:r>
              <w:rPr>
                <w:b/>
                <w:spacing w:val="-7"/>
                <w:sz w:val="21"/>
              </w:rPr>
              <w:t xml:space="preserve">正式投标人超过 </w:t>
            </w:r>
            <w:r>
              <w:rPr>
                <w:rFonts w:ascii="Times New Roman" w:hAnsi="Times New Roman" w:eastAsia="Times New Roman"/>
                <w:b/>
                <w:sz w:val="21"/>
              </w:rPr>
              <w:t xml:space="preserve">15 </w:t>
            </w:r>
            <w:r>
              <w:rPr>
                <w:b/>
                <w:sz w:val="21"/>
              </w:rPr>
              <w:t>家（</w:t>
            </w:r>
            <w:r>
              <w:rPr>
                <w:b/>
                <w:spacing w:val="-17"/>
                <w:sz w:val="21"/>
              </w:rPr>
              <w:t xml:space="preserve">不含 </w:t>
            </w:r>
            <w:r>
              <w:rPr>
                <w:rFonts w:ascii="Times New Roman" w:hAnsi="Times New Roman" w:eastAsia="Times New Roman"/>
                <w:b/>
                <w:sz w:val="21"/>
              </w:rPr>
              <w:t xml:space="preserve">15 </w:t>
            </w:r>
            <w:r>
              <w:rPr>
                <w:b/>
                <w:sz w:val="21"/>
              </w:rPr>
              <w:t>家）的</w:t>
            </w:r>
            <w:r>
              <w:rPr>
                <w:sz w:val="21"/>
              </w:rPr>
              <w:t>，“投标人须知”</w:t>
            </w:r>
          </w:p>
          <w:p>
            <w:pPr>
              <w:pStyle w:val="36"/>
              <w:spacing w:before="3"/>
              <w:rPr>
                <w:b/>
                <w:sz w:val="16"/>
              </w:rPr>
            </w:pPr>
          </w:p>
          <w:p>
            <w:pPr>
              <w:pStyle w:val="36"/>
              <w:ind w:left="107"/>
              <w:rPr>
                <w:sz w:val="21"/>
              </w:rPr>
            </w:pPr>
            <w:r>
              <w:rPr>
                <w:sz w:val="21"/>
              </w:rPr>
              <w:t xml:space="preserve">正文部分第 </w:t>
            </w:r>
            <w:r>
              <w:rPr>
                <w:rFonts w:ascii="Times New Roman" w:eastAsia="Times New Roman"/>
                <w:sz w:val="21"/>
              </w:rPr>
              <w:t xml:space="preserve">5.2 </w:t>
            </w:r>
            <w:r>
              <w:rPr>
                <w:sz w:val="21"/>
              </w:rPr>
              <w:t>条第（</w:t>
            </w:r>
            <w:r>
              <w:rPr>
                <w:rFonts w:ascii="Times New Roman" w:eastAsia="Times New Roman"/>
                <w:sz w:val="21"/>
              </w:rPr>
              <w:t>7</w:t>
            </w:r>
            <w:r>
              <w:rPr>
                <w:sz w:val="21"/>
              </w:rPr>
              <w:t>）款修改为以下内容。（正式投标人</w:t>
            </w:r>
          </w:p>
          <w:p>
            <w:pPr>
              <w:pStyle w:val="36"/>
              <w:spacing w:before="6"/>
              <w:rPr>
                <w:b/>
                <w:sz w:val="16"/>
              </w:rPr>
            </w:pPr>
          </w:p>
          <w:p>
            <w:pPr>
              <w:pStyle w:val="36"/>
              <w:spacing w:line="266" w:lineRule="exact"/>
              <w:ind w:left="111"/>
              <w:rPr>
                <w:sz w:val="21"/>
              </w:rPr>
            </w:pPr>
            <w:r>
              <w:rPr>
                <w:sz w:val="21"/>
              </w:rPr>
              <w:t xml:space="preserve">少于或等于 </w:t>
            </w:r>
            <w:r>
              <w:rPr>
                <w:rFonts w:ascii="Times New Roman" w:eastAsia="Times New Roman"/>
                <w:sz w:val="21"/>
              </w:rPr>
              <w:t xml:space="preserve">15 </w:t>
            </w:r>
            <w:r>
              <w:rPr>
                <w:sz w:val="21"/>
              </w:rPr>
              <w:t>家的本条款不适用）：</w:t>
            </w:r>
          </w:p>
          <w:p>
            <w:pPr>
              <w:pStyle w:val="36"/>
              <w:spacing w:before="104"/>
              <w:ind w:left="527"/>
              <w:rPr>
                <w:b/>
                <w:sz w:val="21"/>
              </w:rPr>
            </w:pPr>
            <w:r>
              <w:rPr>
                <w:sz w:val="21"/>
              </w:rPr>
              <w:t>（</w:t>
            </w:r>
            <w:r>
              <w:rPr>
                <w:rFonts w:ascii="Times New Roman" w:eastAsia="Times New Roman"/>
                <w:sz w:val="21"/>
              </w:rPr>
              <w:t>5</w:t>
            </w:r>
            <w:r>
              <w:rPr>
                <w:sz w:val="21"/>
              </w:rPr>
              <w:t>）诚信优先抽签入围</w:t>
            </w:r>
            <w:r>
              <w:rPr>
                <w:b/>
                <w:sz w:val="21"/>
              </w:rPr>
              <w:t>：</w:t>
            </w:r>
          </w:p>
          <w:p>
            <w:pPr>
              <w:pStyle w:val="36"/>
              <w:spacing w:before="3"/>
              <w:rPr>
                <w:b/>
                <w:sz w:val="16"/>
              </w:rPr>
            </w:pPr>
          </w:p>
          <w:p>
            <w:pPr>
              <w:pStyle w:val="36"/>
              <w:spacing w:line="427" w:lineRule="auto"/>
              <w:ind w:left="107" w:right="-15" w:firstLine="496"/>
              <w:jc w:val="both"/>
              <w:rPr>
                <w:sz w:val="21"/>
              </w:rPr>
            </w:pPr>
            <w:r>
              <w:rPr>
                <w:sz w:val="21"/>
              </w:rPr>
              <w:t xml:space="preserve">正式投标人在 15 家（不含 </w:t>
            </w:r>
            <w:r>
              <w:rPr>
                <w:rFonts w:ascii="Times New Roman" w:hAnsi="Times New Roman" w:eastAsia="Times New Roman"/>
                <w:sz w:val="21"/>
              </w:rPr>
              <w:t xml:space="preserve">15 </w:t>
            </w:r>
            <w:r>
              <w:rPr>
                <w:sz w:val="21"/>
              </w:rPr>
              <w:t>家）以上时，按开标当天“江门市建筑业企业信用管理信息系统”公布的信用等级由招标人分三次随机抽签确定 15 家正式投标人进入评审阶段。评审阶段不再应用信用评价成果。摇珠抽取步骤如下：</w:t>
            </w:r>
          </w:p>
          <w:p>
            <w:pPr>
              <w:pStyle w:val="36"/>
              <w:spacing w:line="427" w:lineRule="auto"/>
              <w:ind w:left="107" w:right="109" w:firstLine="496"/>
              <w:rPr>
                <w:sz w:val="21"/>
              </w:rPr>
            </w:pPr>
            <w:r>
              <w:rPr>
                <w:sz w:val="21"/>
              </w:rPr>
              <w:t>a、投标人的抽签号码分配按投标人一览表的名单的</w:t>
            </w:r>
            <w:r>
              <w:rPr>
                <w:spacing w:val="9"/>
                <w:sz w:val="21"/>
              </w:rPr>
              <w:t>先后次序进行分配。</w:t>
            </w:r>
          </w:p>
          <w:p>
            <w:pPr>
              <w:pStyle w:val="36"/>
              <w:spacing w:line="427" w:lineRule="auto"/>
              <w:ind w:left="107" w:right="107" w:firstLine="496"/>
              <w:jc w:val="both"/>
              <w:rPr>
                <w:sz w:val="21"/>
              </w:rPr>
            </w:pPr>
            <w:r>
              <w:rPr>
                <w:sz w:val="21"/>
              </w:rPr>
              <w:t xml:space="preserve">b、从信用等级 A 级的正式投标人中随机选取 5 家， 未抽中的进入下一轮抽签环节。如本轮家数不足 5 家的， 不足之数在信用等级 B 级的正式投标人中抽取。如抽取全部信用等级 B 级的正式投标人后也不足 </w:t>
            </w:r>
            <w:r>
              <w:rPr>
                <w:rFonts w:ascii="Times New Roman" w:eastAsia="Times New Roman"/>
                <w:sz w:val="21"/>
              </w:rPr>
              <w:t xml:space="preserve">5 </w:t>
            </w:r>
            <w:r>
              <w:rPr>
                <w:sz w:val="21"/>
              </w:rPr>
              <w:t>家的，则在信用等级为 C 级的正式投标人中抽取不足之数。</w:t>
            </w:r>
          </w:p>
          <w:p>
            <w:pPr>
              <w:pStyle w:val="36"/>
              <w:spacing w:line="427" w:lineRule="auto"/>
              <w:ind w:left="107" w:right="104" w:firstLine="496"/>
              <w:jc w:val="both"/>
              <w:rPr>
                <w:sz w:val="21"/>
              </w:rPr>
            </w:pPr>
            <w:r>
              <w:rPr>
                <w:rFonts w:ascii="Times New Roman" w:eastAsia="Times New Roman"/>
                <w:sz w:val="21"/>
              </w:rPr>
              <w:t>c</w:t>
            </w:r>
            <w:r>
              <w:rPr>
                <w:sz w:val="21"/>
              </w:rPr>
              <w:t xml:space="preserve">、从第一轮未抽中的信用等级 </w:t>
            </w:r>
            <w:r>
              <w:rPr>
                <w:rFonts w:ascii="Times New Roman" w:eastAsia="Times New Roman"/>
                <w:sz w:val="21"/>
              </w:rPr>
              <w:t xml:space="preserve">A </w:t>
            </w:r>
            <w:r>
              <w:rPr>
                <w:sz w:val="21"/>
              </w:rPr>
              <w:t xml:space="preserve">级正式投标人以及信用等级 </w:t>
            </w:r>
            <w:r>
              <w:rPr>
                <w:rFonts w:ascii="Times New Roman" w:eastAsia="Times New Roman"/>
                <w:sz w:val="21"/>
              </w:rPr>
              <w:t xml:space="preserve">B </w:t>
            </w:r>
            <w:r>
              <w:rPr>
                <w:sz w:val="21"/>
              </w:rPr>
              <w:t>级的正式投标人</w:t>
            </w:r>
            <w:r>
              <w:rPr>
                <w:rFonts w:ascii="Times New Roman" w:eastAsia="Times New Roman"/>
                <w:sz w:val="21"/>
              </w:rPr>
              <w:t>(A+B)</w:t>
            </w:r>
            <w:r>
              <w:rPr>
                <w:sz w:val="21"/>
              </w:rPr>
              <w:t xml:space="preserve">中随机选取 </w:t>
            </w:r>
            <w:r>
              <w:rPr>
                <w:rFonts w:ascii="Times New Roman" w:eastAsia="Times New Roman"/>
                <w:sz w:val="21"/>
              </w:rPr>
              <w:t xml:space="preserve">5 </w:t>
            </w:r>
            <w:r>
              <w:rPr>
                <w:sz w:val="21"/>
              </w:rPr>
              <w:t xml:space="preserve">家， 未抽中的正式投标人进入第 </w:t>
            </w:r>
            <w:r>
              <w:rPr>
                <w:rFonts w:ascii="Times New Roman" w:eastAsia="Times New Roman"/>
                <w:sz w:val="21"/>
              </w:rPr>
              <w:t xml:space="preserve">3 </w:t>
            </w:r>
            <w:r>
              <w:rPr>
                <w:sz w:val="21"/>
              </w:rPr>
              <w:t>轮抽签环节。如本轮正式投标人</w:t>
            </w:r>
            <w:r>
              <w:rPr>
                <w:rFonts w:ascii="Times New Roman" w:eastAsia="Times New Roman"/>
                <w:sz w:val="21"/>
              </w:rPr>
              <w:t>(A+B)</w:t>
            </w:r>
            <w:r>
              <w:rPr>
                <w:sz w:val="21"/>
              </w:rPr>
              <w:t xml:space="preserve">家数不足 </w:t>
            </w:r>
            <w:r>
              <w:rPr>
                <w:rFonts w:ascii="Times New Roman" w:eastAsia="Times New Roman"/>
                <w:sz w:val="21"/>
              </w:rPr>
              <w:t xml:space="preserve">5 </w:t>
            </w:r>
            <w:r>
              <w:rPr>
                <w:sz w:val="21"/>
              </w:rPr>
              <w:t xml:space="preserve">家的，则在信用等级 </w:t>
            </w:r>
            <w:r>
              <w:rPr>
                <w:rFonts w:ascii="Times New Roman" w:eastAsia="Times New Roman"/>
                <w:sz w:val="21"/>
              </w:rPr>
              <w:t xml:space="preserve">C </w:t>
            </w:r>
            <w:r>
              <w:rPr>
                <w:sz w:val="21"/>
              </w:rPr>
              <w:t>级的正式投标人中抽取不足之数。</w:t>
            </w:r>
          </w:p>
          <w:p>
            <w:pPr>
              <w:pStyle w:val="36"/>
              <w:spacing w:line="266" w:lineRule="exact"/>
              <w:ind w:left="111"/>
              <w:rPr>
                <w:sz w:val="21"/>
              </w:rPr>
            </w:pPr>
            <w:r>
              <w:rPr>
                <w:sz w:val="21"/>
              </w:rPr>
              <w:t>d、从第二轮未抽中的信用等级 A、B 级正式投标人及信用等级 C 级正式投标人中(A+B+C)随机选取 5 家。</w:t>
            </w:r>
          </w:p>
          <w:p>
            <w:pPr>
              <w:pStyle w:val="36"/>
              <w:spacing w:line="269" w:lineRule="exact"/>
              <w:ind w:left="551"/>
              <w:rPr>
                <w:sz w:val="21"/>
              </w:rPr>
            </w:pPr>
            <w:r>
              <w:rPr>
                <w:sz w:val="21"/>
              </w:rPr>
              <w:t>e、最终进入候补的正式投标人：</w:t>
            </w:r>
          </w:p>
          <w:p>
            <w:pPr>
              <w:pStyle w:val="36"/>
              <w:spacing w:before="178" w:line="321" w:lineRule="auto"/>
              <w:ind w:left="107" w:right="109"/>
              <w:jc w:val="both"/>
              <w:rPr>
                <w:spacing w:val="10"/>
                <w:sz w:val="21"/>
              </w:rPr>
            </w:pPr>
            <w:r>
              <w:rPr>
                <w:spacing w:val="10"/>
                <w:sz w:val="21"/>
              </w:rPr>
              <w:t xml:space="preserve">在前三轮未抽中的正式投标人中由招标人随机抽取 </w:t>
            </w:r>
            <w:r>
              <w:rPr>
                <w:sz w:val="21"/>
              </w:rPr>
              <w:t>5</w:t>
            </w:r>
            <w:r>
              <w:rPr>
                <w:spacing w:val="-14"/>
                <w:sz w:val="21"/>
              </w:rPr>
              <w:t xml:space="preserve"> </w:t>
            </w:r>
            <w:r>
              <w:rPr>
                <w:spacing w:val="10"/>
                <w:sz w:val="21"/>
              </w:rPr>
              <w:t>家作为候补投标人，并记录候补投标人选出的先后顺序（即为 递补的先后顺序）。当经评审有效投标的投标人少于三家 时，按照递补顺序递补。依递补名单依次递补后，经评审 有效投标的投标人仍少于三家时，按实际需求数量在剩余 的正式投标人中随机抽取。</w:t>
            </w:r>
          </w:p>
          <w:p>
            <w:pPr>
              <w:pStyle w:val="36"/>
              <w:spacing w:before="59"/>
              <w:ind w:left="551"/>
              <w:rPr>
                <w:spacing w:val="10"/>
                <w:sz w:val="21"/>
              </w:rPr>
            </w:pPr>
            <w:r>
              <w:rPr>
                <w:spacing w:val="10"/>
                <w:sz w:val="21"/>
              </w:rPr>
              <w:t>f、如剩余的所有正式投标人都已递补，但经评审有效</w:t>
            </w:r>
          </w:p>
          <w:p>
            <w:pPr>
              <w:pStyle w:val="36"/>
              <w:spacing w:line="266" w:lineRule="exact"/>
              <w:ind w:left="111"/>
              <w:rPr>
                <w:sz w:val="21"/>
              </w:rPr>
            </w:pPr>
            <w:r>
              <w:rPr>
                <w:sz w:val="21"/>
              </w:rPr>
              <w:t>投标的投标人仍少于三家时，本次招标失败。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2337" w:hRule="atLeast"/>
        </w:trPr>
        <w:tc>
          <w:tcPr>
            <w:tcW w:w="1164" w:type="dxa"/>
            <w:vAlign w:val="center"/>
          </w:tcPr>
          <w:p>
            <w:pPr>
              <w:adjustRightInd w:val="0"/>
              <w:jc w:val="both"/>
              <w:rPr>
                <w:rFonts w:hAnsiTheme="minorHAnsi"/>
                <w:sz w:val="21"/>
                <w:szCs w:val="21"/>
                <w:lang w:val="en-US" w:bidi="ar-SA"/>
              </w:rPr>
            </w:pPr>
            <w:r>
              <w:rPr>
                <w:rFonts w:hAnsiTheme="minorHAnsi"/>
                <w:sz w:val="21"/>
                <w:szCs w:val="21"/>
                <w:lang w:val="en-US" w:bidi="ar-SA"/>
              </w:rPr>
              <w:t>5.3</w:t>
            </w:r>
          </w:p>
          <w:p>
            <w:pPr>
              <w:pStyle w:val="36"/>
              <w:jc w:val="both"/>
              <w:rPr>
                <w:rFonts w:ascii="黑体"/>
                <w:b/>
              </w:rPr>
            </w:pPr>
          </w:p>
        </w:tc>
        <w:tc>
          <w:tcPr>
            <w:tcW w:w="1920" w:type="dxa"/>
            <w:vAlign w:val="center"/>
          </w:tcPr>
          <w:p>
            <w:pPr>
              <w:adjustRightInd w:val="0"/>
              <w:jc w:val="both"/>
              <w:rPr>
                <w:rFonts w:ascii="黑体"/>
                <w:b/>
                <w:sz w:val="20"/>
              </w:rPr>
            </w:pPr>
            <w:r>
              <w:rPr>
                <w:rFonts w:hint="eastAsia" w:hAnsiTheme="minorHAnsi"/>
                <w:sz w:val="21"/>
                <w:szCs w:val="21"/>
                <w:lang w:val="en-US" w:bidi="ar-SA"/>
              </w:rPr>
              <w:t>开标特殊情况的处置程序</w:t>
            </w:r>
          </w:p>
        </w:tc>
        <w:tc>
          <w:tcPr>
            <w:tcW w:w="6663" w:type="dxa"/>
            <w:gridSpan w:val="2"/>
          </w:tcPr>
          <w:p>
            <w:pPr>
              <w:adjustRightInd w:val="0"/>
              <w:rPr>
                <w:rFonts w:hAnsiTheme="minorHAnsi"/>
                <w:sz w:val="21"/>
                <w:szCs w:val="21"/>
                <w:lang w:val="en-US" w:bidi="ar-SA"/>
              </w:rPr>
            </w:pPr>
          </w:p>
          <w:p>
            <w:pPr>
              <w:adjustRightInd w:val="0"/>
              <w:rPr>
                <w:rFonts w:hAnsiTheme="minorHAnsi"/>
                <w:sz w:val="21"/>
                <w:szCs w:val="21"/>
                <w:lang w:val="en-US" w:bidi="ar-SA"/>
              </w:rPr>
            </w:pPr>
            <w:r>
              <w:rPr>
                <w:rFonts w:hint="eastAsia" w:hAnsiTheme="minorHAnsi"/>
                <w:sz w:val="21"/>
                <w:szCs w:val="21"/>
                <w:lang w:val="en-US" w:bidi="ar-SA"/>
              </w:rPr>
              <w:t>关于开标活动暂停</w:t>
            </w:r>
          </w:p>
          <w:p>
            <w:pPr>
              <w:adjustRightInd w:val="0"/>
              <w:rPr>
                <w:rFonts w:hAnsiTheme="minorHAnsi"/>
                <w:sz w:val="21"/>
                <w:szCs w:val="21"/>
                <w:lang w:val="en-US" w:bidi="ar-SA"/>
              </w:rPr>
            </w:pPr>
            <w:r>
              <w:rPr>
                <w:rFonts w:hAnsiTheme="minorHAnsi"/>
                <w:sz w:val="21"/>
                <w:szCs w:val="21"/>
                <w:lang w:val="en-US" w:bidi="ar-SA"/>
              </w:rPr>
              <w:t xml:space="preserve">5.3.1 </w:t>
            </w:r>
            <w:r>
              <w:rPr>
                <w:rFonts w:hint="eastAsia" w:hAnsiTheme="minorHAnsi"/>
                <w:sz w:val="21"/>
                <w:szCs w:val="21"/>
                <w:lang w:val="en-US" w:bidi="ar-SA"/>
              </w:rPr>
              <w:t>招标人应当执行连续开标的原则，按开标程序中规定的程序、内容、方法、标准完成全部开标工作。只有发生不可抗力导致开标工作无法继续时，开标活动方可暂停。</w:t>
            </w:r>
          </w:p>
          <w:p>
            <w:pPr>
              <w:adjustRightInd w:val="0"/>
              <w:rPr>
                <w:rFonts w:ascii="黑体"/>
                <w:b/>
                <w:sz w:val="17"/>
              </w:rPr>
            </w:pPr>
            <w:r>
              <w:rPr>
                <w:rFonts w:hAnsiTheme="minorHAnsi"/>
                <w:sz w:val="21"/>
                <w:szCs w:val="21"/>
                <w:lang w:val="en-US" w:bidi="ar-SA"/>
              </w:rPr>
              <w:t xml:space="preserve">5.3.2 </w:t>
            </w:r>
            <w:r>
              <w:rPr>
                <w:rFonts w:hint="eastAsia" w:hAnsiTheme="minorHAnsi"/>
                <w:sz w:val="21"/>
                <w:szCs w:val="21"/>
                <w:lang w:val="en-US" w:bidi="ar-SA"/>
              </w:rPr>
              <w:t>发生开标暂停情况时，招标人应妥善保管好或封存已接收的投标文件、修改或撤回通知、备选投标方案等投标资料，待不可抗力的影响结束且具备继续开标的条件时，由招标人继续开标。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35" w:hRule="atLeast"/>
        </w:trPr>
        <w:tc>
          <w:tcPr>
            <w:tcW w:w="1164" w:type="dxa"/>
          </w:tcPr>
          <w:p>
            <w:pPr>
              <w:pStyle w:val="36"/>
              <w:spacing w:before="6"/>
              <w:rPr>
                <w:rFonts w:ascii="黑体"/>
                <w:b/>
                <w:sz w:val="31"/>
              </w:rPr>
            </w:pPr>
          </w:p>
          <w:p>
            <w:pPr>
              <w:pStyle w:val="36"/>
              <w:ind w:left="244" w:right="232"/>
              <w:jc w:val="center"/>
              <w:rPr>
                <w:rFonts w:ascii="Times New Roman"/>
                <w:sz w:val="21"/>
              </w:rPr>
            </w:pPr>
            <w:r>
              <w:rPr>
                <w:rFonts w:ascii="Times New Roman"/>
                <w:sz w:val="21"/>
              </w:rPr>
              <w:t>6.1.1</w:t>
            </w:r>
          </w:p>
        </w:tc>
        <w:tc>
          <w:tcPr>
            <w:tcW w:w="1920" w:type="dxa"/>
          </w:tcPr>
          <w:p>
            <w:pPr>
              <w:pStyle w:val="36"/>
              <w:rPr>
                <w:rFonts w:ascii="黑体"/>
                <w:b/>
                <w:sz w:val="20"/>
              </w:rPr>
            </w:pPr>
          </w:p>
          <w:p>
            <w:pPr>
              <w:pStyle w:val="36"/>
              <w:spacing w:before="133"/>
              <w:ind w:left="17"/>
              <w:jc w:val="center"/>
              <w:rPr>
                <w:sz w:val="21"/>
              </w:rPr>
            </w:pPr>
            <w:r>
              <w:rPr>
                <w:sz w:val="21"/>
              </w:rPr>
              <w:t>评标委员会的组建</w:t>
            </w:r>
          </w:p>
        </w:tc>
        <w:tc>
          <w:tcPr>
            <w:tcW w:w="6663" w:type="dxa"/>
            <w:gridSpan w:val="2"/>
          </w:tcPr>
          <w:p>
            <w:pPr>
              <w:pStyle w:val="36"/>
              <w:spacing w:before="186"/>
              <w:ind w:left="111"/>
              <w:rPr>
                <w:sz w:val="21"/>
              </w:rPr>
            </w:pPr>
            <w:r>
              <w:rPr>
                <w:spacing w:val="-3"/>
                <w:sz w:val="21"/>
              </w:rPr>
              <w:t>评标委员会构成：</w:t>
            </w:r>
            <w:r>
              <w:rPr>
                <w:spacing w:val="-3"/>
                <w:sz w:val="21"/>
                <w:u w:val="single"/>
              </w:rPr>
              <w:t xml:space="preserve"> </w:t>
            </w:r>
            <w:r>
              <w:rPr>
                <w:rFonts w:ascii="Times New Roman" w:eastAsia="Times New Roman"/>
                <w:sz w:val="21"/>
                <w:u w:val="single"/>
              </w:rPr>
              <w:t xml:space="preserve">5 </w:t>
            </w:r>
            <w:r>
              <w:rPr>
                <w:spacing w:val="-3"/>
                <w:sz w:val="21"/>
              </w:rPr>
              <w:t>人，其中招标人代表</w:t>
            </w:r>
            <w:r>
              <w:rPr>
                <w:spacing w:val="-3"/>
                <w:sz w:val="21"/>
                <w:u w:val="single"/>
              </w:rPr>
              <w:t xml:space="preserve"> </w:t>
            </w:r>
            <w:r>
              <w:rPr>
                <w:rFonts w:ascii="Times New Roman" w:eastAsia="Times New Roman"/>
                <w:sz w:val="21"/>
                <w:u w:val="single"/>
              </w:rPr>
              <w:t>1</w:t>
            </w:r>
            <w:r>
              <w:rPr>
                <w:rFonts w:ascii="Times New Roman" w:eastAsia="Times New Roman"/>
                <w:spacing w:val="51"/>
                <w:sz w:val="21"/>
                <w:u w:val="single"/>
              </w:rPr>
              <w:t xml:space="preserve"> </w:t>
            </w:r>
            <w:r>
              <w:rPr>
                <w:sz w:val="21"/>
              </w:rPr>
              <w:t>人</w:t>
            </w:r>
          </w:p>
          <w:p>
            <w:pPr>
              <w:pStyle w:val="36"/>
              <w:spacing w:before="90"/>
              <w:ind w:left="111"/>
              <w:rPr>
                <w:sz w:val="21"/>
              </w:rPr>
            </w:pPr>
            <w:r>
              <w:rPr>
                <w:sz w:val="21"/>
              </w:rPr>
              <w:t>评标专家确定方式：</w:t>
            </w:r>
            <w:r>
              <w:rPr>
                <w:sz w:val="21"/>
                <w:u w:val="single"/>
              </w:rPr>
              <w:t xml:space="preserve">从依法成立的评标专家库随机抽取 </w:t>
            </w:r>
            <w:r>
              <w:rPr>
                <w:rFonts w:ascii="Times New Roman" w:eastAsia="Times New Roman"/>
                <w:sz w:val="21"/>
                <w:u w:val="single"/>
              </w:rPr>
              <w:t xml:space="preserve">4 </w:t>
            </w:r>
            <w:r>
              <w:rPr>
                <w:sz w:val="21"/>
                <w:u w:val="single"/>
              </w:rPr>
              <w:t>人</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38" w:hRule="atLeast"/>
        </w:trPr>
        <w:tc>
          <w:tcPr>
            <w:tcW w:w="1164" w:type="dxa"/>
          </w:tcPr>
          <w:p>
            <w:pPr>
              <w:pStyle w:val="36"/>
              <w:spacing w:before="8"/>
              <w:rPr>
                <w:rFonts w:ascii="黑体"/>
                <w:b/>
                <w:sz w:val="31"/>
              </w:rPr>
            </w:pPr>
          </w:p>
          <w:p>
            <w:pPr>
              <w:pStyle w:val="36"/>
              <w:spacing w:before="1"/>
              <w:ind w:left="244" w:right="232"/>
              <w:jc w:val="center"/>
              <w:rPr>
                <w:rFonts w:ascii="Times New Roman"/>
                <w:sz w:val="21"/>
              </w:rPr>
            </w:pPr>
            <w:r>
              <w:rPr>
                <w:rFonts w:ascii="Times New Roman"/>
                <w:sz w:val="21"/>
              </w:rPr>
              <w:t>7.1</w:t>
            </w:r>
          </w:p>
        </w:tc>
        <w:tc>
          <w:tcPr>
            <w:tcW w:w="1920" w:type="dxa"/>
          </w:tcPr>
          <w:p>
            <w:pPr>
              <w:pStyle w:val="36"/>
              <w:spacing w:before="27" w:line="442" w:lineRule="exact"/>
              <w:ind w:left="331" w:right="102" w:hanging="209"/>
              <w:rPr>
                <w:sz w:val="21"/>
              </w:rPr>
            </w:pPr>
            <w:r>
              <w:rPr>
                <w:sz w:val="21"/>
              </w:rPr>
              <w:t>是否授权评标委员会确定中标人</w:t>
            </w:r>
          </w:p>
        </w:tc>
        <w:tc>
          <w:tcPr>
            <w:tcW w:w="6663" w:type="dxa"/>
            <w:gridSpan w:val="2"/>
          </w:tcPr>
          <w:p>
            <w:pPr>
              <w:pStyle w:val="36"/>
              <w:spacing w:before="82"/>
              <w:ind w:left="111"/>
              <w:rPr>
                <w:sz w:val="21"/>
              </w:rPr>
            </w:pPr>
            <w:r>
              <w:rPr>
                <w:rFonts w:hint="eastAsia"/>
                <w:sz w:val="24"/>
              </w:rPr>
              <w:t>■</w:t>
            </w:r>
            <w:r>
              <w:rPr>
                <w:sz w:val="21"/>
              </w:rPr>
              <w:t>是</w:t>
            </w:r>
          </w:p>
          <w:p>
            <w:pPr>
              <w:pStyle w:val="36"/>
              <w:tabs>
                <w:tab w:val="left" w:pos="3476"/>
              </w:tabs>
              <w:spacing w:before="157"/>
              <w:ind w:left="111"/>
              <w:rPr>
                <w:sz w:val="21"/>
              </w:rPr>
            </w:pPr>
            <w:r>
              <w:rPr>
                <w:rFonts w:ascii="Times New Roman" w:hAnsi="Times New Roman" w:eastAsia="Times New Roman"/>
                <w:sz w:val="32"/>
              </w:rPr>
              <w:t>□</w:t>
            </w:r>
            <w:r>
              <w:rPr>
                <w:sz w:val="21"/>
              </w:rPr>
              <w:t>否</w:t>
            </w:r>
          </w:p>
          <w:p>
            <w:pPr>
              <w:pStyle w:val="36"/>
              <w:tabs>
                <w:tab w:val="left" w:pos="2957"/>
              </w:tabs>
              <w:spacing w:before="157"/>
              <w:ind w:left="111"/>
              <w:rPr>
                <w:rFonts w:ascii="Times New Roman" w:hAnsi="Times New Roman" w:eastAsiaTheme="minorEastAsia"/>
                <w:sz w:val="21"/>
              </w:rPr>
            </w:pPr>
            <w:r>
              <w:rPr>
                <w:spacing w:val="-3"/>
                <w:sz w:val="21"/>
              </w:rPr>
              <w:t>推</w:t>
            </w:r>
            <w:r>
              <w:rPr>
                <w:sz w:val="21"/>
              </w:rPr>
              <w:t>荐</w:t>
            </w:r>
            <w:r>
              <w:rPr>
                <w:spacing w:val="-3"/>
                <w:sz w:val="21"/>
              </w:rPr>
              <w:t>的</w:t>
            </w:r>
            <w:r>
              <w:rPr>
                <w:sz w:val="21"/>
              </w:rPr>
              <w:t>中</w:t>
            </w:r>
            <w:r>
              <w:rPr>
                <w:spacing w:val="-3"/>
                <w:sz w:val="21"/>
              </w:rPr>
              <w:t>标</w:t>
            </w:r>
            <w:r>
              <w:rPr>
                <w:sz w:val="21"/>
              </w:rPr>
              <w:t>候</w:t>
            </w:r>
            <w:r>
              <w:rPr>
                <w:spacing w:val="-3"/>
                <w:sz w:val="21"/>
              </w:rPr>
              <w:t>选人</w:t>
            </w:r>
            <w:r>
              <w:rPr>
                <w:sz w:val="21"/>
              </w:rPr>
              <w:t>数：</w:t>
            </w:r>
            <w:r>
              <w:rPr>
                <w:sz w:val="21"/>
                <w:u w:val="single"/>
              </w:rPr>
              <w:t xml:space="preserve"> </w:t>
            </w:r>
            <w:r>
              <w:rPr>
                <w:spacing w:val="14"/>
                <w:sz w:val="21"/>
                <w:u w:val="single"/>
              </w:rPr>
              <w:t xml:space="preserve"> </w:t>
            </w:r>
            <w:r>
              <w:rPr>
                <w:rFonts w:ascii="Times New Roman" w:hAnsi="Times New Roman" w:eastAsia="Times New Roman"/>
                <w:sz w:val="21"/>
                <w:u w:val="single"/>
              </w:rPr>
              <w:t>3</w:t>
            </w:r>
            <w:r>
              <w:rPr>
                <w:rFonts w:ascii="Times New Roman" w:hAnsi="Times New Roman" w:eastAsia="Times New Roman"/>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35" w:hRule="atLeast"/>
        </w:trPr>
        <w:tc>
          <w:tcPr>
            <w:tcW w:w="1164" w:type="dxa"/>
          </w:tcPr>
          <w:p>
            <w:pPr>
              <w:pStyle w:val="36"/>
              <w:spacing w:before="8"/>
              <w:rPr>
                <w:rFonts w:ascii="黑体"/>
                <w:b/>
                <w:sz w:val="31"/>
              </w:rPr>
            </w:pPr>
          </w:p>
          <w:p>
            <w:pPr>
              <w:pStyle w:val="36"/>
              <w:spacing w:before="1"/>
              <w:ind w:left="244" w:right="232"/>
              <w:jc w:val="center"/>
              <w:rPr>
                <w:rFonts w:ascii="Times New Roman"/>
                <w:sz w:val="21"/>
              </w:rPr>
            </w:pPr>
            <w:r>
              <w:rPr>
                <w:rFonts w:ascii="Times New Roman"/>
                <w:sz w:val="21"/>
              </w:rPr>
              <w:t>7.2</w:t>
            </w:r>
          </w:p>
        </w:tc>
        <w:tc>
          <w:tcPr>
            <w:tcW w:w="1920" w:type="dxa"/>
          </w:tcPr>
          <w:p>
            <w:pPr>
              <w:pStyle w:val="36"/>
              <w:spacing w:before="6"/>
              <w:rPr>
                <w:rFonts w:ascii="黑体"/>
                <w:b/>
                <w:sz w:val="14"/>
              </w:rPr>
            </w:pPr>
          </w:p>
          <w:p>
            <w:pPr>
              <w:pStyle w:val="36"/>
              <w:spacing w:line="321" w:lineRule="auto"/>
              <w:ind w:left="857" w:right="102" w:hanging="735"/>
              <w:rPr>
                <w:sz w:val="21"/>
              </w:rPr>
            </w:pPr>
            <w:r>
              <w:rPr>
                <w:sz w:val="21"/>
              </w:rPr>
              <w:t>中标候选人公示媒介</w:t>
            </w:r>
          </w:p>
        </w:tc>
        <w:tc>
          <w:tcPr>
            <w:tcW w:w="6663" w:type="dxa"/>
            <w:gridSpan w:val="2"/>
          </w:tcPr>
          <w:p>
            <w:pPr>
              <w:pStyle w:val="36"/>
              <w:rPr>
                <w:rFonts w:ascii="黑体"/>
                <w:b/>
                <w:sz w:val="20"/>
              </w:rPr>
            </w:pPr>
          </w:p>
          <w:p>
            <w:pPr>
              <w:pStyle w:val="36"/>
              <w:spacing w:before="136"/>
              <w:ind w:left="111"/>
              <w:rPr>
                <w:sz w:val="21"/>
              </w:rPr>
            </w:pPr>
            <w:r>
              <w:rPr>
                <w:sz w:val="21"/>
              </w:rPr>
              <w:t>广东省招标投标监管网、江门市公共资源交易中心网站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spacing w:before="5"/>
              <w:rPr>
                <w:rFonts w:ascii="黑体"/>
                <w:b/>
                <w:sz w:val="26"/>
              </w:rPr>
            </w:pPr>
          </w:p>
          <w:p>
            <w:pPr>
              <w:pStyle w:val="36"/>
              <w:spacing w:before="1"/>
              <w:ind w:left="244" w:right="232"/>
              <w:jc w:val="center"/>
              <w:rPr>
                <w:rFonts w:ascii="Times New Roman"/>
                <w:sz w:val="21"/>
              </w:rPr>
            </w:pPr>
            <w:r>
              <w:rPr>
                <w:rFonts w:ascii="Times New Roman"/>
                <w:sz w:val="21"/>
              </w:rPr>
              <w:t>7.4.1</w:t>
            </w:r>
          </w:p>
        </w:tc>
        <w:tc>
          <w:tcPr>
            <w:tcW w:w="1920" w:type="dxa"/>
          </w:tcPr>
          <w:p>
            <w:pPr>
              <w:pStyle w:val="36"/>
              <w:spacing w:before="4"/>
              <w:rPr>
                <w:rFonts w:ascii="黑体"/>
                <w:b/>
                <w:sz w:val="25"/>
              </w:rPr>
            </w:pPr>
          </w:p>
          <w:p>
            <w:pPr>
              <w:pStyle w:val="36"/>
              <w:ind w:left="17"/>
              <w:jc w:val="center"/>
              <w:rPr>
                <w:sz w:val="21"/>
              </w:rPr>
            </w:pPr>
            <w:r>
              <w:rPr>
                <w:sz w:val="21"/>
              </w:rPr>
              <w:t>履约担保</w:t>
            </w:r>
          </w:p>
        </w:tc>
        <w:tc>
          <w:tcPr>
            <w:tcW w:w="6663" w:type="dxa"/>
            <w:gridSpan w:val="2"/>
          </w:tcPr>
          <w:p>
            <w:pPr>
              <w:pStyle w:val="36"/>
              <w:spacing w:before="3" w:line="398" w:lineRule="exact"/>
              <w:ind w:left="111" w:right="1705"/>
              <w:rPr>
                <w:rFonts w:ascii="Times New Roman" w:eastAsiaTheme="minorEastAsia"/>
                <w:sz w:val="21"/>
              </w:rPr>
            </w:pPr>
            <w:r>
              <w:rPr>
                <w:sz w:val="21"/>
              </w:rPr>
              <w:t xml:space="preserve">履约担保的形式：银行转账或银行保函或保证保险。履约担保的金额：中标价的 </w:t>
            </w:r>
            <w:r>
              <w:rPr>
                <w:rFonts w:hint="eastAsia" w:ascii="Times New Roman" w:eastAsiaTheme="minorEastAsia"/>
                <w:sz w:val="21"/>
              </w:rPr>
              <w:t>5</w:t>
            </w:r>
            <w:r>
              <w:rPr>
                <w:rFonts w:ascii="Times New Roman" w:eastAsia="Times New Roman"/>
                <w:sz w:val="21"/>
              </w:rPr>
              <w:t xml:space="preserve"> %</w:t>
            </w:r>
          </w:p>
          <w:p>
            <w:pPr>
              <w:pStyle w:val="36"/>
              <w:spacing w:before="109" w:line="357" w:lineRule="auto"/>
              <w:ind w:left="111" w:right="93"/>
              <w:rPr>
                <w:rFonts w:ascii="Times New Roman" w:eastAsiaTheme="minorEastAsia"/>
                <w:sz w:val="21"/>
              </w:rPr>
            </w:pPr>
            <w:r>
              <w:rPr>
                <w:b/>
                <w:sz w:val="21"/>
              </w:rPr>
              <w:t>采用银行转账的在签订本合同前必须由投标人的基本账户转账到招标人指定的银行账户。</w:t>
            </w:r>
          </w:p>
          <w:p>
            <w:pPr>
              <w:adjustRightInd w:val="0"/>
              <w:ind w:firstLine="105" w:firstLineChars="50"/>
              <w:rPr>
                <w:rFonts w:hAnsiTheme="minorHAnsi"/>
                <w:sz w:val="21"/>
                <w:szCs w:val="21"/>
                <w:lang w:val="en-US" w:bidi="ar-SA"/>
              </w:rPr>
            </w:pPr>
            <w:r>
              <w:rPr>
                <w:rFonts w:hint="eastAsia" w:hAnsiTheme="minorHAnsi"/>
                <w:b/>
                <w:sz w:val="21"/>
                <w:szCs w:val="21"/>
                <w:lang w:val="en-US" w:bidi="ar-SA"/>
              </w:rPr>
              <w:t>银行保函必须为</w:t>
            </w:r>
            <w:r>
              <w:rPr>
                <w:rFonts w:ascii="TimesNewRomanPSMT" w:eastAsia="TimesNewRomanPSMT" w:cs="TimesNewRomanPSMT" w:hAnsiTheme="minorHAnsi"/>
                <w:b/>
                <w:sz w:val="21"/>
                <w:szCs w:val="21"/>
                <w:lang w:val="en-US" w:bidi="ar-SA"/>
              </w:rPr>
              <w:t>:</w:t>
            </w:r>
            <w:r>
              <w:rPr>
                <w:rFonts w:ascii="TimesNewRomanPSMT" w:eastAsia="TimesNewRomanPSMT" w:cs="TimesNewRomanPSMT" w:hAnsiTheme="minorHAnsi"/>
                <w:sz w:val="21"/>
                <w:szCs w:val="21"/>
                <w:lang w:val="en-US" w:bidi="ar-SA"/>
              </w:rPr>
              <w:t xml:space="preserve"> </w:t>
            </w:r>
            <w:r>
              <w:rPr>
                <w:rFonts w:hint="eastAsia" w:hAnsiTheme="minorHAnsi"/>
                <w:sz w:val="21"/>
                <w:szCs w:val="21"/>
                <w:lang w:val="en-US" w:bidi="ar-SA"/>
              </w:rPr>
              <w:t>中国境内的中国银行、建设银行、工商银行、农业银行或具有办理保函业务资格的其他商业银行或国有股份担保公司提供。</w:t>
            </w:r>
          </w:p>
          <w:p>
            <w:pPr>
              <w:adjustRightInd w:val="0"/>
              <w:rPr>
                <w:rFonts w:hAnsiTheme="minorHAnsi"/>
                <w:sz w:val="21"/>
                <w:szCs w:val="21"/>
                <w:lang w:val="en-US" w:bidi="ar-SA"/>
              </w:rPr>
            </w:pPr>
            <w:r>
              <w:rPr>
                <w:rFonts w:hint="eastAsia" w:hAnsiTheme="minorHAnsi"/>
                <w:sz w:val="21"/>
                <w:szCs w:val="21"/>
                <w:lang w:val="en-US" w:bidi="ar-SA"/>
              </w:rPr>
              <w:t>开户银行：中国工商银行股份有限公司江门分行</w:t>
            </w:r>
            <w:r>
              <w:rPr>
                <w:rFonts w:hAnsiTheme="minorHAnsi"/>
                <w:sz w:val="21"/>
                <w:szCs w:val="21"/>
                <w:lang w:val="en-US" w:bidi="ar-SA"/>
              </w:rPr>
              <w:t xml:space="preserve"> </w:t>
            </w:r>
          </w:p>
          <w:p>
            <w:pPr>
              <w:adjustRightInd w:val="0"/>
              <w:rPr>
                <w:rFonts w:hAnsiTheme="minorHAnsi"/>
                <w:sz w:val="21"/>
                <w:szCs w:val="21"/>
                <w:lang w:val="en-US" w:bidi="ar-SA"/>
              </w:rPr>
            </w:pPr>
            <w:r>
              <w:rPr>
                <w:rFonts w:hint="eastAsia" w:hAnsiTheme="minorHAnsi"/>
                <w:sz w:val="21"/>
                <w:szCs w:val="21"/>
                <w:lang w:val="en-US" w:bidi="ar-SA"/>
              </w:rPr>
              <w:t>账户：</w:t>
            </w:r>
            <w:r>
              <w:rPr>
                <w:rFonts w:hAnsiTheme="minorHAnsi"/>
                <w:sz w:val="21"/>
                <w:szCs w:val="21"/>
                <w:lang w:val="en-US" w:bidi="ar-SA"/>
              </w:rPr>
              <w:t xml:space="preserve"> </w:t>
            </w:r>
            <w:r>
              <w:rPr>
                <w:rFonts w:hint="eastAsia" w:hAnsiTheme="minorHAnsi"/>
                <w:sz w:val="21"/>
                <w:szCs w:val="21"/>
                <w:lang w:val="en-US" w:bidi="ar-SA"/>
              </w:rPr>
              <w:t>广东省江门市气象局</w:t>
            </w:r>
          </w:p>
          <w:p>
            <w:pPr>
              <w:adjustRightInd w:val="0"/>
              <w:rPr>
                <w:rFonts w:ascii="TimesNewRomanPSMT" w:eastAsia="TimesNewRomanPSMT" w:cs="TimesNewRomanPSMT" w:hAnsiTheme="minorHAnsi"/>
                <w:sz w:val="21"/>
                <w:szCs w:val="21"/>
                <w:lang w:val="en-US" w:bidi="ar-SA"/>
              </w:rPr>
            </w:pPr>
            <w:r>
              <w:rPr>
                <w:rFonts w:hint="eastAsia" w:hAnsiTheme="minorHAnsi"/>
                <w:sz w:val="21"/>
                <w:szCs w:val="21"/>
                <w:lang w:val="en-US" w:bidi="ar-SA"/>
              </w:rPr>
              <w:t>账号：</w:t>
            </w:r>
            <w:r>
              <w:rPr>
                <w:rFonts w:hAnsiTheme="minorHAnsi"/>
                <w:sz w:val="21"/>
                <w:szCs w:val="21"/>
                <w:lang w:val="en-US" w:bidi="ar-SA"/>
              </w:rPr>
              <w:t>2012 0027 0902 6406 025</w:t>
            </w:r>
          </w:p>
          <w:p>
            <w:pPr>
              <w:adjustRightInd w:val="0"/>
              <w:rPr>
                <w:rFonts w:ascii="Times New Roman" w:eastAsiaTheme="minorEastAsia"/>
                <w:sz w:val="21"/>
              </w:rPr>
            </w:pPr>
            <w:r>
              <w:rPr>
                <w:rFonts w:hint="eastAsia" w:hAnsiTheme="minorHAnsi"/>
                <w:b/>
                <w:sz w:val="21"/>
                <w:szCs w:val="21"/>
                <w:lang w:val="en-US" w:bidi="ar-SA"/>
              </w:rPr>
              <w:t>采用保证保险的</w:t>
            </w:r>
            <w:r>
              <w:rPr>
                <w:rFonts w:hint="eastAsia" w:hAnsiTheme="minorHAnsi"/>
                <w:sz w:val="21"/>
                <w:szCs w:val="21"/>
                <w:lang w:val="en-US" w:bidi="ar-SA"/>
              </w:rPr>
              <w:t>，须提供投标保证保函原件。保证保险具体按照《关于在全市房屋建筑和市政基础设施工程开展建设工程保证保险有关工作的通知》（江建函〔</w:t>
            </w:r>
            <w:r>
              <w:rPr>
                <w:rFonts w:ascii="TimesNewRomanPSMT" w:eastAsia="TimesNewRomanPSMT" w:cs="TimesNewRomanPSMT" w:hAnsiTheme="minorHAnsi"/>
                <w:sz w:val="21"/>
                <w:szCs w:val="21"/>
                <w:lang w:val="en-US" w:bidi="ar-SA"/>
              </w:rPr>
              <w:t>2018</w:t>
            </w:r>
            <w:r>
              <w:rPr>
                <w:rFonts w:hint="eastAsia" w:hAnsiTheme="minorHAnsi"/>
                <w:sz w:val="21"/>
                <w:szCs w:val="21"/>
                <w:lang w:val="en-US" w:bidi="ar-SA"/>
              </w:rPr>
              <w:t>〕</w:t>
            </w:r>
            <w:r>
              <w:rPr>
                <w:rFonts w:ascii="TimesNewRomanPSMT" w:eastAsia="TimesNewRomanPSMT" w:cs="TimesNewRomanPSMT" w:hAnsiTheme="minorHAnsi"/>
                <w:sz w:val="21"/>
                <w:szCs w:val="21"/>
                <w:lang w:val="en-US" w:bidi="ar-SA"/>
              </w:rPr>
              <w:t xml:space="preserve">1343 </w:t>
            </w:r>
            <w:r>
              <w:rPr>
                <w:rFonts w:hint="eastAsia" w:hAnsiTheme="minorHAnsi"/>
                <w:sz w:val="21"/>
                <w:szCs w:val="21"/>
                <w:lang w:val="en-US" w:bidi="ar-SA"/>
              </w:rPr>
              <w:t>号）的要求执行。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454" w:hRule="atLeast"/>
        </w:trPr>
        <w:tc>
          <w:tcPr>
            <w:tcW w:w="9747" w:type="dxa"/>
            <w:gridSpan w:val="4"/>
          </w:tcPr>
          <w:p>
            <w:pPr>
              <w:pStyle w:val="36"/>
              <w:spacing w:before="3" w:line="398" w:lineRule="exact"/>
              <w:ind w:left="111" w:right="1705"/>
              <w:rPr>
                <w:sz w:val="21"/>
              </w:rPr>
            </w:pPr>
            <w:r>
              <w:rPr>
                <w:b/>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spacing w:before="6"/>
              <w:rPr>
                <w:rFonts w:ascii="黑体"/>
                <w:b/>
                <w:sz w:val="29"/>
              </w:rPr>
            </w:pPr>
          </w:p>
          <w:p>
            <w:pPr>
              <w:pStyle w:val="36"/>
              <w:ind w:left="244" w:right="236"/>
              <w:jc w:val="center"/>
              <w:rPr>
                <w:rFonts w:ascii="Times New Roman"/>
                <w:sz w:val="21"/>
              </w:rPr>
            </w:pPr>
            <w:r>
              <w:rPr>
                <w:rFonts w:ascii="Times New Roman"/>
                <w:sz w:val="21"/>
              </w:rPr>
              <w:t>10</w:t>
            </w:r>
          </w:p>
        </w:tc>
        <w:tc>
          <w:tcPr>
            <w:tcW w:w="1920" w:type="dxa"/>
          </w:tcPr>
          <w:p>
            <w:pPr>
              <w:pStyle w:val="36"/>
              <w:spacing w:before="5"/>
              <w:rPr>
                <w:rFonts w:ascii="黑体"/>
                <w:b/>
                <w:sz w:val="28"/>
              </w:rPr>
            </w:pPr>
          </w:p>
          <w:p>
            <w:pPr>
              <w:pStyle w:val="36"/>
              <w:rPr>
                <w:sz w:val="21"/>
              </w:rPr>
            </w:pPr>
            <w:r>
              <w:rPr>
                <w:sz w:val="21"/>
              </w:rPr>
              <w:t>电子招标投标</w:t>
            </w:r>
          </w:p>
        </w:tc>
        <w:tc>
          <w:tcPr>
            <w:tcW w:w="6663" w:type="dxa"/>
            <w:gridSpan w:val="2"/>
          </w:tcPr>
          <w:p>
            <w:pPr>
              <w:pStyle w:val="36"/>
              <w:spacing w:before="137"/>
              <w:ind w:left="109"/>
              <w:rPr>
                <w:sz w:val="21"/>
              </w:rPr>
            </w:pPr>
            <w:r>
              <w:rPr>
                <w:rFonts w:hint="eastAsia"/>
                <w:sz w:val="24"/>
              </w:rPr>
              <w:t>■</w:t>
            </w:r>
            <w:r>
              <w:rPr>
                <w:sz w:val="21"/>
              </w:rPr>
              <w:t>否</w:t>
            </w:r>
          </w:p>
          <w:p>
            <w:pPr>
              <w:pStyle w:val="36"/>
              <w:spacing w:before="82" w:line="367" w:lineRule="exact"/>
              <w:ind w:left="109"/>
              <w:rPr>
                <w:sz w:val="21"/>
              </w:rPr>
            </w:pPr>
            <w:r>
              <w:rPr>
                <w:rFonts w:ascii="Times New Roman" w:hAnsi="Times New Roman" w:eastAsia="Times New Roman"/>
                <w:sz w:val="32"/>
              </w:rPr>
              <w:t>□</w:t>
            </w:r>
            <w:r>
              <w:rPr>
                <w:sz w:val="21"/>
              </w:rPr>
              <w:t>是，具体要求：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ind w:left="244" w:right="236"/>
              <w:jc w:val="center"/>
              <w:rPr>
                <w:rFonts w:ascii="Times New Roman"/>
                <w:sz w:val="21"/>
              </w:rPr>
            </w:pPr>
          </w:p>
          <w:p>
            <w:pPr>
              <w:pStyle w:val="36"/>
              <w:ind w:left="244" w:right="236"/>
              <w:jc w:val="center"/>
              <w:rPr>
                <w:rFonts w:ascii="Times New Roman"/>
                <w:sz w:val="21"/>
              </w:rPr>
            </w:pPr>
          </w:p>
          <w:p>
            <w:pPr>
              <w:pStyle w:val="36"/>
              <w:ind w:left="244" w:right="236"/>
              <w:jc w:val="center"/>
              <w:rPr>
                <w:rFonts w:ascii="黑体"/>
                <w:b/>
                <w:sz w:val="29"/>
              </w:rPr>
            </w:pPr>
            <w:r>
              <w:rPr>
                <w:rFonts w:hint="eastAsia" w:ascii="Times New Roman"/>
                <w:sz w:val="21"/>
              </w:rPr>
              <w:t>10.1</w:t>
            </w:r>
          </w:p>
        </w:tc>
        <w:tc>
          <w:tcPr>
            <w:tcW w:w="1920" w:type="dxa"/>
          </w:tcPr>
          <w:p>
            <w:pPr>
              <w:pStyle w:val="36"/>
              <w:spacing w:line="440" w:lineRule="exact"/>
              <w:ind w:left="278" w:right="112" w:hanging="156"/>
              <w:rPr>
                <w:sz w:val="21"/>
              </w:rPr>
            </w:pPr>
            <w:r>
              <w:rPr>
                <w:sz w:val="21"/>
              </w:rPr>
              <w:t>施工组织设计是否采用“暗标 ”评审方式</w:t>
            </w:r>
          </w:p>
        </w:tc>
        <w:tc>
          <w:tcPr>
            <w:tcW w:w="6663" w:type="dxa"/>
            <w:gridSpan w:val="2"/>
          </w:tcPr>
          <w:p>
            <w:pPr>
              <w:pStyle w:val="36"/>
              <w:spacing w:before="2"/>
              <w:rPr>
                <w:b/>
                <w:sz w:val="28"/>
              </w:rPr>
            </w:pPr>
          </w:p>
          <w:p>
            <w:pPr>
              <w:pStyle w:val="36"/>
              <w:ind w:left="107"/>
              <w:rPr>
                <w:sz w:val="21"/>
              </w:rPr>
            </w:pPr>
            <w:r>
              <w:rPr>
                <w:rFonts w:hint="eastAsia"/>
                <w:sz w:val="24"/>
              </w:rPr>
              <w:t>■</w:t>
            </w:r>
            <w:r>
              <w:rPr>
                <w:sz w:val="21"/>
              </w:rPr>
              <w:t>不采用</w:t>
            </w:r>
          </w:p>
          <w:p>
            <w:pPr>
              <w:pStyle w:val="36"/>
              <w:ind w:left="107"/>
              <w:rPr>
                <w:sz w:val="21"/>
              </w:rPr>
            </w:pPr>
            <w:r>
              <w:rPr>
                <w:sz w:val="21"/>
              </w:rPr>
              <w:t>□采用，投标人应严格按照投标文件的编制要求。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rPr>
                <w:b/>
                <w:sz w:val="20"/>
              </w:rPr>
            </w:pPr>
          </w:p>
          <w:p>
            <w:pPr>
              <w:pStyle w:val="36"/>
              <w:spacing w:before="4"/>
              <w:rPr>
                <w:b/>
                <w:sz w:val="25"/>
              </w:rPr>
            </w:pPr>
          </w:p>
          <w:p>
            <w:pPr>
              <w:pStyle w:val="36"/>
              <w:ind w:left="267"/>
              <w:rPr>
                <w:sz w:val="21"/>
              </w:rPr>
            </w:pPr>
            <w:r>
              <w:rPr>
                <w:sz w:val="21"/>
              </w:rPr>
              <w:t>10.2.1</w:t>
            </w:r>
          </w:p>
        </w:tc>
        <w:tc>
          <w:tcPr>
            <w:tcW w:w="1920" w:type="dxa"/>
          </w:tcPr>
          <w:p>
            <w:pPr>
              <w:pStyle w:val="36"/>
              <w:spacing w:before="142" w:line="391" w:lineRule="auto"/>
              <w:ind w:left="108" w:right="127"/>
              <w:rPr>
                <w:sz w:val="21"/>
              </w:rPr>
            </w:pPr>
            <w:r>
              <w:rPr>
                <w:sz w:val="21"/>
              </w:rPr>
              <w:t>是否要求投标人在递交投标文件时，同时递交</w:t>
            </w:r>
          </w:p>
          <w:p>
            <w:pPr>
              <w:pStyle w:val="36"/>
              <w:spacing w:before="3"/>
              <w:ind w:left="108"/>
              <w:rPr>
                <w:sz w:val="21"/>
              </w:rPr>
            </w:pPr>
            <w:r>
              <w:rPr>
                <w:sz w:val="21"/>
              </w:rPr>
              <w:t>投标文件电子版</w:t>
            </w:r>
          </w:p>
        </w:tc>
        <w:tc>
          <w:tcPr>
            <w:tcW w:w="6663" w:type="dxa"/>
            <w:gridSpan w:val="2"/>
          </w:tcPr>
          <w:p>
            <w:pPr>
              <w:pStyle w:val="36"/>
              <w:spacing w:before="32" w:line="410" w:lineRule="exact"/>
              <w:ind w:left="107"/>
              <w:rPr>
                <w:sz w:val="32"/>
              </w:rPr>
            </w:pPr>
            <w:r>
              <w:rPr>
                <w:sz w:val="21"/>
              </w:rPr>
              <w:t>□不要求</w:t>
            </w:r>
          </w:p>
          <w:p>
            <w:pPr>
              <w:pStyle w:val="36"/>
              <w:spacing w:line="410" w:lineRule="exact"/>
              <w:ind w:left="107"/>
              <w:rPr>
                <w:sz w:val="21"/>
              </w:rPr>
            </w:pPr>
            <w:r>
              <w:rPr>
                <w:rFonts w:hint="eastAsia"/>
                <w:sz w:val="24"/>
              </w:rPr>
              <w:t>■</w:t>
            </w:r>
            <w:r>
              <w:rPr>
                <w:spacing w:val="-40"/>
                <w:position w:val="3"/>
                <w:sz w:val="20"/>
              </w:rPr>
              <w:t xml:space="preserve"> </w:t>
            </w:r>
            <w:r>
              <w:rPr>
                <w:sz w:val="21"/>
              </w:rPr>
              <w:t>要求，投标文件电子版内容：</w:t>
            </w:r>
          </w:p>
          <w:p>
            <w:pPr>
              <w:pStyle w:val="36"/>
              <w:spacing w:before="171"/>
              <w:ind w:left="422"/>
              <w:rPr>
                <w:sz w:val="21"/>
              </w:rPr>
            </w:pPr>
            <w:r>
              <w:rPr>
                <w:sz w:val="21"/>
              </w:rPr>
              <w:t>投标文件电子版份数：1 份</w:t>
            </w:r>
          </w:p>
          <w:p>
            <w:pPr>
              <w:pStyle w:val="36"/>
              <w:spacing w:before="142" w:line="391" w:lineRule="auto"/>
              <w:ind w:left="422" w:right="21"/>
              <w:rPr>
                <w:sz w:val="21"/>
              </w:rPr>
            </w:pPr>
            <w:r>
              <w:rPr>
                <w:sz w:val="21"/>
              </w:rPr>
              <w:t>投标文件电子版形式：投标文件副本制作成 PDF 格式。投标文件电子版密封方式：单独密封，密封要求与投标文件的密封要求相同，并在封套上标记“投标文件电子版”字样。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ind w:left="267"/>
              <w:rPr>
                <w:sz w:val="21"/>
              </w:rPr>
            </w:pPr>
          </w:p>
          <w:p>
            <w:pPr>
              <w:pStyle w:val="36"/>
              <w:ind w:left="267"/>
              <w:rPr>
                <w:sz w:val="21"/>
              </w:rPr>
            </w:pPr>
          </w:p>
          <w:p>
            <w:pPr>
              <w:pStyle w:val="36"/>
              <w:ind w:left="267"/>
              <w:rPr>
                <w:sz w:val="21"/>
              </w:rPr>
            </w:pPr>
          </w:p>
          <w:p>
            <w:pPr>
              <w:pStyle w:val="36"/>
              <w:ind w:left="267"/>
              <w:rPr>
                <w:sz w:val="21"/>
              </w:rPr>
            </w:pPr>
          </w:p>
          <w:p>
            <w:pPr>
              <w:pStyle w:val="36"/>
              <w:ind w:left="267"/>
              <w:rPr>
                <w:sz w:val="21"/>
              </w:rPr>
            </w:pPr>
          </w:p>
          <w:p>
            <w:pPr>
              <w:pStyle w:val="36"/>
              <w:ind w:left="267"/>
              <w:rPr>
                <w:sz w:val="21"/>
              </w:rPr>
            </w:pPr>
          </w:p>
          <w:p>
            <w:pPr>
              <w:pStyle w:val="36"/>
              <w:ind w:left="267"/>
              <w:rPr>
                <w:sz w:val="21"/>
              </w:rPr>
            </w:pPr>
          </w:p>
          <w:p>
            <w:pPr>
              <w:pStyle w:val="36"/>
              <w:ind w:left="267"/>
              <w:rPr>
                <w:b/>
                <w:sz w:val="20"/>
              </w:rPr>
            </w:pPr>
            <w:r>
              <w:rPr>
                <w:rFonts w:hint="eastAsia"/>
                <w:sz w:val="21"/>
              </w:rPr>
              <w:t>10.2.2</w:t>
            </w:r>
          </w:p>
        </w:tc>
        <w:tc>
          <w:tcPr>
            <w:tcW w:w="1920" w:type="dxa"/>
          </w:tcPr>
          <w:p>
            <w:pPr>
              <w:pStyle w:val="36"/>
              <w:spacing w:before="1" w:line="393" w:lineRule="auto"/>
              <w:ind w:left="108" w:right="97"/>
              <w:rPr>
                <w:sz w:val="21"/>
              </w:rPr>
            </w:pPr>
            <w:r>
              <w:rPr>
                <w:sz w:val="21"/>
              </w:rPr>
              <w:t xml:space="preserve">要求投标人在递交投标文件和投标文件电子版时，另外递交“投标文件网上公示内容电子 </w:t>
            </w:r>
            <w:r>
              <w:rPr>
                <w:spacing w:val="-11"/>
                <w:sz w:val="21"/>
              </w:rPr>
              <w:t>版”(详见江建函</w:t>
            </w:r>
            <w:r>
              <w:rPr>
                <w:spacing w:val="-3"/>
                <w:sz w:val="21"/>
              </w:rPr>
              <w:t xml:space="preserve">(2016) </w:t>
            </w:r>
            <w:r>
              <w:rPr>
                <w:sz w:val="21"/>
              </w:rPr>
              <w:t>516</w:t>
            </w:r>
            <w:r>
              <w:rPr>
                <w:spacing w:val="-12"/>
                <w:sz w:val="21"/>
              </w:rPr>
              <w:t xml:space="preserve"> 号)，但不作为否决</w:t>
            </w:r>
            <w:r>
              <w:rPr>
                <w:sz w:val="21"/>
              </w:rPr>
              <w:t>性条款。</w:t>
            </w:r>
          </w:p>
        </w:tc>
        <w:tc>
          <w:tcPr>
            <w:tcW w:w="6663" w:type="dxa"/>
            <w:gridSpan w:val="2"/>
          </w:tcPr>
          <w:p>
            <w:pPr>
              <w:pStyle w:val="36"/>
              <w:spacing w:before="142" w:line="393" w:lineRule="auto"/>
              <w:ind w:left="107" w:right="95"/>
              <w:jc w:val="both"/>
              <w:rPr>
                <w:sz w:val="21"/>
              </w:rPr>
            </w:pPr>
            <w:r>
              <w:rPr>
                <w:sz w:val="21"/>
              </w:rPr>
              <w:t>投标文件网上公示内容电子版内容，份数及要求（不作为否决 性条款）：内容：投标文件商务部分文件的所有内容，包括人 员、业绩、奖项等资料，人员身份证信息自行隐藏第 7-14 位数字，用“*”号代替。份数：1 份</w:t>
            </w:r>
          </w:p>
          <w:p>
            <w:pPr>
              <w:pStyle w:val="36"/>
              <w:spacing w:line="393" w:lineRule="auto"/>
              <w:ind w:left="107" w:right="95"/>
              <w:jc w:val="both"/>
              <w:rPr>
                <w:sz w:val="21"/>
              </w:rPr>
            </w:pPr>
            <w:r>
              <w:rPr>
                <w:sz w:val="21"/>
              </w:rPr>
              <w:t>要求：将上述内容进行扫描，扫描内容清晰可辨，并以 PDF 格式制作成电子版文件，刻录入光盘，单独密封包装，并在封套 上标记项目名称、投标单位名称及“投标文件网上公示内容电 子版”字样，在投标文件递交截止时间之前与投标文件一并递交招标人。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spacing w:before="141"/>
              <w:ind w:left="247" w:right="237"/>
              <w:jc w:val="center"/>
              <w:rPr>
                <w:sz w:val="21"/>
              </w:rPr>
            </w:pPr>
            <w:r>
              <w:rPr>
                <w:sz w:val="21"/>
              </w:rPr>
              <w:t>10.2.3</w:t>
            </w:r>
          </w:p>
        </w:tc>
        <w:tc>
          <w:tcPr>
            <w:tcW w:w="1920" w:type="dxa"/>
          </w:tcPr>
          <w:p>
            <w:pPr>
              <w:pStyle w:val="36"/>
              <w:spacing w:before="141"/>
              <w:ind w:left="7"/>
              <w:jc w:val="center"/>
              <w:rPr>
                <w:sz w:val="21"/>
              </w:rPr>
            </w:pPr>
            <w:r>
              <w:rPr>
                <w:sz w:val="21"/>
              </w:rPr>
              <w:t>计算机辅助评标</w:t>
            </w:r>
          </w:p>
        </w:tc>
        <w:tc>
          <w:tcPr>
            <w:tcW w:w="6663" w:type="dxa"/>
            <w:gridSpan w:val="2"/>
          </w:tcPr>
          <w:p>
            <w:pPr>
              <w:pStyle w:val="36"/>
              <w:spacing w:before="141"/>
              <w:ind w:left="107"/>
              <w:rPr>
                <w:sz w:val="21"/>
              </w:rPr>
            </w:pPr>
            <w:r>
              <w:rPr>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rPr>
                <w:rFonts w:ascii="黑体"/>
                <w:b/>
              </w:rPr>
            </w:pPr>
          </w:p>
          <w:p>
            <w:pPr>
              <w:pStyle w:val="36"/>
              <w:ind w:left="240" w:right="237"/>
              <w:jc w:val="center"/>
              <w:rPr>
                <w:rFonts w:ascii="Times New Roman"/>
                <w:sz w:val="21"/>
              </w:rPr>
            </w:pPr>
            <w:r>
              <w:rPr>
                <w:rFonts w:hint="eastAsia" w:ascii="Times New Roman"/>
                <w:sz w:val="21"/>
              </w:rPr>
              <w:t>10.3</w:t>
            </w:r>
          </w:p>
        </w:tc>
        <w:tc>
          <w:tcPr>
            <w:tcW w:w="1920" w:type="dxa"/>
          </w:tcPr>
          <w:p>
            <w:pPr>
              <w:pStyle w:val="36"/>
              <w:rPr>
                <w:rFonts w:ascii="黑体"/>
                <w:b/>
                <w:sz w:val="20"/>
              </w:rPr>
            </w:pPr>
          </w:p>
          <w:p>
            <w:pPr>
              <w:pStyle w:val="36"/>
              <w:spacing w:before="4"/>
              <w:rPr>
                <w:rFonts w:ascii="黑体"/>
                <w:b/>
                <w:sz w:val="20"/>
              </w:rPr>
            </w:pPr>
          </w:p>
          <w:p>
            <w:pPr>
              <w:pStyle w:val="36"/>
              <w:rPr>
                <w:sz w:val="21"/>
              </w:rPr>
            </w:pPr>
            <w:r>
              <w:rPr>
                <w:sz w:val="21"/>
              </w:rPr>
              <w:t>重新招标</w:t>
            </w:r>
          </w:p>
        </w:tc>
        <w:tc>
          <w:tcPr>
            <w:tcW w:w="6663" w:type="dxa"/>
            <w:gridSpan w:val="2"/>
          </w:tcPr>
          <w:p>
            <w:pPr>
              <w:pStyle w:val="36"/>
              <w:spacing w:before="135"/>
              <w:ind w:left="109"/>
              <w:rPr>
                <w:sz w:val="21"/>
              </w:rPr>
            </w:pPr>
            <w:r>
              <w:rPr>
                <w:sz w:val="21"/>
              </w:rPr>
              <w:t>有下列情形之一的，招标人将重新招标：</w:t>
            </w:r>
          </w:p>
          <w:p>
            <w:pPr>
              <w:pStyle w:val="36"/>
              <w:numPr>
                <w:ilvl w:val="0"/>
                <w:numId w:val="3"/>
              </w:numPr>
              <w:tabs>
                <w:tab w:val="left" w:pos="639"/>
              </w:tabs>
              <w:spacing w:before="113"/>
              <w:ind w:hanging="530"/>
              <w:rPr>
                <w:sz w:val="21"/>
              </w:rPr>
            </w:pPr>
            <w:r>
              <w:rPr>
                <w:spacing w:val="-6"/>
                <w:sz w:val="21"/>
              </w:rPr>
              <w:t xml:space="preserve">投标截止时间止，投标人少于 </w:t>
            </w:r>
            <w:r>
              <w:rPr>
                <w:rFonts w:ascii="Times New Roman" w:eastAsia="Times New Roman"/>
                <w:sz w:val="21"/>
              </w:rPr>
              <w:t>3</w:t>
            </w:r>
            <w:r>
              <w:rPr>
                <w:rFonts w:ascii="Times New Roman" w:eastAsia="Times New Roman"/>
                <w:spacing w:val="6"/>
                <w:sz w:val="21"/>
              </w:rPr>
              <w:t xml:space="preserve"> </w:t>
            </w:r>
            <w:r>
              <w:rPr>
                <w:spacing w:val="-2"/>
                <w:sz w:val="21"/>
              </w:rPr>
              <w:t>个的；</w:t>
            </w:r>
          </w:p>
          <w:p>
            <w:pPr>
              <w:pStyle w:val="36"/>
              <w:numPr>
                <w:ilvl w:val="0"/>
                <w:numId w:val="3"/>
              </w:numPr>
              <w:tabs>
                <w:tab w:val="left" w:pos="639"/>
              </w:tabs>
              <w:spacing w:before="110"/>
              <w:ind w:hanging="530"/>
              <w:rPr>
                <w:sz w:val="21"/>
              </w:rPr>
            </w:pPr>
            <w:r>
              <w:rPr>
                <w:spacing w:val="-6"/>
                <w:sz w:val="21"/>
              </w:rPr>
              <w:t xml:space="preserve">经评审有效投标的投标人少于 </w:t>
            </w:r>
            <w:r>
              <w:rPr>
                <w:rFonts w:ascii="Times New Roman" w:eastAsia="Times New Roman"/>
                <w:sz w:val="21"/>
              </w:rPr>
              <w:t>3</w:t>
            </w:r>
            <w:r>
              <w:rPr>
                <w:rFonts w:ascii="Times New Roman" w:eastAsia="Times New Roman"/>
                <w:spacing w:val="6"/>
                <w:sz w:val="21"/>
              </w:rPr>
              <w:t xml:space="preserve"> </w:t>
            </w:r>
            <w:r>
              <w:rPr>
                <w:spacing w:val="-2"/>
                <w:sz w:val="21"/>
              </w:rPr>
              <w:t>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rPr>
                <w:rFonts w:ascii="黑体"/>
                <w:b/>
              </w:rPr>
            </w:pPr>
          </w:p>
          <w:p>
            <w:pPr>
              <w:pStyle w:val="36"/>
              <w:rPr>
                <w:rFonts w:ascii="黑体"/>
                <w:b/>
              </w:rPr>
            </w:pPr>
          </w:p>
          <w:p>
            <w:pPr>
              <w:pStyle w:val="36"/>
              <w:rPr>
                <w:rFonts w:ascii="黑体"/>
                <w:b/>
              </w:rPr>
            </w:pPr>
          </w:p>
          <w:p>
            <w:pPr>
              <w:pStyle w:val="36"/>
              <w:spacing w:before="8"/>
              <w:rPr>
                <w:rFonts w:ascii="黑体"/>
                <w:b/>
                <w:sz w:val="16"/>
              </w:rPr>
            </w:pPr>
          </w:p>
          <w:p>
            <w:pPr>
              <w:pStyle w:val="36"/>
              <w:ind w:left="244" w:right="236"/>
              <w:jc w:val="center"/>
              <w:rPr>
                <w:rFonts w:ascii="Times New Roman"/>
                <w:sz w:val="21"/>
              </w:rPr>
            </w:pPr>
            <w:r>
              <w:rPr>
                <w:rFonts w:hint="eastAsia" w:ascii="Times New Roman"/>
                <w:sz w:val="21"/>
              </w:rPr>
              <w:t>10.4</w:t>
            </w:r>
          </w:p>
        </w:tc>
        <w:tc>
          <w:tcPr>
            <w:tcW w:w="1920" w:type="dxa"/>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1"/>
              <w:rPr>
                <w:sz w:val="21"/>
              </w:rPr>
            </w:pPr>
            <w:r>
              <w:rPr>
                <w:sz w:val="21"/>
              </w:rPr>
              <w:t>投标人代表出席开标会</w:t>
            </w:r>
          </w:p>
        </w:tc>
        <w:tc>
          <w:tcPr>
            <w:tcW w:w="6663" w:type="dxa"/>
            <w:gridSpan w:val="2"/>
          </w:tcPr>
          <w:p>
            <w:pPr>
              <w:pStyle w:val="36"/>
              <w:spacing w:before="30" w:line="360" w:lineRule="atLeast"/>
              <w:ind w:left="109" w:right="-15"/>
              <w:rPr>
                <w:sz w:val="21"/>
              </w:rPr>
            </w:pPr>
            <w:r>
              <w:rPr>
                <w:spacing w:val="-8"/>
                <w:sz w:val="21"/>
              </w:rPr>
              <w:t xml:space="preserve">按照本须知第 </w:t>
            </w:r>
            <w:r>
              <w:rPr>
                <w:sz w:val="21"/>
              </w:rPr>
              <w:t>5.1</w:t>
            </w:r>
            <w:r>
              <w:rPr>
                <w:spacing w:val="-14"/>
                <w:sz w:val="21"/>
              </w:rPr>
              <w:t xml:space="preserve"> 款的规定，招标人邀请所有投标人参加开标会。</w:t>
            </w:r>
            <w:r>
              <w:rPr>
                <w:spacing w:val="-7"/>
                <w:sz w:val="21"/>
              </w:rPr>
              <w:t>投标人的法定代表人或其委托代理人应当按时参加开标会，如法</w:t>
            </w:r>
            <w:r>
              <w:rPr>
                <w:spacing w:val="-5"/>
                <w:sz w:val="21"/>
              </w:rPr>
              <w:t>定代表人出席开标会，需提交法定代表人证明书的原件，如委托</w:t>
            </w:r>
            <w:r>
              <w:rPr>
                <w:spacing w:val="-4"/>
                <w:sz w:val="21"/>
              </w:rPr>
              <w:t>代理人出席开标会的，需提交法定代表人证明书原件和法定代表</w:t>
            </w:r>
            <w:r>
              <w:rPr>
                <w:spacing w:val="-3"/>
                <w:sz w:val="21"/>
              </w:rPr>
              <w:t>人授权委托书原件，上述参加人员需出示本人身份证原件及复印</w:t>
            </w:r>
            <w:r>
              <w:rPr>
                <w:sz w:val="21"/>
              </w:rPr>
              <w:t>件（</w:t>
            </w:r>
            <w:r>
              <w:rPr>
                <w:spacing w:val="-3"/>
                <w:sz w:val="21"/>
              </w:rPr>
              <w:t>复印件加盖单位公章</w:t>
            </w:r>
            <w:r>
              <w:rPr>
                <w:spacing w:val="-108"/>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spacing w:before="8"/>
              <w:rPr>
                <w:rFonts w:ascii="黑体"/>
                <w:b/>
                <w:sz w:val="31"/>
              </w:rPr>
            </w:pPr>
          </w:p>
          <w:p>
            <w:pPr>
              <w:pStyle w:val="36"/>
              <w:spacing w:before="1"/>
              <w:ind w:left="244" w:right="236"/>
              <w:jc w:val="center"/>
              <w:rPr>
                <w:rFonts w:ascii="Times New Roman"/>
                <w:sz w:val="21"/>
              </w:rPr>
            </w:pPr>
            <w:r>
              <w:rPr>
                <w:rFonts w:hint="eastAsia" w:ascii="Times New Roman"/>
                <w:sz w:val="21"/>
              </w:rPr>
              <w:t>10.5</w:t>
            </w:r>
          </w:p>
        </w:tc>
        <w:tc>
          <w:tcPr>
            <w:tcW w:w="1920" w:type="dxa"/>
          </w:tcPr>
          <w:p>
            <w:pPr>
              <w:pStyle w:val="36"/>
              <w:spacing w:before="3"/>
              <w:rPr>
                <w:b/>
                <w:sz w:val="28"/>
              </w:rPr>
            </w:pPr>
          </w:p>
          <w:p>
            <w:pPr>
              <w:pStyle w:val="36"/>
              <w:ind w:left="5"/>
              <w:jc w:val="center"/>
              <w:rPr>
                <w:sz w:val="21"/>
              </w:rPr>
            </w:pPr>
            <w:r>
              <w:rPr>
                <w:sz w:val="21"/>
              </w:rPr>
              <w:t>中标公示</w:t>
            </w:r>
          </w:p>
        </w:tc>
        <w:tc>
          <w:tcPr>
            <w:tcW w:w="6663" w:type="dxa"/>
            <w:gridSpan w:val="2"/>
          </w:tcPr>
          <w:p>
            <w:pPr>
              <w:pStyle w:val="36"/>
              <w:spacing w:before="141"/>
              <w:ind w:left="107"/>
              <w:rPr>
                <w:sz w:val="21"/>
              </w:rPr>
            </w:pPr>
            <w:r>
              <w:rPr>
                <w:sz w:val="21"/>
              </w:rPr>
              <w:t>本项目中标结果在广东省招标投标监管网、江门市公共资源交</w:t>
            </w:r>
          </w:p>
          <w:p>
            <w:pPr>
              <w:pStyle w:val="36"/>
              <w:spacing w:before="172"/>
              <w:ind w:left="107"/>
              <w:rPr>
                <w:sz w:val="21"/>
              </w:rPr>
            </w:pPr>
            <w:r>
              <w:rPr>
                <w:sz w:val="21"/>
              </w:rPr>
              <w:t>易中心网站上公示 3 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801"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10.6</w:t>
            </w:r>
          </w:p>
          <w:p>
            <w:pPr>
              <w:pStyle w:val="36"/>
              <w:spacing w:before="8"/>
              <w:rPr>
                <w:rFonts w:ascii="黑体"/>
                <w:b/>
                <w:sz w:val="31"/>
              </w:rPr>
            </w:pPr>
          </w:p>
        </w:tc>
        <w:tc>
          <w:tcPr>
            <w:tcW w:w="1920" w:type="dxa"/>
          </w:tcPr>
          <w:p>
            <w:pPr>
              <w:pStyle w:val="36"/>
              <w:rPr>
                <w:b/>
                <w:sz w:val="20"/>
              </w:rPr>
            </w:pPr>
          </w:p>
          <w:p>
            <w:pPr>
              <w:pStyle w:val="36"/>
              <w:rPr>
                <w:b/>
                <w:sz w:val="20"/>
              </w:rPr>
            </w:pPr>
          </w:p>
          <w:p>
            <w:pPr>
              <w:pStyle w:val="36"/>
              <w:rPr>
                <w:b/>
                <w:sz w:val="20"/>
              </w:rPr>
            </w:pPr>
          </w:p>
          <w:p>
            <w:pPr>
              <w:pStyle w:val="36"/>
              <w:spacing w:before="10"/>
              <w:rPr>
                <w:b/>
                <w:sz w:val="19"/>
              </w:rPr>
            </w:pPr>
          </w:p>
          <w:p>
            <w:pPr>
              <w:pStyle w:val="36"/>
              <w:ind w:left="5"/>
              <w:jc w:val="center"/>
              <w:rPr>
                <w:sz w:val="21"/>
              </w:rPr>
            </w:pPr>
            <w:r>
              <w:rPr>
                <w:sz w:val="21"/>
              </w:rPr>
              <w:t>知识产权</w:t>
            </w:r>
          </w:p>
        </w:tc>
        <w:tc>
          <w:tcPr>
            <w:tcW w:w="6663" w:type="dxa"/>
            <w:gridSpan w:val="2"/>
          </w:tcPr>
          <w:p>
            <w:pPr>
              <w:pStyle w:val="36"/>
              <w:spacing w:before="141" w:line="393" w:lineRule="auto"/>
              <w:ind w:left="107" w:right="23"/>
              <w:rPr>
                <w:spacing w:val="-4"/>
                <w:sz w:val="21"/>
              </w:rPr>
            </w:pPr>
            <w:r>
              <w:rPr>
                <w:spacing w:val="-4"/>
                <w:sz w:val="21"/>
              </w:rPr>
              <w:t>构成本招标文件各个组成部分的文件，未经招标人书面同意， 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483"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10.7</w:t>
            </w:r>
          </w:p>
        </w:tc>
        <w:tc>
          <w:tcPr>
            <w:tcW w:w="1920" w:type="dxa"/>
          </w:tcPr>
          <w:p>
            <w:pPr>
              <w:pStyle w:val="36"/>
              <w:rPr>
                <w:sz w:val="21"/>
              </w:rPr>
            </w:pPr>
          </w:p>
          <w:p>
            <w:pPr>
              <w:pStyle w:val="36"/>
              <w:rPr>
                <w:sz w:val="21"/>
              </w:rPr>
            </w:pPr>
          </w:p>
          <w:p>
            <w:pPr>
              <w:pStyle w:val="36"/>
              <w:rPr>
                <w:sz w:val="21"/>
              </w:rPr>
            </w:pPr>
          </w:p>
          <w:p>
            <w:pPr>
              <w:pStyle w:val="36"/>
              <w:ind w:firstLine="420" w:firstLineChars="200"/>
              <w:rPr>
                <w:b/>
                <w:sz w:val="20"/>
              </w:rPr>
            </w:pPr>
            <w:r>
              <w:rPr>
                <w:sz w:val="21"/>
              </w:rPr>
              <w:t>同义词语</w:t>
            </w:r>
          </w:p>
        </w:tc>
        <w:tc>
          <w:tcPr>
            <w:tcW w:w="6663" w:type="dxa"/>
            <w:gridSpan w:val="2"/>
          </w:tcPr>
          <w:p>
            <w:pPr>
              <w:pStyle w:val="36"/>
              <w:spacing w:before="141" w:line="393" w:lineRule="auto"/>
              <w:ind w:right="23"/>
              <w:rPr>
                <w:spacing w:val="-4"/>
                <w:sz w:val="21"/>
              </w:rPr>
            </w:pPr>
            <w:r>
              <w:rPr>
                <w:spacing w:val="-4"/>
                <w:sz w:val="21"/>
              </w:rPr>
              <w:t>构成招标文件组成部分的“通用合同条款”、“专用合同条款”和“技术标准和要求”等章节中出现的措辞“发包人”和“承包人”，在招标投标阶段应当分别按“招标人”和“投标人” 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483" w:hRule="atLeast"/>
        </w:trPr>
        <w:tc>
          <w:tcPr>
            <w:tcW w:w="1164" w:type="dxa"/>
          </w:tcPr>
          <w:p>
            <w:pPr>
              <w:pStyle w:val="36"/>
              <w:spacing w:before="4"/>
              <w:rPr>
                <w:b/>
                <w:sz w:val="28"/>
              </w:rPr>
            </w:pPr>
          </w:p>
          <w:p>
            <w:pPr>
              <w:pStyle w:val="36"/>
              <w:ind w:right="360"/>
              <w:jc w:val="right"/>
              <w:rPr>
                <w:sz w:val="21"/>
              </w:rPr>
            </w:pPr>
            <w:r>
              <w:rPr>
                <w:sz w:val="21"/>
              </w:rPr>
              <w:t>10.8</w:t>
            </w:r>
          </w:p>
        </w:tc>
        <w:tc>
          <w:tcPr>
            <w:tcW w:w="1920" w:type="dxa"/>
          </w:tcPr>
          <w:p>
            <w:pPr>
              <w:pStyle w:val="36"/>
              <w:spacing w:before="4"/>
              <w:rPr>
                <w:b/>
                <w:sz w:val="28"/>
              </w:rPr>
            </w:pPr>
          </w:p>
          <w:p>
            <w:pPr>
              <w:pStyle w:val="36"/>
              <w:ind w:left="7"/>
              <w:jc w:val="center"/>
              <w:rPr>
                <w:sz w:val="21"/>
              </w:rPr>
            </w:pPr>
            <w:r>
              <w:rPr>
                <w:sz w:val="21"/>
              </w:rPr>
              <w:t>监督</w:t>
            </w:r>
          </w:p>
        </w:tc>
        <w:tc>
          <w:tcPr>
            <w:tcW w:w="6663" w:type="dxa"/>
            <w:gridSpan w:val="2"/>
          </w:tcPr>
          <w:p>
            <w:pPr>
              <w:pStyle w:val="36"/>
              <w:spacing w:line="440" w:lineRule="exact"/>
              <w:ind w:left="107" w:right="97"/>
              <w:rPr>
                <w:sz w:val="21"/>
              </w:rPr>
            </w:pPr>
            <w:r>
              <w:rPr>
                <w:spacing w:val="-4"/>
                <w:sz w:val="21"/>
              </w:rPr>
              <w:t>本项目的招标投标活动及其相关当事人应当接受有管辖权的 建设工程招标投标行政监督部门依法实施的监督。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981" w:hRule="atLeast"/>
        </w:trPr>
        <w:tc>
          <w:tcPr>
            <w:tcW w:w="1164" w:type="dxa"/>
          </w:tcPr>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spacing w:before="5"/>
              <w:rPr>
                <w:b/>
                <w:sz w:val="28"/>
              </w:rPr>
            </w:pPr>
          </w:p>
          <w:p>
            <w:pPr>
              <w:pStyle w:val="36"/>
              <w:ind w:right="360"/>
              <w:jc w:val="right"/>
              <w:rPr>
                <w:sz w:val="21"/>
              </w:rPr>
            </w:pPr>
            <w:r>
              <w:rPr>
                <w:sz w:val="21"/>
              </w:rPr>
              <w:t>10.9</w:t>
            </w:r>
          </w:p>
        </w:tc>
        <w:tc>
          <w:tcPr>
            <w:tcW w:w="1920" w:type="dxa"/>
          </w:tcPr>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spacing w:before="5"/>
              <w:rPr>
                <w:b/>
                <w:sz w:val="28"/>
              </w:rPr>
            </w:pPr>
          </w:p>
          <w:p>
            <w:pPr>
              <w:pStyle w:val="36"/>
              <w:ind w:left="7"/>
              <w:jc w:val="center"/>
              <w:rPr>
                <w:sz w:val="21"/>
              </w:rPr>
            </w:pPr>
            <w:r>
              <w:rPr>
                <w:sz w:val="21"/>
              </w:rPr>
              <w:t>解释权</w:t>
            </w:r>
          </w:p>
        </w:tc>
        <w:tc>
          <w:tcPr>
            <w:tcW w:w="6663" w:type="dxa"/>
            <w:gridSpan w:val="2"/>
          </w:tcPr>
          <w:p>
            <w:pPr>
              <w:pStyle w:val="36"/>
              <w:spacing w:before="142" w:line="391" w:lineRule="auto"/>
              <w:ind w:left="107" w:right="23"/>
              <w:rPr>
                <w:sz w:val="21"/>
              </w:rPr>
            </w:pPr>
            <w:r>
              <w:rPr>
                <w:spacing w:val="-4"/>
                <w:sz w:val="21"/>
              </w:rPr>
              <w:t>构成本招标文件的各个组成文件应互为解释，互为说明；如有</w:t>
            </w:r>
            <w:r>
              <w:rPr>
                <w:spacing w:val="-10"/>
                <w:sz w:val="21"/>
              </w:rPr>
              <w:t>不明确或不一致，构</w:t>
            </w:r>
            <w:r>
              <w:rPr>
                <w:spacing w:val="-4"/>
                <w:sz w:val="21"/>
              </w:rPr>
              <w:t>成合同文件组成内容的，以合同文件约定内容为准，且以专用合同条款约定的合同文件优先顺序解释； 除招标文件中有特别规定外，仅适用于招标投标阶段的规定， 按招标公告（投标</w:t>
            </w:r>
            <w:r>
              <w:rPr>
                <w:sz w:val="21"/>
              </w:rPr>
              <w:t>邀请书</w:t>
            </w:r>
            <w:r>
              <w:rPr>
                <w:spacing w:val="-15"/>
                <w:sz w:val="21"/>
              </w:rPr>
              <w:t>）</w:t>
            </w:r>
            <w:r>
              <w:rPr>
                <w:spacing w:val="-7"/>
                <w:sz w:val="21"/>
              </w:rPr>
              <w:t>、投标人须知、评标办法、投标文</w:t>
            </w:r>
            <w:r>
              <w:rPr>
                <w:spacing w:val="-12"/>
                <w:sz w:val="21"/>
              </w:rPr>
              <w:t>件格式的先后顺序解释；同一组成文件中就同一事项的规定或</w:t>
            </w:r>
            <w:r>
              <w:rPr>
                <w:spacing w:val="-13"/>
                <w:sz w:val="21"/>
              </w:rPr>
              <w:t>约定不一致的，以编排顺序在后者为准；同一组成文件不同版</w:t>
            </w:r>
            <w:r>
              <w:rPr>
                <w:spacing w:val="-14"/>
                <w:sz w:val="21"/>
              </w:rPr>
              <w:t>本之间有不一致的，以形成时间在后者为准。按本款前述规定</w:t>
            </w:r>
          </w:p>
          <w:p>
            <w:pPr>
              <w:pStyle w:val="36"/>
              <w:spacing w:before="10"/>
              <w:ind w:left="107"/>
              <w:rPr>
                <w:sz w:val="21"/>
              </w:rPr>
            </w:pPr>
            <w:r>
              <w:rPr>
                <w:sz w:val="21"/>
              </w:rPr>
              <w:t>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483"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ascii="Times New Roman"/>
                <w:sz w:val="21"/>
              </w:rPr>
              <w:t>10.10</w:t>
            </w:r>
          </w:p>
        </w:tc>
        <w:tc>
          <w:tcPr>
            <w:tcW w:w="1920" w:type="dxa"/>
          </w:tcPr>
          <w:p>
            <w:pPr>
              <w:pStyle w:val="36"/>
              <w:spacing w:before="4"/>
              <w:rPr>
                <w:b/>
                <w:sz w:val="28"/>
              </w:rPr>
            </w:pPr>
          </w:p>
          <w:p>
            <w:pPr>
              <w:pStyle w:val="36"/>
              <w:ind w:left="5"/>
              <w:jc w:val="center"/>
              <w:rPr>
                <w:sz w:val="21"/>
              </w:rPr>
            </w:pPr>
            <w:r>
              <w:rPr>
                <w:sz w:val="21"/>
              </w:rPr>
              <w:t>资格审查</w:t>
            </w:r>
          </w:p>
        </w:tc>
        <w:tc>
          <w:tcPr>
            <w:tcW w:w="6663" w:type="dxa"/>
            <w:gridSpan w:val="2"/>
          </w:tcPr>
          <w:p>
            <w:pPr>
              <w:pStyle w:val="36"/>
              <w:spacing w:before="32" w:line="410" w:lineRule="exact"/>
              <w:ind w:left="107"/>
              <w:rPr>
                <w:sz w:val="21"/>
              </w:rPr>
            </w:pPr>
            <w:r>
              <w:rPr>
                <w:sz w:val="21"/>
              </w:rPr>
              <w:t>□资格预审</w:t>
            </w:r>
          </w:p>
          <w:p>
            <w:pPr>
              <w:pStyle w:val="36"/>
              <w:spacing w:before="137"/>
              <w:ind w:left="109"/>
              <w:rPr>
                <w:sz w:val="21"/>
              </w:rPr>
            </w:pPr>
            <w:r>
              <w:rPr>
                <w:rFonts w:hint="eastAsia"/>
                <w:sz w:val="24"/>
              </w:rPr>
              <w:t>■</w:t>
            </w:r>
            <w:r>
              <w:rPr>
                <w:sz w:val="21"/>
              </w:rPr>
              <w:t>资格后审</w:t>
            </w:r>
          </w:p>
          <w:p>
            <w:pPr>
              <w:pStyle w:val="36"/>
              <w:spacing w:line="410" w:lineRule="exact"/>
              <w:ind w:left="107"/>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558"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ascii="Times New Roman"/>
                <w:sz w:val="21"/>
              </w:rPr>
              <w:t>10.11</w:t>
            </w:r>
          </w:p>
        </w:tc>
        <w:tc>
          <w:tcPr>
            <w:tcW w:w="1920" w:type="dxa"/>
          </w:tcPr>
          <w:p>
            <w:pPr>
              <w:pStyle w:val="36"/>
              <w:rPr>
                <w:b/>
                <w:sz w:val="20"/>
              </w:rPr>
            </w:pPr>
          </w:p>
          <w:p>
            <w:pPr>
              <w:pStyle w:val="36"/>
              <w:rPr>
                <w:b/>
                <w:sz w:val="20"/>
              </w:rPr>
            </w:pPr>
          </w:p>
          <w:p>
            <w:pPr>
              <w:pStyle w:val="36"/>
              <w:spacing w:before="8"/>
              <w:rPr>
                <w:b/>
              </w:rPr>
            </w:pPr>
          </w:p>
          <w:p>
            <w:pPr>
              <w:pStyle w:val="36"/>
              <w:ind w:left="5"/>
              <w:jc w:val="center"/>
              <w:rPr>
                <w:sz w:val="21"/>
              </w:rPr>
            </w:pPr>
            <w:r>
              <w:rPr>
                <w:sz w:val="21"/>
              </w:rPr>
              <w:t>评标办法</w:t>
            </w:r>
          </w:p>
        </w:tc>
        <w:tc>
          <w:tcPr>
            <w:tcW w:w="6663" w:type="dxa"/>
            <w:gridSpan w:val="2"/>
          </w:tcPr>
          <w:p>
            <w:pPr>
              <w:pStyle w:val="36"/>
              <w:spacing w:before="32"/>
              <w:ind w:left="107"/>
              <w:rPr>
                <w:sz w:val="21"/>
              </w:rPr>
            </w:pPr>
            <w:r>
              <w:rPr>
                <w:sz w:val="21"/>
              </w:rPr>
              <w:t>□“有效范围的平均值法”</w:t>
            </w:r>
          </w:p>
          <w:p>
            <w:pPr>
              <w:pStyle w:val="36"/>
              <w:spacing w:before="32" w:line="408" w:lineRule="exact"/>
              <w:ind w:left="107"/>
              <w:rPr>
                <w:sz w:val="21"/>
              </w:rPr>
            </w:pPr>
            <w:r>
              <w:rPr>
                <w:sz w:val="21"/>
              </w:rPr>
              <w:t>□平均值法</w:t>
            </w:r>
          </w:p>
          <w:p>
            <w:pPr>
              <w:pStyle w:val="36"/>
              <w:spacing w:before="32" w:line="408" w:lineRule="exact"/>
              <w:ind w:left="108" w:leftChars="49"/>
              <w:rPr>
                <w:sz w:val="21"/>
              </w:rPr>
            </w:pPr>
            <w:r>
              <w:rPr>
                <w:rFonts w:hint="eastAsia"/>
                <w:sz w:val="24"/>
              </w:rPr>
              <w:t xml:space="preserve">■ </w:t>
            </w:r>
            <w:r>
              <w:rPr>
                <w:sz w:val="21"/>
              </w:rPr>
              <w:t>综合评估法</w:t>
            </w:r>
          </w:p>
          <w:p>
            <w:pPr>
              <w:pStyle w:val="36"/>
              <w:spacing w:before="61" w:line="387" w:lineRule="exact"/>
              <w:ind w:left="107"/>
              <w:rPr>
                <w:sz w:val="21"/>
              </w:rPr>
            </w:pPr>
            <w:r>
              <w:rPr>
                <w:sz w:val="21"/>
              </w:rPr>
              <w:t>□最低投标价法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483"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ascii="Times New Roman"/>
                <w:sz w:val="21"/>
              </w:rPr>
              <w:t>10.12</w:t>
            </w:r>
          </w:p>
        </w:tc>
        <w:tc>
          <w:tcPr>
            <w:tcW w:w="1920" w:type="dxa"/>
          </w:tcPr>
          <w:p>
            <w:pPr>
              <w:pStyle w:val="36"/>
              <w:rPr>
                <w:b/>
                <w:sz w:val="20"/>
              </w:rPr>
            </w:pPr>
          </w:p>
          <w:p>
            <w:pPr>
              <w:pStyle w:val="36"/>
              <w:rPr>
                <w:b/>
                <w:sz w:val="20"/>
              </w:rPr>
            </w:pPr>
          </w:p>
          <w:p>
            <w:pPr>
              <w:pStyle w:val="36"/>
              <w:spacing w:before="4"/>
              <w:rPr>
                <w:b/>
                <w:sz w:val="19"/>
              </w:rPr>
            </w:pPr>
          </w:p>
          <w:p>
            <w:pPr>
              <w:pStyle w:val="36"/>
              <w:ind w:left="7"/>
              <w:jc w:val="center"/>
              <w:rPr>
                <w:sz w:val="21"/>
              </w:rPr>
            </w:pPr>
            <w:r>
              <w:rPr>
                <w:sz w:val="21"/>
              </w:rPr>
              <w:t>信用因素权重</w:t>
            </w:r>
          </w:p>
        </w:tc>
        <w:tc>
          <w:tcPr>
            <w:tcW w:w="6663" w:type="dxa"/>
            <w:gridSpan w:val="2"/>
          </w:tcPr>
          <w:p>
            <w:pPr>
              <w:pStyle w:val="36"/>
              <w:spacing w:before="79" w:line="321" w:lineRule="auto"/>
              <w:ind w:left="107" w:right="20"/>
              <w:rPr>
                <w:sz w:val="21"/>
              </w:rPr>
            </w:pPr>
            <w:r>
              <w:rPr>
                <w:sz w:val="21"/>
              </w:rPr>
              <w:t>□现场随机抽取。（在 8%，8.5%，9%，9.5%，10%共五个数值中抽取）</w:t>
            </w:r>
          </w:p>
          <w:p>
            <w:pPr>
              <w:pStyle w:val="36"/>
              <w:spacing w:before="79" w:line="321" w:lineRule="auto"/>
              <w:ind w:left="107" w:right="20"/>
              <w:rPr>
                <w:sz w:val="21"/>
              </w:rPr>
            </w:pPr>
            <w:r>
              <w:rPr>
                <w:rFonts w:hint="eastAsia"/>
                <w:sz w:val="24"/>
              </w:rPr>
              <w:t>■</w:t>
            </w:r>
            <w:r>
              <w:rPr>
                <w:sz w:val="21"/>
              </w:rPr>
              <w:t>本项目信用因素权重为</w:t>
            </w:r>
            <w:r>
              <w:rPr>
                <w:rFonts w:ascii="Times New Roman" w:hAnsi="Times New Roman" w:eastAsia="Times New Roman"/>
                <w:w w:val="99"/>
                <w:sz w:val="21"/>
                <w:u w:val="single"/>
              </w:rPr>
              <w:t xml:space="preserve"> </w:t>
            </w:r>
            <w:r>
              <w:rPr>
                <w:rFonts w:hint="eastAsia" w:ascii="Times New Roman" w:hAnsi="Times New Roman" w:eastAsiaTheme="minorEastAsia"/>
                <w:w w:val="99"/>
                <w:sz w:val="21"/>
                <w:u w:val="single"/>
              </w:rPr>
              <w:t xml:space="preserve">   </w:t>
            </w:r>
            <w:r>
              <w:rPr>
                <w:rFonts w:hint="eastAsia"/>
                <w:spacing w:val="1"/>
                <w:w w:val="99"/>
                <w:sz w:val="21"/>
                <w:u w:val="single"/>
              </w:rPr>
              <w:t>8</w:t>
            </w:r>
            <w:r>
              <w:rPr>
                <w:sz w:val="21"/>
                <w:u w:val="single"/>
              </w:rPr>
              <w:tab/>
            </w:r>
            <w:r>
              <w:rPr>
                <w:sz w:val="21"/>
              </w:rPr>
              <w:t xml:space="preserve"> </w:t>
            </w:r>
            <w:r>
              <w:rPr>
                <w:spacing w:val="-2"/>
                <w:w w:val="99"/>
                <w:sz w:val="21"/>
              </w:rPr>
              <w:t>%</w:t>
            </w:r>
            <w:r>
              <w:rPr>
                <w:spacing w:val="-1"/>
                <w:w w:val="99"/>
                <w:sz w:val="21"/>
              </w:rPr>
              <w:t>。</w:t>
            </w:r>
            <w:r>
              <w:rPr>
                <w:spacing w:val="2"/>
                <w:w w:val="99"/>
                <w:sz w:val="21"/>
              </w:rPr>
              <w:t>（</w:t>
            </w:r>
            <w:r>
              <w:rPr>
                <w:w w:val="99"/>
                <w:sz w:val="21"/>
              </w:rPr>
              <w:t>在</w:t>
            </w:r>
            <w:r>
              <w:rPr>
                <w:spacing w:val="-50"/>
                <w:sz w:val="21"/>
              </w:rPr>
              <w:t xml:space="preserve"> </w:t>
            </w:r>
            <w:r>
              <w:rPr>
                <w:spacing w:val="-3"/>
                <w:w w:val="99"/>
                <w:sz w:val="21"/>
              </w:rPr>
              <w:t>8</w:t>
            </w:r>
            <w:r>
              <w:rPr>
                <w:spacing w:val="1"/>
                <w:w w:val="99"/>
                <w:sz w:val="21"/>
              </w:rPr>
              <w:t>，</w:t>
            </w:r>
            <w:r>
              <w:rPr>
                <w:w w:val="99"/>
                <w:sz w:val="21"/>
              </w:rPr>
              <w:t>8.</w:t>
            </w:r>
            <w:r>
              <w:rPr>
                <w:spacing w:val="-3"/>
                <w:w w:val="99"/>
                <w:sz w:val="21"/>
              </w:rPr>
              <w:t>5</w:t>
            </w:r>
            <w:r>
              <w:rPr>
                <w:spacing w:val="1"/>
                <w:w w:val="99"/>
                <w:sz w:val="21"/>
              </w:rPr>
              <w:t>，</w:t>
            </w:r>
            <w:r>
              <w:rPr>
                <w:spacing w:val="-3"/>
                <w:w w:val="99"/>
                <w:sz w:val="21"/>
              </w:rPr>
              <w:t>9</w:t>
            </w:r>
            <w:r>
              <w:rPr>
                <w:spacing w:val="1"/>
                <w:w w:val="99"/>
                <w:sz w:val="21"/>
              </w:rPr>
              <w:t>，</w:t>
            </w:r>
            <w:r>
              <w:rPr>
                <w:w w:val="99"/>
                <w:sz w:val="21"/>
              </w:rPr>
              <w:t>9.</w:t>
            </w:r>
            <w:r>
              <w:rPr>
                <w:spacing w:val="-3"/>
                <w:w w:val="99"/>
                <w:sz w:val="21"/>
              </w:rPr>
              <w:t>5</w:t>
            </w:r>
            <w:r>
              <w:rPr>
                <w:spacing w:val="-1"/>
                <w:w w:val="99"/>
                <w:sz w:val="21"/>
              </w:rPr>
              <w:t>，</w:t>
            </w:r>
            <w:r>
              <w:rPr>
                <w:w w:val="99"/>
                <w:sz w:val="21"/>
              </w:rPr>
              <w:t xml:space="preserve"> </w:t>
            </w:r>
            <w:r>
              <w:rPr>
                <w:sz w:val="21"/>
              </w:rPr>
              <w:t>10</w:t>
            </w:r>
            <w:r>
              <w:rPr>
                <w:spacing w:val="-55"/>
                <w:sz w:val="21"/>
              </w:rPr>
              <w:t xml:space="preserve"> </w:t>
            </w:r>
            <w:r>
              <w:rPr>
                <w:sz w:val="21"/>
              </w:rPr>
              <w:t>共五个数值中选择）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483"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10.13</w:t>
            </w:r>
          </w:p>
        </w:tc>
        <w:tc>
          <w:tcPr>
            <w:tcW w:w="1920" w:type="dxa"/>
          </w:tcPr>
          <w:p>
            <w:pPr>
              <w:pStyle w:val="36"/>
              <w:spacing w:before="1"/>
              <w:rPr>
                <w:rFonts w:ascii="黑体"/>
                <w:b/>
                <w:sz w:val="29"/>
              </w:rPr>
            </w:pPr>
          </w:p>
          <w:p>
            <w:pPr>
              <w:pStyle w:val="36"/>
              <w:spacing w:before="1"/>
              <w:ind w:left="509"/>
              <w:rPr>
                <w:sz w:val="21"/>
              </w:rPr>
            </w:pPr>
            <w:r>
              <w:rPr>
                <w:sz w:val="21"/>
              </w:rPr>
              <w:t>本项目选用条款</w:t>
            </w:r>
          </w:p>
        </w:tc>
        <w:tc>
          <w:tcPr>
            <w:tcW w:w="6663" w:type="dxa"/>
            <w:gridSpan w:val="2"/>
          </w:tcPr>
          <w:p>
            <w:pPr>
              <w:pStyle w:val="36"/>
              <w:spacing w:before="99"/>
              <w:ind w:left="108"/>
              <w:rPr>
                <w:sz w:val="21"/>
              </w:rPr>
            </w:pPr>
            <w:r>
              <w:rPr>
                <w:sz w:val="21"/>
              </w:rPr>
              <w:t>招标文件的选用项中，在条款前的“□”有“</w:t>
            </w:r>
            <w:r>
              <w:rPr>
                <w:rFonts w:hint="eastAsia"/>
                <w:sz w:val="24"/>
              </w:rPr>
              <w:t>■</w:t>
            </w:r>
            <w:r>
              <w:rPr>
                <w:sz w:val="21"/>
              </w:rPr>
              <w:t>”的为本项目选</w:t>
            </w:r>
          </w:p>
          <w:p>
            <w:pPr>
              <w:pStyle w:val="36"/>
              <w:spacing w:before="7"/>
              <w:rPr>
                <w:rFonts w:ascii="黑体"/>
                <w:b/>
                <w:sz w:val="15"/>
              </w:rPr>
            </w:pPr>
          </w:p>
          <w:p>
            <w:pPr>
              <w:pStyle w:val="36"/>
              <w:ind w:left="108"/>
              <w:rPr>
                <w:sz w:val="21"/>
              </w:rPr>
            </w:pPr>
            <w:r>
              <w:rPr>
                <w:sz w:val="21"/>
              </w:rPr>
              <w:t>用条款，没有“</w:t>
            </w:r>
            <w:r>
              <w:rPr>
                <w:rFonts w:hint="eastAsia"/>
                <w:sz w:val="24"/>
              </w:rPr>
              <w:t>■</w:t>
            </w:r>
            <w:r>
              <w:rPr>
                <w:sz w:val="21"/>
              </w:rPr>
              <w:t>”的为本项目不选用条款。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1063"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10.14</w:t>
            </w:r>
          </w:p>
        </w:tc>
        <w:tc>
          <w:tcPr>
            <w:tcW w:w="8583" w:type="dxa"/>
            <w:gridSpan w:val="3"/>
          </w:tcPr>
          <w:p>
            <w:pPr>
              <w:pStyle w:val="36"/>
              <w:spacing w:before="78"/>
              <w:ind w:left="110"/>
              <w:rPr>
                <w:sz w:val="21"/>
              </w:rPr>
            </w:pPr>
            <w:r>
              <w:rPr>
                <w:sz w:val="21"/>
              </w:rPr>
              <w:t>信用评价结果以开标当天凌晨一时江门市建筑业企业信用管理信息系统公布的结果为准</w:t>
            </w:r>
          </w:p>
          <w:p>
            <w:pPr>
              <w:pStyle w:val="36"/>
              <w:spacing w:before="79" w:line="321" w:lineRule="auto"/>
              <w:ind w:left="107" w:right="20"/>
              <w:rPr>
                <w:sz w:val="21"/>
              </w:rPr>
            </w:pPr>
            <w:r>
              <w:rPr>
                <w:spacing w:val="-99"/>
                <w:sz w:val="21"/>
              </w:rPr>
              <w:t>（</w:t>
            </w:r>
            <w:r>
              <w:rPr>
                <w:spacing w:val="9"/>
                <w:sz w:val="21"/>
              </w:rPr>
              <w:t>“江门市建筑业企业信用管理信息系统”在每天凌晨一时更新发布信用评价结果，其</w:t>
            </w:r>
            <w:r>
              <w:rPr>
                <w:spacing w:val="-10"/>
                <w:sz w:val="21"/>
              </w:rPr>
              <w:t>余时间不变。</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80"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10.15</w:t>
            </w:r>
          </w:p>
        </w:tc>
        <w:tc>
          <w:tcPr>
            <w:tcW w:w="8583" w:type="dxa"/>
            <w:gridSpan w:val="3"/>
          </w:tcPr>
          <w:p>
            <w:pPr>
              <w:pStyle w:val="36"/>
              <w:spacing w:before="24"/>
              <w:ind w:left="108"/>
              <w:rPr>
                <w:sz w:val="21"/>
              </w:rPr>
            </w:pPr>
            <w:r>
              <w:rPr>
                <w:sz w:val="21"/>
              </w:rPr>
              <w:t>若业主就项目总投资控制或规划审批等原因要求修改初步设计，中标单位应无条件配合完成相对应的施工图设计。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780"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10.16</w:t>
            </w:r>
          </w:p>
        </w:tc>
        <w:tc>
          <w:tcPr>
            <w:tcW w:w="8583" w:type="dxa"/>
            <w:gridSpan w:val="3"/>
          </w:tcPr>
          <w:p>
            <w:pPr>
              <w:pStyle w:val="36"/>
              <w:spacing w:before="99"/>
              <w:ind w:left="110"/>
              <w:rPr>
                <w:b/>
                <w:sz w:val="21"/>
              </w:rPr>
            </w:pPr>
            <w:r>
              <w:rPr>
                <w:b/>
                <w:sz w:val="21"/>
              </w:rPr>
              <w:t>如招标文件要求投标人提供的相关证书（或证件）已实行电子化证书的只需提供电子证书打</w:t>
            </w:r>
          </w:p>
          <w:p>
            <w:pPr>
              <w:pStyle w:val="36"/>
              <w:spacing w:before="7"/>
              <w:rPr>
                <w:rFonts w:ascii="黑体"/>
                <w:b/>
                <w:sz w:val="15"/>
              </w:rPr>
            </w:pPr>
          </w:p>
          <w:p>
            <w:pPr>
              <w:pStyle w:val="36"/>
              <w:spacing w:before="24"/>
              <w:ind w:left="108"/>
              <w:rPr>
                <w:sz w:val="21"/>
              </w:rPr>
            </w:pPr>
            <w:r>
              <w:rPr>
                <w:b/>
                <w:sz w:val="21"/>
              </w:rPr>
              <w:t>印件并加盖公章或相关网站查询途径。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71" w:type="dxa"/>
          <w:trHeight w:val="6287" w:hRule="atLeast"/>
        </w:trPr>
        <w:tc>
          <w:tcPr>
            <w:tcW w:w="1164" w:type="dxa"/>
          </w:tcPr>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r>
              <w:rPr>
                <w:rFonts w:hint="eastAsia" w:ascii="Times New Roman"/>
                <w:sz w:val="21"/>
              </w:rPr>
              <w:t>10.17</w:t>
            </w: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236"/>
              <w:jc w:val="center"/>
              <w:rPr>
                <w:rFonts w:ascii="Times New Roman"/>
                <w:sz w:val="21"/>
              </w:rPr>
            </w:pPr>
          </w:p>
          <w:p>
            <w:pPr>
              <w:pStyle w:val="36"/>
              <w:spacing w:before="1"/>
              <w:ind w:left="244" w:right="135"/>
              <w:jc w:val="center"/>
              <w:rPr>
                <w:rFonts w:ascii="Times New Roman"/>
                <w:sz w:val="21"/>
              </w:rPr>
            </w:pPr>
          </w:p>
        </w:tc>
        <w:tc>
          <w:tcPr>
            <w:tcW w:w="1992" w:type="dxa"/>
            <w:gridSpan w:val="2"/>
          </w:tcPr>
          <w:p>
            <w:pPr>
              <w:pStyle w:val="36"/>
              <w:spacing w:before="99"/>
              <w:ind w:left="110"/>
              <w:rPr>
                <w:sz w:val="21"/>
              </w:rPr>
            </w:pPr>
          </w:p>
          <w:p>
            <w:pPr>
              <w:pStyle w:val="36"/>
              <w:spacing w:before="99"/>
              <w:ind w:left="110"/>
              <w:rPr>
                <w:sz w:val="21"/>
              </w:rPr>
            </w:pPr>
          </w:p>
          <w:p>
            <w:pPr>
              <w:pStyle w:val="36"/>
              <w:spacing w:before="99"/>
              <w:ind w:left="110"/>
              <w:rPr>
                <w:sz w:val="21"/>
              </w:rPr>
            </w:pPr>
          </w:p>
          <w:p>
            <w:pPr>
              <w:pStyle w:val="36"/>
              <w:spacing w:before="99"/>
              <w:ind w:left="110"/>
              <w:rPr>
                <w:sz w:val="21"/>
              </w:rPr>
            </w:pPr>
          </w:p>
          <w:p>
            <w:pPr>
              <w:pStyle w:val="36"/>
              <w:spacing w:before="99"/>
              <w:ind w:left="110"/>
              <w:rPr>
                <w:sz w:val="21"/>
              </w:rPr>
            </w:pPr>
          </w:p>
          <w:p>
            <w:pPr>
              <w:pStyle w:val="36"/>
              <w:spacing w:before="99"/>
              <w:ind w:left="110"/>
              <w:rPr>
                <w:sz w:val="21"/>
              </w:rPr>
            </w:pPr>
          </w:p>
          <w:p>
            <w:pPr>
              <w:pStyle w:val="36"/>
              <w:spacing w:before="99"/>
              <w:ind w:left="110"/>
              <w:rPr>
                <w:b/>
                <w:sz w:val="21"/>
              </w:rPr>
            </w:pPr>
            <w:r>
              <w:rPr>
                <w:sz w:val="21"/>
              </w:rPr>
              <w:t>材料参考品牌</w:t>
            </w:r>
          </w:p>
        </w:tc>
        <w:tc>
          <w:tcPr>
            <w:tcW w:w="6591" w:type="dxa"/>
          </w:tcPr>
          <w:p>
            <w:pPr>
              <w:pStyle w:val="36"/>
              <w:spacing w:before="99"/>
              <w:ind w:left="110"/>
              <w:rPr>
                <w:spacing w:val="9"/>
                <w:sz w:val="21"/>
              </w:rPr>
            </w:pPr>
            <w:r>
              <w:rPr>
                <w:spacing w:val="9"/>
                <w:sz w:val="21"/>
              </w:rPr>
              <w:t>1、投标人应根据招标人提供的材料清单、有关资料及有关规定，由各投标人自行选定材料并进行报价。投标人所报的材料的品牌必须符合招标文件所提供的参考品牌或者是高于此品牌的其他品牌，并必须保证所选品牌材料的技术指标、质量要求等条件至少达到参考品牌的技术指标、质量要求等条件。如与参考品牌不符，需提供其生产厂家、技术参数、售后服务等方面与参考品牌的对比表，以证明其档次达到参考品牌的要</w:t>
            </w:r>
            <w:r>
              <w:rPr>
                <w:rFonts w:hint="eastAsia"/>
                <w:spacing w:val="9"/>
                <w:sz w:val="21"/>
              </w:rPr>
              <w:t>求。</w:t>
            </w:r>
          </w:p>
          <w:p>
            <w:pPr>
              <w:pStyle w:val="36"/>
              <w:spacing w:before="99"/>
              <w:ind w:left="110"/>
              <w:rPr>
                <w:spacing w:val="9"/>
                <w:sz w:val="21"/>
              </w:rPr>
            </w:pPr>
            <w:r>
              <w:rPr>
                <w:rFonts w:hint="eastAsia"/>
                <w:spacing w:val="9"/>
                <w:sz w:val="21"/>
              </w:rPr>
              <w:t>2、若</w:t>
            </w:r>
            <w:r>
              <w:rPr>
                <w:spacing w:val="9"/>
                <w:sz w:val="21"/>
              </w:rPr>
              <w:t>在评标时未发现而在工程实施后发现报价内容不相符或未达到要求的，则在工程实施后，中标人必须按招标文件所提供的参考品牌要求完成工程，但该项内容的费用只按该项投标合价费用支付，招标人不予补回；另外，该项内容的增减工程以该项投标综合单价计付，并与按定额计算的综合单价（下浮后）进行对比，取低值。投标报价文件中未按要求选定材料品牌的投标人，将视为同意按招标人提供的参考样板进行施工和验收。</w:t>
            </w:r>
          </w:p>
          <w:p>
            <w:pPr>
              <w:pStyle w:val="36"/>
              <w:spacing w:before="99"/>
              <w:ind w:left="110"/>
              <w:rPr>
                <w:spacing w:val="9"/>
                <w:sz w:val="21"/>
              </w:rPr>
            </w:pPr>
            <w:r>
              <w:rPr>
                <w:rFonts w:hint="eastAsia"/>
                <w:spacing w:val="9"/>
                <w:sz w:val="21"/>
              </w:rPr>
              <w:t>3、</w:t>
            </w:r>
            <w:r>
              <w:rPr>
                <w:spacing w:val="9"/>
                <w:sz w:val="21"/>
              </w:rPr>
              <w:t>为确保工程主要材料的质量，承包人在施工前必须提供投标时所选材料样板给发包人和监理单位确认，并向监理单位办理材料报验手续，符合设计图纸及招标文件的质量要求的方可批准使用。在施工实施时发包人和监理单位将以施工前提供并经确认的材料样板作为质量验收依据，对所选用主要材料及配件进行检查验收，验收合格后方可投入使用。如发现货不对板的，发包人和监理单位有权拒绝使用，并由承包人承担由此造成的损失</w:t>
            </w:r>
            <w:r>
              <w:rPr>
                <w:rFonts w:hint="eastAsia"/>
                <w:spacing w:val="9"/>
                <w:sz w:val="21"/>
              </w:rPr>
              <w:t>。</w:t>
            </w:r>
          </w:p>
        </w:tc>
      </w:tr>
    </w:tbl>
    <w:p>
      <w:pPr>
        <w:spacing w:line="398" w:lineRule="exact"/>
        <w:rPr>
          <w:rFonts w:ascii="Times New Roman" w:eastAsiaTheme="minorEastAsia"/>
          <w:sz w:val="21"/>
        </w:rPr>
      </w:pPr>
    </w:p>
    <w:p>
      <w:pPr>
        <w:spacing w:line="398" w:lineRule="exact"/>
        <w:rPr>
          <w:rFonts w:ascii="Times New Roman" w:eastAsiaTheme="minorEastAsia"/>
          <w:sz w:val="21"/>
        </w:rPr>
      </w:pPr>
    </w:p>
    <w:p>
      <w:pPr>
        <w:spacing w:line="398" w:lineRule="exact"/>
        <w:rPr>
          <w:rFonts w:ascii="Times New Roman" w:eastAsiaTheme="minorEastAsia"/>
          <w:sz w:val="21"/>
        </w:rPr>
      </w:pPr>
    </w:p>
    <w:p>
      <w:pPr>
        <w:spacing w:before="62"/>
        <w:ind w:right="23"/>
        <w:jc w:val="center"/>
        <w:rPr>
          <w:sz w:val="28"/>
        </w:rPr>
      </w:pPr>
      <w:r>
        <w:rPr>
          <w:sz w:val="28"/>
        </w:rPr>
        <w:t>主要材料参考品牌明细表</w:t>
      </w:r>
    </w:p>
    <w:p>
      <w:pPr>
        <w:pStyle w:val="10"/>
        <w:spacing w:before="11"/>
        <w:rPr>
          <w:sz w:val="10"/>
        </w:rPr>
      </w:pPr>
    </w:p>
    <w:tbl>
      <w:tblPr>
        <w:tblStyle w:val="24"/>
        <w:tblW w:w="9781"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1675"/>
        <w:gridCol w:w="1523"/>
        <w:gridCol w:w="4042"/>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953" w:type="dxa"/>
          </w:tcPr>
          <w:p>
            <w:pPr>
              <w:pStyle w:val="36"/>
              <w:spacing w:before="190"/>
              <w:ind w:left="104" w:right="96"/>
              <w:jc w:val="center"/>
            </w:pPr>
            <w:r>
              <w:t>序号</w:t>
            </w:r>
          </w:p>
        </w:tc>
        <w:tc>
          <w:tcPr>
            <w:tcW w:w="1675" w:type="dxa"/>
          </w:tcPr>
          <w:p>
            <w:pPr>
              <w:pStyle w:val="36"/>
              <w:spacing w:before="190"/>
              <w:ind w:left="15" w:right="8"/>
              <w:jc w:val="center"/>
            </w:pPr>
            <w:r>
              <w:t>材料名称</w:t>
            </w:r>
          </w:p>
        </w:tc>
        <w:tc>
          <w:tcPr>
            <w:tcW w:w="1523" w:type="dxa"/>
          </w:tcPr>
          <w:p>
            <w:pPr>
              <w:pStyle w:val="36"/>
              <w:spacing w:before="190"/>
              <w:ind w:left="240" w:right="231"/>
              <w:jc w:val="center"/>
            </w:pPr>
            <w:r>
              <w:t>规格</w:t>
            </w:r>
          </w:p>
        </w:tc>
        <w:tc>
          <w:tcPr>
            <w:tcW w:w="4042" w:type="dxa"/>
          </w:tcPr>
          <w:p>
            <w:pPr>
              <w:pStyle w:val="36"/>
              <w:spacing w:before="190"/>
              <w:ind w:left="9"/>
              <w:jc w:val="center"/>
            </w:pPr>
            <w:r>
              <w:t>参考品牌</w:t>
            </w:r>
          </w:p>
        </w:tc>
        <w:tc>
          <w:tcPr>
            <w:tcW w:w="1588" w:type="dxa"/>
          </w:tcPr>
          <w:p>
            <w:pPr>
              <w:pStyle w:val="36"/>
              <w:spacing w:before="31"/>
              <w:ind w:left="10"/>
              <w:jc w:val="center"/>
            </w:pPr>
            <w:r>
              <w:t>质量等级（国</w:t>
            </w:r>
          </w:p>
          <w:p>
            <w:pPr>
              <w:pStyle w:val="36"/>
              <w:spacing w:before="38" w:line="279" w:lineRule="exact"/>
              <w:ind w:left="10"/>
              <w:jc w:val="center"/>
            </w:pPr>
            <w:r>
              <w:t>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2" w:hRule="atLeast"/>
        </w:trPr>
        <w:tc>
          <w:tcPr>
            <w:tcW w:w="953" w:type="dxa"/>
          </w:tcPr>
          <w:p>
            <w:pPr>
              <w:pStyle w:val="36"/>
              <w:rPr>
                <w:sz w:val="19"/>
              </w:rPr>
            </w:pPr>
          </w:p>
          <w:p>
            <w:pPr>
              <w:pStyle w:val="36"/>
              <w:ind w:left="7"/>
              <w:jc w:val="center"/>
              <w:rPr>
                <w:sz w:val="20"/>
              </w:rPr>
            </w:pPr>
            <w:r>
              <w:rPr>
                <w:w w:val="99"/>
                <w:sz w:val="20"/>
              </w:rPr>
              <w:t>1</w:t>
            </w:r>
          </w:p>
        </w:tc>
        <w:tc>
          <w:tcPr>
            <w:tcW w:w="1675" w:type="dxa"/>
          </w:tcPr>
          <w:p>
            <w:pPr>
              <w:pStyle w:val="36"/>
              <w:rPr>
                <w:sz w:val="19"/>
              </w:rPr>
            </w:pPr>
          </w:p>
          <w:p>
            <w:pPr>
              <w:pStyle w:val="36"/>
              <w:ind w:left="15" w:right="10"/>
              <w:jc w:val="center"/>
              <w:rPr>
                <w:sz w:val="20"/>
              </w:rPr>
            </w:pPr>
            <w:r>
              <w:rPr>
                <w:sz w:val="20"/>
              </w:rPr>
              <w:t>钢筋</w:t>
            </w:r>
          </w:p>
        </w:tc>
        <w:tc>
          <w:tcPr>
            <w:tcW w:w="1523" w:type="dxa"/>
          </w:tcPr>
          <w:p>
            <w:pPr>
              <w:pStyle w:val="36"/>
              <w:rPr>
                <w:sz w:val="19"/>
              </w:rPr>
            </w:pPr>
          </w:p>
          <w:p>
            <w:pPr>
              <w:pStyle w:val="36"/>
              <w:ind w:left="240" w:right="232"/>
              <w:jc w:val="center"/>
              <w:rPr>
                <w:sz w:val="20"/>
              </w:rPr>
            </w:pPr>
            <w:r>
              <w:rPr>
                <w:sz w:val="20"/>
              </w:rPr>
              <w:t>按设计要求</w:t>
            </w:r>
          </w:p>
        </w:tc>
        <w:tc>
          <w:tcPr>
            <w:tcW w:w="4042" w:type="dxa"/>
          </w:tcPr>
          <w:p>
            <w:pPr>
              <w:pStyle w:val="36"/>
              <w:spacing w:before="21" w:line="320" w:lineRule="atLeast"/>
              <w:ind w:left="620" w:right="11" w:hanging="600"/>
              <w:rPr>
                <w:sz w:val="20"/>
              </w:rPr>
            </w:pPr>
            <w:r>
              <w:rPr>
                <w:sz w:val="20"/>
              </w:rPr>
              <w:t>广东韶关、珠海粤裕丰、柳州钢铁、阳春新钢铁（湘钢牌）、河钢（燕山牌）</w:t>
            </w:r>
          </w:p>
        </w:tc>
        <w:tc>
          <w:tcPr>
            <w:tcW w:w="1588" w:type="dxa"/>
          </w:tcPr>
          <w:p>
            <w:pPr>
              <w:pStyle w:val="36"/>
              <w:rPr>
                <w:sz w:val="19"/>
              </w:rPr>
            </w:pPr>
          </w:p>
          <w:p>
            <w:pPr>
              <w:pStyle w:val="36"/>
              <w:ind w:left="279"/>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2" w:hRule="atLeast"/>
        </w:trPr>
        <w:tc>
          <w:tcPr>
            <w:tcW w:w="953" w:type="dxa"/>
          </w:tcPr>
          <w:p>
            <w:pPr>
              <w:pStyle w:val="36"/>
              <w:spacing w:before="12"/>
              <w:rPr>
                <w:sz w:val="18"/>
              </w:rPr>
            </w:pPr>
          </w:p>
          <w:p>
            <w:pPr>
              <w:pStyle w:val="36"/>
              <w:ind w:left="7"/>
              <w:jc w:val="center"/>
              <w:rPr>
                <w:sz w:val="20"/>
              </w:rPr>
            </w:pPr>
            <w:r>
              <w:rPr>
                <w:w w:val="99"/>
                <w:sz w:val="20"/>
              </w:rPr>
              <w:t>2</w:t>
            </w:r>
          </w:p>
        </w:tc>
        <w:tc>
          <w:tcPr>
            <w:tcW w:w="1675" w:type="dxa"/>
          </w:tcPr>
          <w:p>
            <w:pPr>
              <w:pStyle w:val="36"/>
              <w:spacing w:before="12"/>
              <w:rPr>
                <w:sz w:val="18"/>
              </w:rPr>
            </w:pPr>
          </w:p>
          <w:p>
            <w:pPr>
              <w:pStyle w:val="36"/>
              <w:ind w:left="15" w:right="6"/>
              <w:jc w:val="center"/>
              <w:rPr>
                <w:sz w:val="20"/>
              </w:rPr>
            </w:pPr>
            <w:r>
              <w:rPr>
                <w:sz w:val="20"/>
              </w:rPr>
              <w:t>钢纹线</w:t>
            </w:r>
          </w:p>
        </w:tc>
        <w:tc>
          <w:tcPr>
            <w:tcW w:w="1523" w:type="dxa"/>
          </w:tcPr>
          <w:p>
            <w:pPr>
              <w:pStyle w:val="36"/>
              <w:spacing w:before="12"/>
              <w:rPr>
                <w:sz w:val="18"/>
              </w:rPr>
            </w:pPr>
          </w:p>
          <w:p>
            <w:pPr>
              <w:pStyle w:val="36"/>
              <w:ind w:left="240" w:right="232"/>
              <w:jc w:val="center"/>
              <w:rPr>
                <w:sz w:val="20"/>
              </w:rPr>
            </w:pPr>
            <w:r>
              <w:rPr>
                <w:sz w:val="20"/>
              </w:rPr>
              <w:t>按设计要求</w:t>
            </w:r>
          </w:p>
        </w:tc>
        <w:tc>
          <w:tcPr>
            <w:tcW w:w="4042" w:type="dxa"/>
          </w:tcPr>
          <w:p>
            <w:pPr>
              <w:pStyle w:val="36"/>
              <w:spacing w:before="21" w:line="320" w:lineRule="atLeast"/>
              <w:ind w:left="1719" w:right="11" w:hanging="1700"/>
              <w:rPr>
                <w:sz w:val="20"/>
              </w:rPr>
            </w:pPr>
            <w:r>
              <w:rPr>
                <w:w w:val="95"/>
                <w:sz w:val="20"/>
              </w:rPr>
              <w:t xml:space="preserve">江西华新、江阴华新、宝钢集团、天津冶金钢 </w:t>
            </w:r>
            <w:r>
              <w:rPr>
                <w:sz w:val="20"/>
              </w:rPr>
              <w:t>线钢缆</w:t>
            </w:r>
          </w:p>
        </w:tc>
        <w:tc>
          <w:tcPr>
            <w:tcW w:w="1588" w:type="dxa"/>
          </w:tcPr>
          <w:p>
            <w:pPr>
              <w:pStyle w:val="36"/>
              <w:spacing w:before="12"/>
              <w:rPr>
                <w:sz w:val="18"/>
              </w:rPr>
            </w:pPr>
          </w:p>
          <w:p>
            <w:pPr>
              <w:pStyle w:val="36"/>
              <w:ind w:left="279"/>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1" w:hRule="atLeast"/>
        </w:trPr>
        <w:tc>
          <w:tcPr>
            <w:tcW w:w="953" w:type="dxa"/>
          </w:tcPr>
          <w:p>
            <w:pPr>
              <w:pStyle w:val="36"/>
              <w:spacing w:before="12"/>
              <w:rPr>
                <w:sz w:val="18"/>
              </w:rPr>
            </w:pPr>
          </w:p>
          <w:p>
            <w:pPr>
              <w:pStyle w:val="36"/>
              <w:ind w:left="7"/>
              <w:jc w:val="center"/>
              <w:rPr>
                <w:sz w:val="20"/>
              </w:rPr>
            </w:pPr>
            <w:r>
              <w:rPr>
                <w:w w:val="99"/>
                <w:sz w:val="20"/>
              </w:rPr>
              <w:t>3</w:t>
            </w:r>
          </w:p>
        </w:tc>
        <w:tc>
          <w:tcPr>
            <w:tcW w:w="1675" w:type="dxa"/>
          </w:tcPr>
          <w:p>
            <w:pPr>
              <w:pStyle w:val="36"/>
              <w:spacing w:before="12"/>
              <w:rPr>
                <w:sz w:val="18"/>
              </w:rPr>
            </w:pPr>
          </w:p>
          <w:p>
            <w:pPr>
              <w:pStyle w:val="36"/>
              <w:ind w:left="15" w:right="10"/>
              <w:jc w:val="center"/>
              <w:rPr>
                <w:sz w:val="20"/>
              </w:rPr>
            </w:pPr>
            <w:r>
              <w:rPr>
                <w:sz w:val="20"/>
              </w:rPr>
              <w:t>水泥</w:t>
            </w:r>
          </w:p>
        </w:tc>
        <w:tc>
          <w:tcPr>
            <w:tcW w:w="1523" w:type="dxa"/>
          </w:tcPr>
          <w:p>
            <w:pPr>
              <w:pStyle w:val="36"/>
              <w:spacing w:before="12"/>
              <w:rPr>
                <w:sz w:val="18"/>
              </w:rPr>
            </w:pPr>
          </w:p>
          <w:p>
            <w:pPr>
              <w:pStyle w:val="36"/>
              <w:ind w:left="240" w:right="232"/>
              <w:jc w:val="center"/>
              <w:rPr>
                <w:sz w:val="20"/>
              </w:rPr>
            </w:pPr>
            <w:r>
              <w:rPr>
                <w:sz w:val="20"/>
              </w:rPr>
              <w:t>按设计要求</w:t>
            </w:r>
          </w:p>
        </w:tc>
        <w:tc>
          <w:tcPr>
            <w:tcW w:w="4042" w:type="dxa"/>
          </w:tcPr>
          <w:p>
            <w:pPr>
              <w:pStyle w:val="36"/>
              <w:spacing w:before="21" w:line="320" w:lineRule="atLeast"/>
              <w:ind w:left="1321" w:right="11" w:hanging="1301"/>
              <w:rPr>
                <w:sz w:val="20"/>
              </w:rPr>
            </w:pPr>
            <w:r>
              <w:rPr>
                <w:sz w:val="20"/>
              </w:rPr>
              <w:t>台泥牌、经纶牌、润辉牌、江门海螺牌、广东清新牌、江山牌</w:t>
            </w:r>
          </w:p>
        </w:tc>
        <w:tc>
          <w:tcPr>
            <w:tcW w:w="1588" w:type="dxa"/>
          </w:tcPr>
          <w:p>
            <w:pPr>
              <w:pStyle w:val="36"/>
              <w:spacing w:before="12"/>
              <w:rPr>
                <w:sz w:val="18"/>
              </w:rPr>
            </w:pPr>
          </w:p>
          <w:p>
            <w:pPr>
              <w:pStyle w:val="36"/>
              <w:ind w:left="279"/>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2" w:hRule="atLeast"/>
        </w:trPr>
        <w:tc>
          <w:tcPr>
            <w:tcW w:w="953" w:type="dxa"/>
          </w:tcPr>
          <w:p>
            <w:pPr>
              <w:pStyle w:val="36"/>
              <w:spacing w:before="1"/>
              <w:rPr>
                <w:sz w:val="19"/>
              </w:rPr>
            </w:pPr>
          </w:p>
          <w:p>
            <w:pPr>
              <w:pStyle w:val="36"/>
              <w:ind w:left="7"/>
              <w:jc w:val="center"/>
              <w:rPr>
                <w:sz w:val="20"/>
              </w:rPr>
            </w:pPr>
            <w:r>
              <w:rPr>
                <w:w w:val="99"/>
                <w:sz w:val="20"/>
              </w:rPr>
              <w:t>4</w:t>
            </w:r>
          </w:p>
        </w:tc>
        <w:tc>
          <w:tcPr>
            <w:tcW w:w="1675" w:type="dxa"/>
          </w:tcPr>
          <w:p>
            <w:pPr>
              <w:pStyle w:val="36"/>
              <w:spacing w:before="1"/>
              <w:rPr>
                <w:sz w:val="19"/>
              </w:rPr>
            </w:pPr>
          </w:p>
          <w:p>
            <w:pPr>
              <w:pStyle w:val="36"/>
              <w:ind w:left="15" w:right="10"/>
              <w:jc w:val="center"/>
              <w:rPr>
                <w:sz w:val="20"/>
              </w:rPr>
            </w:pPr>
            <w:r>
              <w:rPr>
                <w:sz w:val="20"/>
              </w:rPr>
              <w:t>铝材</w:t>
            </w:r>
          </w:p>
        </w:tc>
        <w:tc>
          <w:tcPr>
            <w:tcW w:w="1523" w:type="dxa"/>
          </w:tcPr>
          <w:p>
            <w:pPr>
              <w:pStyle w:val="36"/>
              <w:spacing w:before="1"/>
              <w:rPr>
                <w:sz w:val="19"/>
              </w:rPr>
            </w:pPr>
          </w:p>
          <w:p>
            <w:pPr>
              <w:pStyle w:val="36"/>
              <w:ind w:left="240" w:right="232"/>
              <w:jc w:val="center"/>
              <w:rPr>
                <w:sz w:val="20"/>
              </w:rPr>
            </w:pPr>
            <w:r>
              <w:rPr>
                <w:sz w:val="20"/>
              </w:rPr>
              <w:t>按设计要求</w:t>
            </w:r>
          </w:p>
        </w:tc>
        <w:tc>
          <w:tcPr>
            <w:tcW w:w="4042" w:type="dxa"/>
          </w:tcPr>
          <w:p>
            <w:pPr>
              <w:pStyle w:val="36"/>
              <w:spacing w:before="1"/>
              <w:rPr>
                <w:sz w:val="19"/>
              </w:rPr>
            </w:pPr>
          </w:p>
          <w:p>
            <w:pPr>
              <w:pStyle w:val="36"/>
              <w:ind w:left="6"/>
              <w:jc w:val="center"/>
              <w:rPr>
                <w:sz w:val="20"/>
              </w:rPr>
            </w:pPr>
            <w:r>
              <w:rPr>
                <w:sz w:val="20"/>
              </w:rPr>
              <w:t>永利坚、季华、新银、新河、国耀</w:t>
            </w:r>
          </w:p>
        </w:tc>
        <w:tc>
          <w:tcPr>
            <w:tcW w:w="1588" w:type="dxa"/>
          </w:tcPr>
          <w:p>
            <w:pPr>
              <w:pStyle w:val="36"/>
              <w:spacing w:before="1"/>
              <w:rPr>
                <w:sz w:val="19"/>
              </w:rPr>
            </w:pPr>
          </w:p>
          <w:p>
            <w:pPr>
              <w:pStyle w:val="36"/>
              <w:ind w:left="279"/>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2" w:hRule="atLeast"/>
        </w:trPr>
        <w:tc>
          <w:tcPr>
            <w:tcW w:w="953" w:type="dxa"/>
          </w:tcPr>
          <w:p>
            <w:pPr>
              <w:pStyle w:val="36"/>
              <w:spacing w:before="1"/>
              <w:rPr>
                <w:sz w:val="19"/>
              </w:rPr>
            </w:pPr>
          </w:p>
          <w:p>
            <w:pPr>
              <w:pStyle w:val="36"/>
              <w:ind w:left="7"/>
              <w:jc w:val="center"/>
              <w:rPr>
                <w:sz w:val="20"/>
              </w:rPr>
            </w:pPr>
            <w:r>
              <w:rPr>
                <w:w w:val="99"/>
                <w:sz w:val="20"/>
              </w:rPr>
              <w:t>5</w:t>
            </w:r>
          </w:p>
        </w:tc>
        <w:tc>
          <w:tcPr>
            <w:tcW w:w="1675" w:type="dxa"/>
          </w:tcPr>
          <w:p>
            <w:pPr>
              <w:pStyle w:val="36"/>
              <w:spacing w:before="1"/>
              <w:rPr>
                <w:sz w:val="19"/>
              </w:rPr>
            </w:pPr>
          </w:p>
          <w:p>
            <w:pPr>
              <w:pStyle w:val="36"/>
              <w:ind w:left="15" w:right="10"/>
              <w:jc w:val="center"/>
              <w:rPr>
                <w:sz w:val="20"/>
              </w:rPr>
            </w:pPr>
            <w:r>
              <w:rPr>
                <w:sz w:val="20"/>
              </w:rPr>
              <w:t>玻璃</w:t>
            </w:r>
          </w:p>
        </w:tc>
        <w:tc>
          <w:tcPr>
            <w:tcW w:w="1523" w:type="dxa"/>
          </w:tcPr>
          <w:p>
            <w:pPr>
              <w:pStyle w:val="36"/>
              <w:spacing w:before="1"/>
              <w:rPr>
                <w:sz w:val="19"/>
              </w:rPr>
            </w:pPr>
          </w:p>
          <w:p>
            <w:pPr>
              <w:pStyle w:val="36"/>
              <w:ind w:left="240" w:right="232"/>
              <w:jc w:val="center"/>
              <w:rPr>
                <w:sz w:val="20"/>
              </w:rPr>
            </w:pPr>
            <w:r>
              <w:rPr>
                <w:sz w:val="20"/>
              </w:rPr>
              <w:t>按设计要求</w:t>
            </w:r>
          </w:p>
        </w:tc>
        <w:tc>
          <w:tcPr>
            <w:tcW w:w="4042" w:type="dxa"/>
          </w:tcPr>
          <w:p>
            <w:pPr>
              <w:pStyle w:val="36"/>
              <w:spacing w:before="1"/>
              <w:rPr>
                <w:sz w:val="19"/>
              </w:rPr>
            </w:pPr>
          </w:p>
          <w:p>
            <w:pPr>
              <w:pStyle w:val="36"/>
              <w:ind w:left="6"/>
              <w:jc w:val="center"/>
              <w:rPr>
                <w:sz w:val="20"/>
              </w:rPr>
            </w:pPr>
            <w:r>
              <w:rPr>
                <w:sz w:val="20"/>
              </w:rPr>
              <w:t>信义、中玻、旗滨、沙玻、福耀</w:t>
            </w:r>
          </w:p>
        </w:tc>
        <w:tc>
          <w:tcPr>
            <w:tcW w:w="1588" w:type="dxa"/>
          </w:tcPr>
          <w:p>
            <w:pPr>
              <w:pStyle w:val="36"/>
              <w:spacing w:before="1"/>
              <w:rPr>
                <w:sz w:val="19"/>
              </w:rPr>
            </w:pPr>
          </w:p>
          <w:p>
            <w:pPr>
              <w:pStyle w:val="36"/>
              <w:ind w:left="279"/>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rPr>
                <w:sz w:val="19"/>
              </w:rPr>
            </w:pPr>
          </w:p>
          <w:p>
            <w:pPr>
              <w:pStyle w:val="36"/>
              <w:ind w:left="7"/>
              <w:jc w:val="center"/>
              <w:rPr>
                <w:sz w:val="20"/>
              </w:rPr>
            </w:pPr>
            <w:r>
              <w:rPr>
                <w:w w:val="99"/>
                <w:sz w:val="20"/>
              </w:rPr>
              <w:t>6</w:t>
            </w:r>
          </w:p>
        </w:tc>
        <w:tc>
          <w:tcPr>
            <w:tcW w:w="1675" w:type="dxa"/>
          </w:tcPr>
          <w:p>
            <w:pPr>
              <w:pStyle w:val="36"/>
              <w:rPr>
                <w:sz w:val="19"/>
              </w:rPr>
            </w:pPr>
          </w:p>
          <w:p>
            <w:pPr>
              <w:pStyle w:val="36"/>
              <w:ind w:left="15" w:right="8"/>
              <w:jc w:val="center"/>
              <w:rPr>
                <w:sz w:val="20"/>
              </w:rPr>
            </w:pPr>
            <w:r>
              <w:rPr>
                <w:sz w:val="20"/>
              </w:rPr>
              <w:t>塑钢门、塑钢窗</w:t>
            </w:r>
          </w:p>
        </w:tc>
        <w:tc>
          <w:tcPr>
            <w:tcW w:w="1523" w:type="dxa"/>
          </w:tcPr>
          <w:p>
            <w:pPr>
              <w:pStyle w:val="36"/>
              <w:rPr>
                <w:sz w:val="19"/>
              </w:rPr>
            </w:pPr>
          </w:p>
          <w:p>
            <w:pPr>
              <w:pStyle w:val="36"/>
              <w:ind w:left="240" w:right="232"/>
              <w:jc w:val="center"/>
              <w:rPr>
                <w:sz w:val="20"/>
              </w:rPr>
            </w:pPr>
            <w:r>
              <w:rPr>
                <w:sz w:val="20"/>
              </w:rPr>
              <w:t>按设计要求</w:t>
            </w:r>
          </w:p>
        </w:tc>
        <w:tc>
          <w:tcPr>
            <w:tcW w:w="4042" w:type="dxa"/>
          </w:tcPr>
          <w:p>
            <w:pPr>
              <w:pStyle w:val="36"/>
              <w:rPr>
                <w:sz w:val="19"/>
              </w:rPr>
            </w:pPr>
          </w:p>
          <w:p>
            <w:pPr>
              <w:pStyle w:val="36"/>
              <w:ind w:left="9"/>
              <w:jc w:val="center"/>
              <w:rPr>
                <w:sz w:val="20"/>
              </w:rPr>
            </w:pPr>
            <w:r>
              <w:rPr>
                <w:sz w:val="20"/>
              </w:rPr>
              <w:t>顾地、大连实德、海螺</w:t>
            </w:r>
          </w:p>
        </w:tc>
        <w:tc>
          <w:tcPr>
            <w:tcW w:w="1588" w:type="dxa"/>
          </w:tcPr>
          <w:p>
            <w:pPr>
              <w:pStyle w:val="36"/>
              <w:rPr>
                <w:sz w:val="19"/>
              </w:rPr>
            </w:pPr>
          </w:p>
          <w:p>
            <w:pPr>
              <w:pStyle w:val="36"/>
              <w:ind w:left="279"/>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p>
          <w:p>
            <w:pPr>
              <w:pStyle w:val="36"/>
              <w:jc w:val="center"/>
              <w:rPr>
                <w:sz w:val="19"/>
              </w:rPr>
            </w:pPr>
            <w:r>
              <w:rPr>
                <w:w w:val="99"/>
                <w:sz w:val="20"/>
              </w:rPr>
              <w:t>7</w:t>
            </w:r>
          </w:p>
        </w:tc>
        <w:tc>
          <w:tcPr>
            <w:tcW w:w="1675" w:type="dxa"/>
          </w:tcPr>
          <w:p>
            <w:pPr>
              <w:pStyle w:val="36"/>
              <w:jc w:val="center"/>
              <w:rPr>
                <w:sz w:val="19"/>
              </w:rPr>
            </w:pPr>
            <w:r>
              <w:rPr>
                <w:sz w:val="20"/>
              </w:rPr>
              <w:t>防火门、防火窗、防火卷帘</w:t>
            </w:r>
          </w:p>
        </w:tc>
        <w:tc>
          <w:tcPr>
            <w:tcW w:w="1523" w:type="dxa"/>
          </w:tcPr>
          <w:p>
            <w:pPr>
              <w:pStyle w:val="36"/>
              <w:jc w:val="center"/>
              <w:rPr>
                <w:sz w:val="19"/>
              </w:rPr>
            </w:pPr>
          </w:p>
          <w:p>
            <w:pPr>
              <w:pStyle w:val="36"/>
              <w:jc w:val="center"/>
              <w:rPr>
                <w:sz w:val="19"/>
              </w:rPr>
            </w:pPr>
            <w:r>
              <w:rPr>
                <w:sz w:val="20"/>
              </w:rPr>
              <w:t>按设计要求</w:t>
            </w:r>
          </w:p>
        </w:tc>
        <w:tc>
          <w:tcPr>
            <w:tcW w:w="4042" w:type="dxa"/>
          </w:tcPr>
          <w:p>
            <w:pPr>
              <w:pStyle w:val="36"/>
              <w:jc w:val="center"/>
              <w:rPr>
                <w:sz w:val="19"/>
              </w:rPr>
            </w:pPr>
            <w:r>
              <w:rPr>
                <w:sz w:val="20"/>
              </w:rPr>
              <w:t>江门汇丰防火门、广东汇合丰防火门、东莞永安消防器材厂、广东方大安防技术有限公司</w:t>
            </w:r>
          </w:p>
        </w:tc>
        <w:tc>
          <w:tcPr>
            <w:tcW w:w="1588" w:type="dxa"/>
          </w:tcPr>
          <w:p>
            <w:pPr>
              <w:pStyle w:val="36"/>
              <w:jc w:val="center"/>
              <w:rPr>
                <w:sz w:val="19"/>
              </w:rPr>
            </w:pPr>
            <w:r>
              <w:rPr>
                <w:sz w:val="20"/>
              </w:rPr>
              <w:t>符合消防验收标准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spacing w:before="12"/>
              <w:rPr>
                <w:sz w:val="18"/>
              </w:rPr>
            </w:pPr>
          </w:p>
          <w:p>
            <w:pPr>
              <w:pStyle w:val="36"/>
              <w:jc w:val="center"/>
              <w:rPr>
                <w:sz w:val="19"/>
              </w:rPr>
            </w:pPr>
            <w:r>
              <w:rPr>
                <w:w w:val="99"/>
                <w:sz w:val="20"/>
              </w:rPr>
              <w:t>8</w:t>
            </w:r>
          </w:p>
        </w:tc>
        <w:tc>
          <w:tcPr>
            <w:tcW w:w="1675" w:type="dxa"/>
          </w:tcPr>
          <w:p>
            <w:pPr>
              <w:pStyle w:val="36"/>
              <w:spacing w:before="12"/>
              <w:rPr>
                <w:sz w:val="18"/>
              </w:rPr>
            </w:pPr>
          </w:p>
          <w:p>
            <w:pPr>
              <w:pStyle w:val="36"/>
              <w:jc w:val="center"/>
              <w:rPr>
                <w:sz w:val="20"/>
              </w:rPr>
            </w:pPr>
            <w:r>
              <w:rPr>
                <w:sz w:val="20"/>
              </w:rPr>
              <w:t>外墙饰面砖</w:t>
            </w:r>
          </w:p>
        </w:tc>
        <w:tc>
          <w:tcPr>
            <w:tcW w:w="1523" w:type="dxa"/>
          </w:tcPr>
          <w:p>
            <w:pPr>
              <w:pStyle w:val="36"/>
              <w:spacing w:before="12"/>
              <w:rPr>
                <w:sz w:val="18"/>
              </w:rPr>
            </w:pPr>
          </w:p>
          <w:p>
            <w:pPr>
              <w:pStyle w:val="36"/>
              <w:jc w:val="center"/>
              <w:rPr>
                <w:sz w:val="19"/>
              </w:rPr>
            </w:pPr>
            <w:r>
              <w:rPr>
                <w:sz w:val="20"/>
              </w:rPr>
              <w:t>按设计要求</w:t>
            </w:r>
          </w:p>
        </w:tc>
        <w:tc>
          <w:tcPr>
            <w:tcW w:w="4042" w:type="dxa"/>
          </w:tcPr>
          <w:p>
            <w:pPr>
              <w:pStyle w:val="36"/>
              <w:spacing w:before="12"/>
              <w:rPr>
                <w:sz w:val="18"/>
              </w:rPr>
            </w:pPr>
          </w:p>
          <w:p>
            <w:pPr>
              <w:pStyle w:val="36"/>
              <w:jc w:val="center"/>
              <w:rPr>
                <w:sz w:val="20"/>
              </w:rPr>
            </w:pPr>
            <w:r>
              <w:rPr>
                <w:sz w:val="20"/>
              </w:rPr>
              <w:t>白兔</w:t>
            </w:r>
            <w:r>
              <w:rPr>
                <w:rFonts w:hint="eastAsia"/>
                <w:sz w:val="20"/>
              </w:rPr>
              <w:t>、</w:t>
            </w:r>
            <w:r>
              <w:rPr>
                <w:sz w:val="20"/>
              </w:rPr>
              <w:t>冠珠、钻石、英基、创域、世标、百冠</w:t>
            </w:r>
          </w:p>
        </w:tc>
        <w:tc>
          <w:tcPr>
            <w:tcW w:w="1588" w:type="dxa"/>
          </w:tcPr>
          <w:p>
            <w:pPr>
              <w:pStyle w:val="36"/>
              <w:spacing w:before="12"/>
              <w:rPr>
                <w:sz w:val="18"/>
              </w:rPr>
            </w:pPr>
          </w:p>
          <w:p>
            <w:pPr>
              <w:pStyle w:val="36"/>
              <w:jc w:val="center"/>
              <w:rPr>
                <w:sz w:val="20"/>
              </w:rPr>
            </w:pPr>
            <w:r>
              <w:rPr>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spacing w:before="12"/>
              <w:rPr>
                <w:sz w:val="18"/>
              </w:rPr>
            </w:pPr>
          </w:p>
          <w:p>
            <w:pPr>
              <w:pStyle w:val="36"/>
              <w:jc w:val="center"/>
              <w:rPr>
                <w:sz w:val="19"/>
              </w:rPr>
            </w:pPr>
            <w:r>
              <w:rPr>
                <w:w w:val="99"/>
                <w:sz w:val="20"/>
              </w:rPr>
              <w:t>9</w:t>
            </w:r>
          </w:p>
        </w:tc>
        <w:tc>
          <w:tcPr>
            <w:tcW w:w="1675" w:type="dxa"/>
          </w:tcPr>
          <w:p>
            <w:pPr>
              <w:pStyle w:val="36"/>
              <w:spacing w:before="12"/>
              <w:rPr>
                <w:sz w:val="18"/>
              </w:rPr>
            </w:pPr>
          </w:p>
          <w:p>
            <w:pPr>
              <w:pStyle w:val="36"/>
              <w:jc w:val="center"/>
              <w:rPr>
                <w:sz w:val="20"/>
              </w:rPr>
            </w:pPr>
            <w:r>
              <w:rPr>
                <w:sz w:val="20"/>
              </w:rPr>
              <w:t>抛光砖</w:t>
            </w:r>
          </w:p>
        </w:tc>
        <w:tc>
          <w:tcPr>
            <w:tcW w:w="1523" w:type="dxa"/>
          </w:tcPr>
          <w:p>
            <w:pPr>
              <w:pStyle w:val="36"/>
              <w:spacing w:before="12"/>
              <w:rPr>
                <w:sz w:val="18"/>
              </w:rPr>
            </w:pPr>
          </w:p>
          <w:p>
            <w:pPr>
              <w:pStyle w:val="36"/>
              <w:jc w:val="center"/>
              <w:rPr>
                <w:sz w:val="19"/>
              </w:rPr>
            </w:pPr>
            <w:r>
              <w:rPr>
                <w:sz w:val="20"/>
              </w:rPr>
              <w:t>综合</w:t>
            </w:r>
          </w:p>
        </w:tc>
        <w:tc>
          <w:tcPr>
            <w:tcW w:w="4042" w:type="dxa"/>
          </w:tcPr>
          <w:p>
            <w:pPr>
              <w:pStyle w:val="36"/>
              <w:spacing w:before="84" w:line="207" w:lineRule="exact"/>
              <w:ind w:left="13"/>
              <w:rPr>
                <w:sz w:val="20"/>
              </w:rPr>
            </w:pPr>
            <w:r>
              <w:rPr>
                <w:sz w:val="20"/>
              </w:rPr>
              <w:t>白兔、腾达、协进、冠珠、钻石、英基、创域、</w:t>
            </w:r>
          </w:p>
          <w:p>
            <w:pPr>
              <w:pStyle w:val="36"/>
              <w:spacing w:line="160" w:lineRule="exact"/>
              <w:ind w:left="4523"/>
              <w:rPr>
                <w:sz w:val="20"/>
              </w:rPr>
            </w:pPr>
            <w:r>
              <w:rPr>
                <w:sz w:val="20"/>
              </w:rPr>
              <w:t>优等</w:t>
            </w:r>
          </w:p>
          <w:p>
            <w:pPr>
              <w:pStyle w:val="36"/>
              <w:jc w:val="center"/>
              <w:rPr>
                <w:sz w:val="20"/>
              </w:rPr>
            </w:pPr>
            <w:r>
              <w:rPr>
                <w:sz w:val="20"/>
              </w:rPr>
              <w:t>世标、百冠</w:t>
            </w:r>
          </w:p>
        </w:tc>
        <w:tc>
          <w:tcPr>
            <w:tcW w:w="1588" w:type="dxa"/>
          </w:tcPr>
          <w:p>
            <w:pPr>
              <w:pStyle w:val="36"/>
              <w:jc w:val="center"/>
              <w:rPr>
                <w:sz w:val="20"/>
              </w:rPr>
            </w:pPr>
            <w:r>
              <w:rPr>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spacing w:before="1"/>
              <w:rPr>
                <w:sz w:val="19"/>
              </w:rPr>
            </w:pPr>
          </w:p>
          <w:p>
            <w:pPr>
              <w:pStyle w:val="36"/>
              <w:jc w:val="center"/>
              <w:rPr>
                <w:sz w:val="19"/>
              </w:rPr>
            </w:pPr>
            <w:r>
              <w:rPr>
                <w:sz w:val="20"/>
              </w:rPr>
              <w:t>10</w:t>
            </w:r>
          </w:p>
        </w:tc>
        <w:tc>
          <w:tcPr>
            <w:tcW w:w="1675" w:type="dxa"/>
          </w:tcPr>
          <w:p>
            <w:pPr>
              <w:pStyle w:val="36"/>
              <w:spacing w:before="1"/>
              <w:rPr>
                <w:sz w:val="19"/>
              </w:rPr>
            </w:pPr>
          </w:p>
          <w:p>
            <w:pPr>
              <w:pStyle w:val="36"/>
              <w:jc w:val="center"/>
              <w:rPr>
                <w:sz w:val="20"/>
              </w:rPr>
            </w:pPr>
            <w:r>
              <w:rPr>
                <w:sz w:val="20"/>
              </w:rPr>
              <w:t>柚面砖</w:t>
            </w:r>
          </w:p>
        </w:tc>
        <w:tc>
          <w:tcPr>
            <w:tcW w:w="1523" w:type="dxa"/>
          </w:tcPr>
          <w:p>
            <w:pPr>
              <w:pStyle w:val="36"/>
              <w:spacing w:before="1"/>
              <w:rPr>
                <w:sz w:val="19"/>
              </w:rPr>
            </w:pPr>
          </w:p>
          <w:p>
            <w:pPr>
              <w:pStyle w:val="36"/>
              <w:jc w:val="center"/>
              <w:rPr>
                <w:sz w:val="19"/>
              </w:rPr>
            </w:pPr>
            <w:r>
              <w:rPr>
                <w:sz w:val="20"/>
              </w:rPr>
              <w:t>综合</w:t>
            </w:r>
          </w:p>
        </w:tc>
        <w:tc>
          <w:tcPr>
            <w:tcW w:w="4042" w:type="dxa"/>
          </w:tcPr>
          <w:p>
            <w:pPr>
              <w:pStyle w:val="36"/>
              <w:spacing w:before="84" w:line="209" w:lineRule="exact"/>
              <w:ind w:left="13"/>
              <w:rPr>
                <w:sz w:val="20"/>
              </w:rPr>
            </w:pPr>
            <w:r>
              <w:rPr>
                <w:sz w:val="20"/>
              </w:rPr>
              <w:t>白兔、腾达、协进、冠珠、钻石、英基、创域、</w:t>
            </w:r>
          </w:p>
          <w:p>
            <w:pPr>
              <w:pStyle w:val="36"/>
              <w:spacing w:line="160" w:lineRule="exact"/>
              <w:ind w:left="4523"/>
              <w:rPr>
                <w:sz w:val="20"/>
              </w:rPr>
            </w:pPr>
            <w:r>
              <w:rPr>
                <w:sz w:val="20"/>
              </w:rPr>
              <w:t>优等</w:t>
            </w:r>
          </w:p>
          <w:p>
            <w:pPr>
              <w:pStyle w:val="36"/>
              <w:jc w:val="center"/>
              <w:rPr>
                <w:sz w:val="20"/>
              </w:rPr>
            </w:pPr>
            <w:r>
              <w:rPr>
                <w:sz w:val="20"/>
              </w:rPr>
              <w:t>世标、百冠</w:t>
            </w:r>
          </w:p>
        </w:tc>
        <w:tc>
          <w:tcPr>
            <w:tcW w:w="1588" w:type="dxa"/>
          </w:tcPr>
          <w:p>
            <w:pPr>
              <w:pStyle w:val="36"/>
              <w:jc w:val="center"/>
              <w:rPr>
                <w:sz w:val="20"/>
              </w:rPr>
            </w:pPr>
            <w:r>
              <w:rPr>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spacing w:before="1"/>
              <w:rPr>
                <w:sz w:val="19"/>
              </w:rPr>
            </w:pPr>
          </w:p>
          <w:p>
            <w:pPr>
              <w:pStyle w:val="36"/>
              <w:jc w:val="center"/>
              <w:rPr>
                <w:sz w:val="19"/>
              </w:rPr>
            </w:pPr>
            <w:r>
              <w:rPr>
                <w:sz w:val="20"/>
              </w:rPr>
              <w:t>11</w:t>
            </w:r>
          </w:p>
        </w:tc>
        <w:tc>
          <w:tcPr>
            <w:tcW w:w="1675" w:type="dxa"/>
          </w:tcPr>
          <w:p>
            <w:pPr>
              <w:pStyle w:val="36"/>
              <w:spacing w:before="1"/>
              <w:rPr>
                <w:sz w:val="19"/>
              </w:rPr>
            </w:pPr>
          </w:p>
          <w:p>
            <w:pPr>
              <w:pStyle w:val="36"/>
              <w:jc w:val="center"/>
              <w:rPr>
                <w:sz w:val="20"/>
              </w:rPr>
            </w:pPr>
            <w:r>
              <w:rPr>
                <w:sz w:val="20"/>
              </w:rPr>
              <w:t>防滑砖</w:t>
            </w:r>
          </w:p>
        </w:tc>
        <w:tc>
          <w:tcPr>
            <w:tcW w:w="1523" w:type="dxa"/>
          </w:tcPr>
          <w:p>
            <w:pPr>
              <w:pStyle w:val="36"/>
              <w:spacing w:before="1"/>
              <w:rPr>
                <w:sz w:val="19"/>
              </w:rPr>
            </w:pPr>
          </w:p>
          <w:p>
            <w:pPr>
              <w:pStyle w:val="36"/>
              <w:jc w:val="center"/>
              <w:rPr>
                <w:sz w:val="19"/>
              </w:rPr>
            </w:pPr>
            <w:r>
              <w:rPr>
                <w:sz w:val="20"/>
              </w:rPr>
              <w:t>按设计要求</w:t>
            </w:r>
          </w:p>
        </w:tc>
        <w:tc>
          <w:tcPr>
            <w:tcW w:w="4042" w:type="dxa"/>
          </w:tcPr>
          <w:p>
            <w:pPr>
              <w:pStyle w:val="36"/>
              <w:spacing w:before="86" w:line="207" w:lineRule="exact"/>
              <w:ind w:left="13"/>
              <w:rPr>
                <w:sz w:val="20"/>
              </w:rPr>
            </w:pPr>
            <w:r>
              <w:rPr>
                <w:sz w:val="20"/>
              </w:rPr>
              <w:t>白兔、腾达、协进、冠珠、钻石、英基、创域、</w:t>
            </w:r>
          </w:p>
          <w:p>
            <w:pPr>
              <w:pStyle w:val="36"/>
              <w:spacing w:line="158" w:lineRule="exact"/>
              <w:ind w:left="4523"/>
              <w:rPr>
                <w:sz w:val="20"/>
              </w:rPr>
            </w:pPr>
            <w:r>
              <w:rPr>
                <w:sz w:val="20"/>
              </w:rPr>
              <w:t>优等</w:t>
            </w:r>
          </w:p>
          <w:p>
            <w:pPr>
              <w:pStyle w:val="36"/>
              <w:jc w:val="center"/>
              <w:rPr>
                <w:sz w:val="20"/>
              </w:rPr>
            </w:pPr>
            <w:r>
              <w:rPr>
                <w:sz w:val="20"/>
              </w:rPr>
              <w:t>世标、百冠</w:t>
            </w:r>
          </w:p>
        </w:tc>
        <w:tc>
          <w:tcPr>
            <w:tcW w:w="1588" w:type="dxa"/>
          </w:tcPr>
          <w:p>
            <w:pPr>
              <w:pStyle w:val="36"/>
              <w:jc w:val="center"/>
              <w:rPr>
                <w:sz w:val="20"/>
              </w:rPr>
            </w:pPr>
            <w:r>
              <w:rPr>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rPr>
                <w:sz w:val="19"/>
              </w:rPr>
            </w:pPr>
          </w:p>
          <w:p>
            <w:pPr>
              <w:pStyle w:val="36"/>
              <w:jc w:val="center"/>
              <w:rPr>
                <w:sz w:val="19"/>
              </w:rPr>
            </w:pPr>
            <w:r>
              <w:rPr>
                <w:sz w:val="20"/>
              </w:rPr>
              <w:t>12</w:t>
            </w:r>
          </w:p>
        </w:tc>
        <w:tc>
          <w:tcPr>
            <w:tcW w:w="1675" w:type="dxa"/>
          </w:tcPr>
          <w:p>
            <w:pPr>
              <w:pStyle w:val="36"/>
              <w:rPr>
                <w:sz w:val="19"/>
              </w:rPr>
            </w:pPr>
          </w:p>
          <w:p>
            <w:pPr>
              <w:pStyle w:val="36"/>
              <w:jc w:val="center"/>
              <w:rPr>
                <w:sz w:val="20"/>
              </w:rPr>
            </w:pPr>
            <w:r>
              <w:rPr>
                <w:sz w:val="20"/>
              </w:rPr>
              <w:t>耐磨砖</w:t>
            </w:r>
          </w:p>
        </w:tc>
        <w:tc>
          <w:tcPr>
            <w:tcW w:w="1523" w:type="dxa"/>
          </w:tcPr>
          <w:p>
            <w:pPr>
              <w:pStyle w:val="36"/>
              <w:rPr>
                <w:sz w:val="19"/>
              </w:rPr>
            </w:pPr>
          </w:p>
          <w:p>
            <w:pPr>
              <w:pStyle w:val="36"/>
              <w:jc w:val="center"/>
              <w:rPr>
                <w:sz w:val="19"/>
              </w:rPr>
            </w:pPr>
            <w:r>
              <w:rPr>
                <w:sz w:val="20"/>
              </w:rPr>
              <w:t>按设计要求</w:t>
            </w:r>
          </w:p>
        </w:tc>
        <w:tc>
          <w:tcPr>
            <w:tcW w:w="4042" w:type="dxa"/>
          </w:tcPr>
          <w:p>
            <w:pPr>
              <w:pStyle w:val="36"/>
              <w:spacing w:before="85" w:line="207" w:lineRule="exact"/>
              <w:ind w:left="13"/>
              <w:rPr>
                <w:sz w:val="20"/>
              </w:rPr>
            </w:pPr>
            <w:r>
              <w:rPr>
                <w:sz w:val="20"/>
              </w:rPr>
              <w:t>白兔、腾达、协进、冠珠、钻石、英基、创域、世标、百冠</w:t>
            </w:r>
          </w:p>
          <w:p>
            <w:pPr>
              <w:pStyle w:val="36"/>
              <w:spacing w:line="160" w:lineRule="exact"/>
              <w:ind w:left="4523"/>
              <w:rPr>
                <w:sz w:val="20"/>
              </w:rPr>
            </w:pPr>
            <w:r>
              <w:rPr>
                <w:sz w:val="20"/>
              </w:rPr>
              <w:t>优等</w:t>
            </w:r>
          </w:p>
        </w:tc>
        <w:tc>
          <w:tcPr>
            <w:tcW w:w="1588" w:type="dxa"/>
          </w:tcPr>
          <w:p>
            <w:pPr>
              <w:pStyle w:val="36"/>
              <w:jc w:val="center"/>
              <w:rPr>
                <w:sz w:val="20"/>
              </w:rPr>
            </w:pPr>
            <w:r>
              <w:rPr>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13</w:t>
            </w:r>
          </w:p>
        </w:tc>
        <w:tc>
          <w:tcPr>
            <w:tcW w:w="1675" w:type="dxa"/>
          </w:tcPr>
          <w:p>
            <w:pPr>
              <w:pStyle w:val="36"/>
              <w:ind w:left="16" w:right="16"/>
              <w:jc w:val="center"/>
              <w:rPr>
                <w:sz w:val="20"/>
              </w:rPr>
            </w:pPr>
            <w:r>
              <w:rPr>
                <w:sz w:val="20"/>
              </w:rPr>
              <w:t>卫浴洁具</w:t>
            </w:r>
          </w:p>
          <w:p>
            <w:pPr>
              <w:pStyle w:val="36"/>
              <w:jc w:val="center"/>
              <w:rPr>
                <w:sz w:val="20"/>
              </w:rPr>
            </w:pPr>
          </w:p>
        </w:tc>
        <w:tc>
          <w:tcPr>
            <w:tcW w:w="1523" w:type="dxa"/>
          </w:tcPr>
          <w:p>
            <w:pPr>
              <w:pStyle w:val="36"/>
              <w:jc w:val="center"/>
              <w:rPr>
                <w:sz w:val="19"/>
              </w:rPr>
            </w:pPr>
            <w:r>
              <w:rPr>
                <w:sz w:val="20"/>
              </w:rPr>
              <w:t>按设计要求</w:t>
            </w:r>
          </w:p>
        </w:tc>
        <w:tc>
          <w:tcPr>
            <w:tcW w:w="4042" w:type="dxa"/>
          </w:tcPr>
          <w:p>
            <w:pPr>
              <w:pStyle w:val="36"/>
              <w:spacing w:before="85" w:line="207" w:lineRule="exact"/>
              <w:ind w:left="20"/>
              <w:rPr>
                <w:sz w:val="20"/>
              </w:rPr>
            </w:pPr>
            <w:r>
              <w:rPr>
                <w:sz w:val="20"/>
              </w:rPr>
              <w:t>箭牌、广东三环洁具、鹰牌、东鹏、美标、钻</w:t>
            </w:r>
          </w:p>
          <w:p>
            <w:pPr>
              <w:pStyle w:val="36"/>
              <w:spacing w:line="209" w:lineRule="exact"/>
              <w:ind w:left="1921"/>
              <w:rPr>
                <w:sz w:val="20"/>
              </w:rPr>
            </w:pPr>
            <w:r>
              <w:rPr>
                <w:w w:val="99"/>
                <w:sz w:val="20"/>
              </w:rPr>
              <w:t>纳</w:t>
            </w:r>
          </w:p>
          <w:p>
            <w:pPr>
              <w:pStyle w:val="36"/>
              <w:rPr>
                <w:sz w:val="20"/>
              </w:rPr>
            </w:pPr>
          </w:p>
        </w:tc>
        <w:tc>
          <w:tcPr>
            <w:tcW w:w="1588" w:type="dxa"/>
          </w:tcPr>
          <w:p>
            <w:pPr>
              <w:pStyle w:val="36"/>
              <w:jc w:val="center"/>
              <w:rPr>
                <w:sz w:val="20"/>
              </w:rPr>
            </w:pPr>
            <w:r>
              <w:rPr>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14</w:t>
            </w:r>
          </w:p>
        </w:tc>
        <w:tc>
          <w:tcPr>
            <w:tcW w:w="1675" w:type="dxa"/>
          </w:tcPr>
          <w:p>
            <w:pPr>
              <w:pStyle w:val="36"/>
              <w:ind w:left="16" w:right="16"/>
              <w:jc w:val="center"/>
              <w:rPr>
                <w:sz w:val="20"/>
              </w:rPr>
            </w:pPr>
            <w:r>
              <w:rPr>
                <w:sz w:val="20"/>
              </w:rPr>
              <w:t>断路器开关、漏电</w:t>
            </w:r>
            <w:r>
              <w:rPr>
                <w:rFonts w:hint="eastAsia"/>
                <w:sz w:val="20"/>
              </w:rPr>
              <w:t>开关</w:t>
            </w:r>
          </w:p>
        </w:tc>
        <w:tc>
          <w:tcPr>
            <w:tcW w:w="1523" w:type="dxa"/>
          </w:tcPr>
          <w:p>
            <w:pPr>
              <w:pStyle w:val="36"/>
              <w:jc w:val="center"/>
              <w:rPr>
                <w:sz w:val="20"/>
              </w:rPr>
            </w:pPr>
            <w:r>
              <w:rPr>
                <w:sz w:val="20"/>
              </w:rPr>
              <w:t>按设计要求</w:t>
            </w:r>
          </w:p>
        </w:tc>
        <w:tc>
          <w:tcPr>
            <w:tcW w:w="4042" w:type="dxa"/>
          </w:tcPr>
          <w:p>
            <w:pPr>
              <w:pStyle w:val="36"/>
              <w:spacing w:before="85" w:line="207" w:lineRule="exact"/>
              <w:ind w:left="20"/>
              <w:rPr>
                <w:sz w:val="20"/>
              </w:rPr>
            </w:pPr>
            <w:r>
              <w:rPr>
                <w:sz w:val="20"/>
              </w:rPr>
              <w:t>江苏常熟、上海人民（上联）、施耐德、ABB</w:t>
            </w:r>
          </w:p>
          <w:p>
            <w:pPr>
              <w:pStyle w:val="36"/>
              <w:spacing w:before="85" w:line="207" w:lineRule="exact"/>
              <w:ind w:left="20"/>
              <w:rPr>
                <w:sz w:val="20"/>
              </w:rPr>
            </w:pPr>
            <w:r>
              <w:rPr>
                <w:sz w:val="20"/>
              </w:rPr>
              <w:t>正泰</w:t>
            </w:r>
          </w:p>
        </w:tc>
        <w:tc>
          <w:tcPr>
            <w:tcW w:w="1588" w:type="dxa"/>
          </w:tcPr>
          <w:p>
            <w:pPr>
              <w:pStyle w:val="36"/>
              <w:jc w:val="center"/>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15</w:t>
            </w:r>
          </w:p>
        </w:tc>
        <w:tc>
          <w:tcPr>
            <w:tcW w:w="1675" w:type="dxa"/>
          </w:tcPr>
          <w:p>
            <w:pPr>
              <w:adjustRightInd w:val="0"/>
              <w:rPr>
                <w:rFonts w:hAnsiTheme="minorHAnsi"/>
                <w:sz w:val="20"/>
                <w:szCs w:val="20"/>
                <w:lang w:val="en-US" w:bidi="ar-SA"/>
              </w:rPr>
            </w:pPr>
            <w:r>
              <w:rPr>
                <w:rFonts w:hint="eastAsia" w:hAnsiTheme="minorHAnsi"/>
                <w:sz w:val="20"/>
                <w:szCs w:val="20"/>
                <w:lang w:val="en-US" w:bidi="ar-SA"/>
              </w:rPr>
              <w:t>镀锌钢管、钢塑复</w:t>
            </w:r>
          </w:p>
          <w:p>
            <w:pPr>
              <w:pStyle w:val="36"/>
              <w:ind w:left="16" w:right="16"/>
              <w:jc w:val="center"/>
              <w:rPr>
                <w:sz w:val="20"/>
              </w:rPr>
            </w:pPr>
            <w:r>
              <w:rPr>
                <w:rFonts w:hint="eastAsia" w:hAnsiTheme="minorHAnsi"/>
                <w:sz w:val="20"/>
                <w:szCs w:val="20"/>
                <w:lang w:val="en-US" w:bidi="ar-SA"/>
              </w:rPr>
              <w:t>合管</w:t>
            </w:r>
          </w:p>
        </w:tc>
        <w:tc>
          <w:tcPr>
            <w:tcW w:w="1523" w:type="dxa"/>
          </w:tcPr>
          <w:p>
            <w:pPr>
              <w:pStyle w:val="36"/>
              <w:jc w:val="center"/>
              <w:rPr>
                <w:sz w:val="20"/>
              </w:rPr>
            </w:pPr>
            <w:r>
              <w:rPr>
                <w:rFonts w:hint="eastAsia" w:hAnsiTheme="minorHAnsi"/>
                <w:sz w:val="20"/>
                <w:szCs w:val="20"/>
                <w:lang w:val="en-US" w:bidi="ar-SA"/>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广州珠江、联想华通、广州南粤</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16</w:t>
            </w:r>
          </w:p>
        </w:tc>
        <w:tc>
          <w:tcPr>
            <w:tcW w:w="1675" w:type="dxa"/>
          </w:tcPr>
          <w:p>
            <w:pPr>
              <w:pStyle w:val="36"/>
              <w:ind w:left="16" w:right="16"/>
              <w:jc w:val="center"/>
              <w:rPr>
                <w:sz w:val="20"/>
              </w:rPr>
            </w:pPr>
            <w:r>
              <w:rPr>
                <w:rFonts w:hint="eastAsia"/>
                <w:sz w:val="20"/>
              </w:rPr>
              <w:t>给水</w:t>
            </w:r>
            <w:r>
              <w:rPr>
                <w:sz w:val="20"/>
              </w:rPr>
              <w:t>PE 管、UPVC</w:t>
            </w:r>
          </w:p>
        </w:tc>
        <w:tc>
          <w:tcPr>
            <w:tcW w:w="1523" w:type="dxa"/>
          </w:tcPr>
          <w:p>
            <w:pPr>
              <w:pStyle w:val="36"/>
              <w:jc w:val="center"/>
              <w:rPr>
                <w:sz w:val="20"/>
              </w:rPr>
            </w:pPr>
            <w:r>
              <w:rPr>
                <w:sz w:val="20"/>
              </w:rPr>
              <w:t>按设计要求</w:t>
            </w:r>
          </w:p>
        </w:tc>
        <w:tc>
          <w:tcPr>
            <w:tcW w:w="4042" w:type="dxa"/>
          </w:tcPr>
          <w:p>
            <w:pPr>
              <w:pStyle w:val="36"/>
              <w:spacing w:before="85" w:line="207" w:lineRule="exact"/>
              <w:ind w:left="20"/>
              <w:rPr>
                <w:sz w:val="20"/>
              </w:rPr>
            </w:pPr>
            <w:r>
              <w:rPr>
                <w:rFonts w:hint="eastAsia"/>
                <w:sz w:val="20"/>
              </w:rPr>
              <w:t>日丰、联塑、顾地、永高、日丰、雄塑、</w:t>
            </w:r>
            <w:r>
              <w:rPr>
                <w:sz w:val="20"/>
              </w:rPr>
              <w:t>PE</w:t>
            </w:r>
          </w:p>
        </w:tc>
        <w:tc>
          <w:tcPr>
            <w:tcW w:w="1588" w:type="dxa"/>
          </w:tcPr>
          <w:p>
            <w:pPr>
              <w:pStyle w:val="36"/>
              <w:jc w:val="center"/>
              <w:rPr>
                <w:sz w:val="20"/>
              </w:rPr>
            </w:pPr>
            <w:r>
              <w:rPr>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17</w:t>
            </w:r>
          </w:p>
        </w:tc>
        <w:tc>
          <w:tcPr>
            <w:tcW w:w="1675" w:type="dxa"/>
          </w:tcPr>
          <w:p>
            <w:pPr>
              <w:pStyle w:val="36"/>
              <w:ind w:left="16" w:right="16"/>
              <w:jc w:val="center"/>
              <w:rPr>
                <w:sz w:val="20"/>
              </w:rPr>
            </w:pPr>
            <w:r>
              <w:rPr>
                <w:rFonts w:hint="eastAsia"/>
                <w:sz w:val="20"/>
              </w:rPr>
              <w:t>水阀、水龙头、冲水阀等五金配件</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开平朝阳、开平朝升、开平洁士</w:t>
            </w:r>
          </w:p>
        </w:tc>
        <w:tc>
          <w:tcPr>
            <w:tcW w:w="1588" w:type="dxa"/>
          </w:tcPr>
          <w:p>
            <w:pPr>
              <w:pStyle w:val="36"/>
              <w:jc w:val="center"/>
              <w:rPr>
                <w:sz w:val="20"/>
              </w:rPr>
            </w:pPr>
            <w:r>
              <w:rPr>
                <w:rFonts w:hint="eastAsia"/>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18</w:t>
            </w:r>
          </w:p>
        </w:tc>
        <w:tc>
          <w:tcPr>
            <w:tcW w:w="1675" w:type="dxa"/>
          </w:tcPr>
          <w:p>
            <w:pPr>
              <w:pStyle w:val="36"/>
              <w:ind w:left="16" w:right="16"/>
              <w:jc w:val="center"/>
              <w:rPr>
                <w:sz w:val="20"/>
              </w:rPr>
            </w:pPr>
            <w:r>
              <w:rPr>
                <w:rFonts w:hint="eastAsia"/>
                <w:sz w:val="20"/>
              </w:rPr>
              <w:t>低压成套配电柜（箱）、配电箱</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广东金泽、新会电器厂、广东南一华、佛山鹏通、江门繁华</w:t>
            </w:r>
          </w:p>
        </w:tc>
        <w:tc>
          <w:tcPr>
            <w:tcW w:w="1588" w:type="dxa"/>
          </w:tcPr>
          <w:p>
            <w:pPr>
              <w:pStyle w:val="36"/>
              <w:jc w:val="center"/>
              <w:rPr>
                <w:sz w:val="20"/>
              </w:rPr>
            </w:pPr>
            <w:r>
              <w:rPr>
                <w:rFonts w:hint="eastAsia"/>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19</w:t>
            </w:r>
          </w:p>
        </w:tc>
        <w:tc>
          <w:tcPr>
            <w:tcW w:w="1675" w:type="dxa"/>
          </w:tcPr>
          <w:p>
            <w:pPr>
              <w:pStyle w:val="36"/>
              <w:ind w:left="16" w:right="16"/>
              <w:jc w:val="center"/>
              <w:rPr>
                <w:sz w:val="20"/>
              </w:rPr>
            </w:pPr>
            <w:r>
              <w:rPr>
                <w:rFonts w:hint="eastAsia"/>
                <w:sz w:val="20"/>
              </w:rPr>
              <w:t>电线、电缆</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江门长威、广州新兴电缆、金环宇、江磁电缆、广州珠江（环市牌）电缆、华新电缆</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20</w:t>
            </w:r>
          </w:p>
        </w:tc>
        <w:tc>
          <w:tcPr>
            <w:tcW w:w="1675" w:type="dxa"/>
          </w:tcPr>
          <w:p>
            <w:pPr>
              <w:pStyle w:val="36"/>
              <w:ind w:left="16" w:right="16"/>
              <w:jc w:val="center"/>
              <w:rPr>
                <w:sz w:val="20"/>
              </w:rPr>
            </w:pPr>
            <w:r>
              <w:rPr>
                <w:rFonts w:hint="eastAsia"/>
                <w:sz w:val="20"/>
              </w:rPr>
              <w:t>开关、插座</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w:t>
            </w:r>
            <w:r>
              <w:rPr>
                <w:sz w:val="20"/>
              </w:rPr>
              <w:t>TCL)罗格朗、松本、三雄、朗能</w:t>
            </w:r>
          </w:p>
        </w:tc>
        <w:tc>
          <w:tcPr>
            <w:tcW w:w="1588" w:type="dxa"/>
          </w:tcPr>
          <w:p>
            <w:pPr>
              <w:pStyle w:val="36"/>
              <w:jc w:val="center"/>
              <w:rPr>
                <w:sz w:val="20"/>
              </w:rPr>
            </w:pPr>
            <w:r>
              <w:rPr>
                <w:rFonts w:hint="eastAsia"/>
                <w:sz w:val="20"/>
              </w:rPr>
              <w:t>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21</w:t>
            </w:r>
          </w:p>
        </w:tc>
        <w:tc>
          <w:tcPr>
            <w:tcW w:w="1675" w:type="dxa"/>
          </w:tcPr>
          <w:p>
            <w:pPr>
              <w:pStyle w:val="36"/>
              <w:ind w:left="16" w:right="16"/>
              <w:jc w:val="center"/>
              <w:rPr>
                <w:sz w:val="20"/>
              </w:rPr>
            </w:pPr>
            <w:r>
              <w:rPr>
                <w:rFonts w:hint="eastAsia"/>
                <w:sz w:val="20"/>
              </w:rPr>
              <w:t>线管、线槽</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文兴、众联兴、宏际、广东西铁、江门粤新</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22</w:t>
            </w:r>
          </w:p>
        </w:tc>
        <w:tc>
          <w:tcPr>
            <w:tcW w:w="1675" w:type="dxa"/>
          </w:tcPr>
          <w:p>
            <w:pPr>
              <w:pStyle w:val="36"/>
              <w:ind w:left="16" w:right="16"/>
              <w:jc w:val="center"/>
              <w:rPr>
                <w:sz w:val="20"/>
              </w:rPr>
            </w:pPr>
            <w:r>
              <w:rPr>
                <w:rFonts w:hint="eastAsia"/>
                <w:sz w:val="20"/>
              </w:rPr>
              <w:t>日光灯、吸顶灯、灯泡、灯具、灯管</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雷士、欧普、三雄、九佛、（</w:t>
            </w:r>
            <w:r>
              <w:rPr>
                <w:sz w:val="20"/>
              </w:rPr>
              <w:t>TCL)罗格朗、朗能</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23</w:t>
            </w:r>
          </w:p>
        </w:tc>
        <w:tc>
          <w:tcPr>
            <w:tcW w:w="1675" w:type="dxa"/>
          </w:tcPr>
          <w:p>
            <w:pPr>
              <w:pStyle w:val="36"/>
              <w:ind w:left="16" w:right="16"/>
              <w:jc w:val="center"/>
              <w:rPr>
                <w:sz w:val="20"/>
              </w:rPr>
            </w:pPr>
            <w:r>
              <w:rPr>
                <w:rFonts w:hint="eastAsia"/>
                <w:sz w:val="20"/>
              </w:rPr>
              <w:t>灯具（灯盘、灯泡、光管及支架）</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雷士、欧普、三雄、九佛、（</w:t>
            </w:r>
            <w:r>
              <w:rPr>
                <w:sz w:val="20"/>
              </w:rPr>
              <w:t>TCL)罗格朗、朗能</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24</w:t>
            </w:r>
          </w:p>
        </w:tc>
        <w:tc>
          <w:tcPr>
            <w:tcW w:w="1675" w:type="dxa"/>
          </w:tcPr>
          <w:p>
            <w:pPr>
              <w:pStyle w:val="36"/>
              <w:ind w:left="16" w:right="16"/>
              <w:jc w:val="center"/>
              <w:rPr>
                <w:sz w:val="20"/>
              </w:rPr>
            </w:pPr>
            <w:r>
              <w:rPr>
                <w:rFonts w:hint="eastAsia"/>
                <w:sz w:val="20"/>
              </w:rPr>
              <w:t>应急指示灯、出口指示灯</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敏华、平安、振辉、劳士、光世界</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25</w:t>
            </w:r>
          </w:p>
        </w:tc>
        <w:tc>
          <w:tcPr>
            <w:tcW w:w="1675" w:type="dxa"/>
          </w:tcPr>
          <w:p>
            <w:pPr>
              <w:pStyle w:val="36"/>
              <w:ind w:left="16" w:right="16"/>
              <w:jc w:val="center"/>
              <w:rPr>
                <w:sz w:val="20"/>
              </w:rPr>
            </w:pPr>
            <w:r>
              <w:rPr>
                <w:rFonts w:hint="eastAsia"/>
                <w:sz w:val="20"/>
              </w:rPr>
              <w:t>铝塑板</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丰盛达、未来之窗、华尔泰、奥雅雷诺贝尔爱德华</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26</w:t>
            </w:r>
          </w:p>
        </w:tc>
        <w:tc>
          <w:tcPr>
            <w:tcW w:w="1675" w:type="dxa"/>
          </w:tcPr>
          <w:p>
            <w:pPr>
              <w:pStyle w:val="36"/>
              <w:ind w:left="16" w:right="16"/>
              <w:jc w:val="center"/>
              <w:rPr>
                <w:sz w:val="20"/>
              </w:rPr>
            </w:pPr>
            <w:r>
              <w:rPr>
                <w:rFonts w:hint="eastAsia"/>
                <w:sz w:val="20"/>
              </w:rPr>
              <w:t>铝扣板</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建龙、联兴、美亚朗特、爱德华</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27</w:t>
            </w:r>
          </w:p>
        </w:tc>
        <w:tc>
          <w:tcPr>
            <w:tcW w:w="1675" w:type="dxa"/>
          </w:tcPr>
          <w:p>
            <w:pPr>
              <w:pStyle w:val="36"/>
              <w:ind w:left="16" w:right="16"/>
              <w:jc w:val="center"/>
              <w:rPr>
                <w:sz w:val="20"/>
              </w:rPr>
            </w:pPr>
            <w:r>
              <w:rPr>
                <w:rFonts w:hint="eastAsia"/>
                <w:sz w:val="20"/>
              </w:rPr>
              <w:t>锁具</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中山固力、广州汇泰龙、三环、名门</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28</w:t>
            </w:r>
          </w:p>
        </w:tc>
        <w:tc>
          <w:tcPr>
            <w:tcW w:w="1675" w:type="dxa"/>
          </w:tcPr>
          <w:p>
            <w:pPr>
              <w:pStyle w:val="36"/>
              <w:ind w:left="16" w:right="16"/>
              <w:jc w:val="center"/>
              <w:rPr>
                <w:sz w:val="20"/>
              </w:rPr>
            </w:pPr>
            <w:r>
              <w:rPr>
                <w:rFonts w:hint="eastAsia"/>
                <w:sz w:val="20"/>
              </w:rPr>
              <w:t>屋面结构胶</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sz w:val="20"/>
              </w:rPr>
              <w:t>GE、百得PATTEX、道康宁、凯特</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29</w:t>
            </w:r>
          </w:p>
        </w:tc>
        <w:tc>
          <w:tcPr>
            <w:tcW w:w="1675" w:type="dxa"/>
          </w:tcPr>
          <w:p>
            <w:pPr>
              <w:pStyle w:val="36"/>
              <w:ind w:left="16" w:right="16"/>
              <w:jc w:val="center"/>
              <w:rPr>
                <w:sz w:val="20"/>
              </w:rPr>
            </w:pPr>
            <w:r>
              <w:rPr>
                <w:rFonts w:hint="eastAsia"/>
                <w:sz w:val="20"/>
              </w:rPr>
              <w:t>油漆</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嘉宝莉、长颈鹿、立邦、众脉、筑龙、维肯大师</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30</w:t>
            </w:r>
          </w:p>
        </w:tc>
        <w:tc>
          <w:tcPr>
            <w:tcW w:w="1675" w:type="dxa"/>
          </w:tcPr>
          <w:p>
            <w:pPr>
              <w:pStyle w:val="36"/>
              <w:ind w:left="16" w:right="16"/>
              <w:jc w:val="center"/>
              <w:rPr>
                <w:sz w:val="20"/>
              </w:rPr>
            </w:pPr>
            <w:r>
              <w:rPr>
                <w:rFonts w:hint="eastAsia"/>
                <w:sz w:val="20"/>
              </w:rPr>
              <w:t>防水材料、止水带</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sz w:val="20"/>
              </w:rPr>
              <w:t>澳泰防水、卓宝防水、筑龙防水、德高防水、禹成防水、嘉宝莉</w:t>
            </w:r>
          </w:p>
        </w:tc>
        <w:tc>
          <w:tcPr>
            <w:tcW w:w="1588" w:type="dxa"/>
          </w:tcPr>
          <w:p>
            <w:pPr>
              <w:pStyle w:val="36"/>
              <w:jc w:val="center"/>
              <w:rPr>
                <w:sz w:val="20"/>
              </w:rPr>
            </w:pPr>
            <w:r>
              <w:rPr>
                <w:rFonts w:hint="eastAsia"/>
                <w:sz w:val="20"/>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31</w:t>
            </w:r>
          </w:p>
        </w:tc>
        <w:tc>
          <w:tcPr>
            <w:tcW w:w="1675" w:type="dxa"/>
          </w:tcPr>
          <w:p>
            <w:pPr>
              <w:pStyle w:val="36"/>
              <w:ind w:left="16" w:right="16"/>
              <w:jc w:val="center"/>
              <w:rPr>
                <w:sz w:val="20"/>
              </w:rPr>
            </w:pPr>
            <w:r>
              <w:rPr>
                <w:rFonts w:hint="eastAsia" w:hAnsiTheme="minorHAnsi"/>
                <w:sz w:val="20"/>
                <w:szCs w:val="20"/>
                <w:lang w:val="en-US" w:bidi="ar-SA"/>
              </w:rPr>
              <w:t>风扇、排气扇</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江门金铃、正野、</w:t>
            </w:r>
            <w:r>
              <w:rPr>
                <w:rFonts w:hAnsiTheme="minorHAnsi"/>
                <w:sz w:val="20"/>
                <w:szCs w:val="20"/>
                <w:lang w:val="en-US" w:bidi="ar-SA"/>
              </w:rPr>
              <w:t>BNN</w:t>
            </w:r>
            <w:r>
              <w:rPr>
                <w:rFonts w:hint="eastAsia" w:hAnsiTheme="minorHAnsi"/>
                <w:sz w:val="20"/>
                <w:szCs w:val="20"/>
                <w:lang w:val="en-US" w:bidi="ar-SA"/>
              </w:rPr>
              <w:t>、格力</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32</w:t>
            </w:r>
          </w:p>
        </w:tc>
        <w:tc>
          <w:tcPr>
            <w:tcW w:w="1675" w:type="dxa"/>
          </w:tcPr>
          <w:p>
            <w:pPr>
              <w:pStyle w:val="36"/>
              <w:ind w:left="16" w:right="16"/>
              <w:jc w:val="center"/>
              <w:rPr>
                <w:sz w:val="20"/>
              </w:rPr>
            </w:pPr>
            <w:r>
              <w:rPr>
                <w:rFonts w:hint="eastAsia" w:hAnsiTheme="minorHAnsi"/>
                <w:sz w:val="20"/>
                <w:szCs w:val="20"/>
                <w:lang w:val="en-US" w:bidi="ar-SA"/>
              </w:rPr>
              <w:t>屋面板</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永成兴业、臻誉、奥雅雷诺贝尔</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33</w:t>
            </w:r>
          </w:p>
        </w:tc>
        <w:tc>
          <w:tcPr>
            <w:tcW w:w="1675" w:type="dxa"/>
          </w:tcPr>
          <w:p>
            <w:pPr>
              <w:adjustRightInd w:val="0"/>
              <w:rPr>
                <w:rFonts w:hAnsiTheme="minorHAnsi"/>
                <w:sz w:val="20"/>
                <w:szCs w:val="20"/>
                <w:lang w:val="en-US" w:bidi="ar-SA"/>
              </w:rPr>
            </w:pPr>
            <w:r>
              <w:rPr>
                <w:rFonts w:hint="eastAsia" w:hAnsiTheme="minorHAnsi"/>
                <w:sz w:val="20"/>
                <w:szCs w:val="20"/>
                <w:lang w:val="en-US" w:bidi="ar-SA"/>
              </w:rPr>
              <w:t>消防系统、消防器</w:t>
            </w:r>
          </w:p>
          <w:p>
            <w:pPr>
              <w:pStyle w:val="36"/>
              <w:ind w:left="16" w:right="16"/>
              <w:jc w:val="center"/>
              <w:rPr>
                <w:sz w:val="20"/>
              </w:rPr>
            </w:pPr>
            <w:r>
              <w:rPr>
                <w:rFonts w:hint="eastAsia" w:hAnsiTheme="minorHAnsi"/>
                <w:sz w:val="20"/>
                <w:szCs w:val="20"/>
                <w:lang w:val="en-US" w:bidi="ar-SA"/>
              </w:rPr>
              <w:t>材</w:t>
            </w:r>
          </w:p>
        </w:tc>
        <w:tc>
          <w:tcPr>
            <w:tcW w:w="1523" w:type="dxa"/>
          </w:tcPr>
          <w:p>
            <w:pPr>
              <w:pStyle w:val="36"/>
              <w:jc w:val="center"/>
              <w:rPr>
                <w:sz w:val="20"/>
              </w:rPr>
            </w:pPr>
            <w:r>
              <w:rPr>
                <w:rFonts w:hint="eastAsia"/>
                <w:sz w:val="20"/>
              </w:rPr>
              <w:t>按设计要求</w:t>
            </w:r>
          </w:p>
        </w:tc>
        <w:tc>
          <w:tcPr>
            <w:tcW w:w="4042" w:type="dxa"/>
          </w:tcPr>
          <w:p>
            <w:pPr>
              <w:adjustRightInd w:val="0"/>
              <w:rPr>
                <w:rFonts w:hAnsiTheme="minorHAnsi"/>
                <w:sz w:val="20"/>
                <w:szCs w:val="20"/>
                <w:lang w:val="en-US" w:bidi="ar-SA"/>
              </w:rPr>
            </w:pPr>
            <w:r>
              <w:rPr>
                <w:rFonts w:hint="eastAsia" w:hAnsiTheme="minorHAnsi"/>
                <w:sz w:val="20"/>
                <w:szCs w:val="20"/>
                <w:lang w:val="en-US" w:bidi="ar-SA"/>
              </w:rPr>
              <w:t>广东平安、番禺振兴、广东胜捷、广东粤兴、</w:t>
            </w:r>
          </w:p>
          <w:p>
            <w:pPr>
              <w:pStyle w:val="36"/>
              <w:spacing w:before="85" w:line="207" w:lineRule="exact"/>
              <w:ind w:left="20"/>
              <w:rPr>
                <w:sz w:val="20"/>
              </w:rPr>
            </w:pPr>
            <w:r>
              <w:rPr>
                <w:rFonts w:hint="eastAsia" w:hAnsiTheme="minorHAnsi"/>
                <w:sz w:val="20"/>
                <w:szCs w:val="20"/>
                <w:lang w:val="en-US" w:bidi="ar-SA"/>
              </w:rPr>
              <w:t>江门天一达</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34</w:t>
            </w:r>
          </w:p>
        </w:tc>
        <w:tc>
          <w:tcPr>
            <w:tcW w:w="1675" w:type="dxa"/>
          </w:tcPr>
          <w:p>
            <w:pPr>
              <w:adjustRightInd w:val="0"/>
              <w:rPr>
                <w:rFonts w:hAnsiTheme="minorHAnsi"/>
                <w:sz w:val="20"/>
                <w:szCs w:val="20"/>
                <w:lang w:val="en-US" w:bidi="ar-SA"/>
              </w:rPr>
            </w:pPr>
            <w:r>
              <w:rPr>
                <w:rFonts w:hint="eastAsia" w:hAnsiTheme="minorHAnsi"/>
                <w:sz w:val="20"/>
                <w:szCs w:val="20"/>
                <w:lang w:val="en-US" w:bidi="ar-SA"/>
              </w:rPr>
              <w:t>自动报警、消防细</w:t>
            </w:r>
          </w:p>
          <w:p>
            <w:pPr>
              <w:pStyle w:val="36"/>
              <w:ind w:left="16" w:right="16"/>
              <w:jc w:val="center"/>
              <w:rPr>
                <w:sz w:val="20"/>
              </w:rPr>
            </w:pPr>
            <w:r>
              <w:rPr>
                <w:rFonts w:hint="eastAsia" w:hAnsiTheme="minorHAnsi"/>
                <w:sz w:val="20"/>
                <w:szCs w:val="20"/>
                <w:lang w:val="en-US" w:bidi="ar-SA"/>
              </w:rPr>
              <w:t>水雾系统</w:t>
            </w:r>
          </w:p>
        </w:tc>
        <w:tc>
          <w:tcPr>
            <w:tcW w:w="1523" w:type="dxa"/>
          </w:tcPr>
          <w:p>
            <w:pPr>
              <w:pStyle w:val="36"/>
              <w:jc w:val="center"/>
              <w:rPr>
                <w:sz w:val="20"/>
              </w:rPr>
            </w:pPr>
            <w:r>
              <w:rPr>
                <w:rFonts w:hint="eastAsia"/>
                <w:sz w:val="20"/>
              </w:rPr>
              <w:t>按设计要求</w:t>
            </w:r>
          </w:p>
        </w:tc>
        <w:tc>
          <w:tcPr>
            <w:tcW w:w="4042" w:type="dxa"/>
          </w:tcPr>
          <w:p>
            <w:pPr>
              <w:adjustRightInd w:val="0"/>
              <w:rPr>
                <w:rFonts w:hAnsiTheme="minorHAnsi"/>
                <w:sz w:val="20"/>
                <w:szCs w:val="20"/>
                <w:lang w:val="en-US" w:bidi="ar-SA"/>
              </w:rPr>
            </w:pPr>
            <w:r>
              <w:rPr>
                <w:rFonts w:hint="eastAsia" w:hAnsiTheme="minorHAnsi"/>
                <w:sz w:val="20"/>
                <w:szCs w:val="20"/>
                <w:lang w:val="en-US" w:bidi="ar-SA"/>
              </w:rPr>
              <w:t>北京利达、北大青鸟、泰和安、尼特、西门子、</w:t>
            </w:r>
          </w:p>
          <w:p>
            <w:pPr>
              <w:adjustRightInd w:val="0"/>
              <w:rPr>
                <w:rFonts w:hAnsiTheme="minorHAnsi"/>
                <w:sz w:val="20"/>
                <w:szCs w:val="20"/>
                <w:lang w:val="en-US" w:bidi="ar-SA"/>
              </w:rPr>
            </w:pPr>
            <w:r>
              <w:rPr>
                <w:rFonts w:hint="eastAsia" w:hAnsiTheme="minorHAnsi"/>
                <w:sz w:val="20"/>
                <w:szCs w:val="20"/>
                <w:lang w:val="en-US" w:bidi="ar-SA"/>
              </w:rPr>
              <w:t>合肥辰泰、广州昌宁、湖南磐龙、安徽世纪凯</w:t>
            </w:r>
          </w:p>
          <w:p>
            <w:pPr>
              <w:pStyle w:val="36"/>
              <w:spacing w:before="85" w:line="207" w:lineRule="exact"/>
              <w:ind w:left="20"/>
              <w:rPr>
                <w:sz w:val="20"/>
              </w:rPr>
            </w:pPr>
            <w:r>
              <w:rPr>
                <w:rFonts w:hint="eastAsia" w:hAnsiTheme="minorHAnsi"/>
                <w:sz w:val="20"/>
                <w:szCs w:val="20"/>
                <w:lang w:val="en-US" w:bidi="ar-SA"/>
              </w:rPr>
              <w:t>旋</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35</w:t>
            </w:r>
          </w:p>
        </w:tc>
        <w:tc>
          <w:tcPr>
            <w:tcW w:w="1675" w:type="dxa"/>
          </w:tcPr>
          <w:p>
            <w:pPr>
              <w:pStyle w:val="36"/>
              <w:ind w:left="16" w:right="16"/>
              <w:jc w:val="center"/>
              <w:rPr>
                <w:sz w:val="20"/>
              </w:rPr>
            </w:pPr>
            <w:r>
              <w:rPr>
                <w:rFonts w:hint="eastAsia" w:hAnsiTheme="minorHAnsi"/>
                <w:sz w:val="20"/>
                <w:szCs w:val="20"/>
                <w:lang w:val="en-US" w:bidi="ar-SA"/>
              </w:rPr>
              <w:t>排烟风机</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广一风机、康美风、东莞飞达、高标、恒利通</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36</w:t>
            </w:r>
          </w:p>
        </w:tc>
        <w:tc>
          <w:tcPr>
            <w:tcW w:w="1675" w:type="dxa"/>
          </w:tcPr>
          <w:p>
            <w:pPr>
              <w:adjustRightInd w:val="0"/>
              <w:rPr>
                <w:rFonts w:hAnsiTheme="minorHAnsi"/>
                <w:sz w:val="20"/>
                <w:szCs w:val="20"/>
                <w:lang w:val="en-US" w:bidi="ar-SA"/>
              </w:rPr>
            </w:pPr>
            <w:r>
              <w:rPr>
                <w:rFonts w:hint="eastAsia" w:hAnsiTheme="minorHAnsi"/>
                <w:sz w:val="20"/>
                <w:szCs w:val="20"/>
                <w:lang w:val="en-US" w:bidi="ar-SA"/>
              </w:rPr>
              <w:t>静压箱、风口、防</w:t>
            </w:r>
          </w:p>
          <w:p>
            <w:pPr>
              <w:pStyle w:val="36"/>
              <w:ind w:left="16" w:right="16"/>
              <w:jc w:val="center"/>
              <w:rPr>
                <w:sz w:val="20"/>
              </w:rPr>
            </w:pPr>
            <w:r>
              <w:rPr>
                <w:rFonts w:hint="eastAsia" w:hAnsiTheme="minorHAnsi"/>
                <w:sz w:val="20"/>
                <w:szCs w:val="20"/>
                <w:lang w:val="en-US" w:bidi="ar-SA"/>
              </w:rPr>
              <w:t>火阀</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康美风、东莞飞达、高标、佛山顺安</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37</w:t>
            </w:r>
          </w:p>
        </w:tc>
        <w:tc>
          <w:tcPr>
            <w:tcW w:w="1675" w:type="dxa"/>
          </w:tcPr>
          <w:p>
            <w:pPr>
              <w:pStyle w:val="36"/>
              <w:ind w:left="16" w:right="16"/>
              <w:jc w:val="center"/>
              <w:rPr>
                <w:sz w:val="20"/>
              </w:rPr>
            </w:pPr>
            <w:r>
              <w:rPr>
                <w:rFonts w:hint="eastAsia" w:hAnsiTheme="minorHAnsi"/>
                <w:sz w:val="20"/>
                <w:szCs w:val="20"/>
                <w:lang w:val="en-US" w:bidi="ar-SA"/>
              </w:rPr>
              <w:t>橡塑保温材料</w:t>
            </w:r>
          </w:p>
        </w:tc>
        <w:tc>
          <w:tcPr>
            <w:tcW w:w="1523" w:type="dxa"/>
          </w:tcPr>
          <w:p>
            <w:pPr>
              <w:pStyle w:val="36"/>
              <w:jc w:val="center"/>
              <w:rPr>
                <w:sz w:val="20"/>
              </w:rPr>
            </w:pPr>
            <w:r>
              <w:rPr>
                <w:rFonts w:hint="eastAsia"/>
                <w:sz w:val="20"/>
              </w:rPr>
              <w:t>按设计要求</w:t>
            </w:r>
          </w:p>
        </w:tc>
        <w:tc>
          <w:tcPr>
            <w:tcW w:w="4042" w:type="dxa"/>
          </w:tcPr>
          <w:p>
            <w:pPr>
              <w:adjustRightInd w:val="0"/>
              <w:rPr>
                <w:sz w:val="20"/>
              </w:rPr>
            </w:pPr>
            <w:r>
              <w:rPr>
                <w:rFonts w:hint="eastAsia" w:hAnsiTheme="minorHAnsi"/>
                <w:sz w:val="20"/>
                <w:szCs w:val="20"/>
                <w:lang w:val="en-US" w:bidi="ar-SA"/>
              </w:rPr>
              <w:t>赢胜、富瑞格、金福莱斯、华美</w:t>
            </w:r>
          </w:p>
          <w:p>
            <w:pPr>
              <w:pStyle w:val="36"/>
              <w:spacing w:before="85" w:line="207" w:lineRule="exact"/>
              <w:ind w:left="20"/>
              <w:rPr>
                <w:sz w:val="20"/>
              </w:rPr>
            </w:pP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38</w:t>
            </w:r>
          </w:p>
        </w:tc>
        <w:tc>
          <w:tcPr>
            <w:tcW w:w="1675" w:type="dxa"/>
          </w:tcPr>
          <w:p>
            <w:pPr>
              <w:pStyle w:val="36"/>
              <w:ind w:left="16" w:right="16"/>
              <w:jc w:val="center"/>
              <w:rPr>
                <w:sz w:val="20"/>
              </w:rPr>
            </w:pPr>
            <w:r>
              <w:rPr>
                <w:rFonts w:hint="eastAsia" w:hAnsiTheme="minorHAnsi"/>
                <w:sz w:val="20"/>
                <w:szCs w:val="20"/>
                <w:lang w:val="en-US" w:bidi="ar-SA"/>
              </w:rPr>
              <w:t>紫铜管</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上海飞轮、顺德华鸿、宏泰</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39</w:t>
            </w:r>
          </w:p>
        </w:tc>
        <w:tc>
          <w:tcPr>
            <w:tcW w:w="1675" w:type="dxa"/>
          </w:tcPr>
          <w:p>
            <w:pPr>
              <w:pStyle w:val="36"/>
              <w:ind w:left="16" w:right="16"/>
              <w:jc w:val="center"/>
              <w:rPr>
                <w:sz w:val="20"/>
              </w:rPr>
            </w:pPr>
            <w:r>
              <w:rPr>
                <w:rFonts w:hint="eastAsia" w:hAnsiTheme="minorHAnsi"/>
                <w:sz w:val="20"/>
                <w:szCs w:val="20"/>
                <w:lang w:val="en-US" w:bidi="ar-SA"/>
              </w:rPr>
              <w:t>钢材</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鞍钢、广钢、安钢、韶钢、粤裕丰</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40</w:t>
            </w:r>
          </w:p>
        </w:tc>
        <w:tc>
          <w:tcPr>
            <w:tcW w:w="1675" w:type="dxa"/>
          </w:tcPr>
          <w:p>
            <w:pPr>
              <w:pStyle w:val="36"/>
              <w:ind w:left="16" w:right="16"/>
              <w:jc w:val="center"/>
              <w:rPr>
                <w:sz w:val="20"/>
              </w:rPr>
            </w:pPr>
            <w:r>
              <w:rPr>
                <w:rFonts w:hint="eastAsia" w:hAnsiTheme="minorHAnsi"/>
                <w:sz w:val="20"/>
                <w:szCs w:val="20"/>
                <w:lang w:val="en-US" w:bidi="ar-SA"/>
              </w:rPr>
              <w:t>消防水泵</w:t>
            </w:r>
          </w:p>
        </w:tc>
        <w:tc>
          <w:tcPr>
            <w:tcW w:w="1523" w:type="dxa"/>
          </w:tcPr>
          <w:p>
            <w:pPr>
              <w:pStyle w:val="36"/>
              <w:jc w:val="center"/>
              <w:rPr>
                <w:sz w:val="20"/>
              </w:rPr>
            </w:pPr>
            <w:r>
              <w:rPr>
                <w:rFonts w:hint="eastAsia"/>
                <w:sz w:val="20"/>
              </w:rPr>
              <w:t>按设计要求</w:t>
            </w:r>
          </w:p>
        </w:tc>
        <w:tc>
          <w:tcPr>
            <w:tcW w:w="4042" w:type="dxa"/>
          </w:tcPr>
          <w:p>
            <w:pPr>
              <w:adjustRightInd w:val="0"/>
              <w:rPr>
                <w:rFonts w:hAnsiTheme="minorHAnsi"/>
                <w:sz w:val="20"/>
                <w:szCs w:val="20"/>
                <w:lang w:val="en-US" w:bidi="ar-SA"/>
              </w:rPr>
            </w:pPr>
            <w:r>
              <w:rPr>
                <w:rFonts w:hint="eastAsia" w:hAnsiTheme="minorHAnsi"/>
                <w:sz w:val="20"/>
                <w:szCs w:val="20"/>
                <w:lang w:val="en-US" w:bidi="ar-SA"/>
              </w:rPr>
              <w:t>广一水泵、上海凯泉、广东川粤、上海连成、</w:t>
            </w:r>
          </w:p>
          <w:p>
            <w:pPr>
              <w:pStyle w:val="36"/>
              <w:spacing w:before="85" w:line="207" w:lineRule="exact"/>
              <w:ind w:left="20"/>
              <w:rPr>
                <w:sz w:val="20"/>
              </w:rPr>
            </w:pPr>
            <w:r>
              <w:rPr>
                <w:rFonts w:hint="eastAsia" w:hAnsiTheme="minorHAnsi"/>
                <w:sz w:val="20"/>
                <w:szCs w:val="20"/>
                <w:lang w:val="en-US" w:bidi="ar-SA"/>
              </w:rPr>
              <w:t>江西瑞丰</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41</w:t>
            </w:r>
          </w:p>
        </w:tc>
        <w:tc>
          <w:tcPr>
            <w:tcW w:w="1675" w:type="dxa"/>
          </w:tcPr>
          <w:p>
            <w:pPr>
              <w:pStyle w:val="36"/>
              <w:ind w:left="16" w:right="16"/>
              <w:jc w:val="center"/>
              <w:rPr>
                <w:sz w:val="20"/>
              </w:rPr>
            </w:pPr>
            <w:r>
              <w:rPr>
                <w:rFonts w:hint="eastAsia" w:hAnsiTheme="minorHAnsi"/>
                <w:sz w:val="20"/>
                <w:szCs w:val="20"/>
                <w:lang w:val="en-US" w:bidi="ar-SA"/>
              </w:rPr>
              <w:t>阀门及过滤器</w:t>
            </w:r>
          </w:p>
        </w:tc>
        <w:tc>
          <w:tcPr>
            <w:tcW w:w="1523" w:type="dxa"/>
          </w:tcPr>
          <w:p>
            <w:pPr>
              <w:pStyle w:val="36"/>
              <w:jc w:val="center"/>
              <w:rPr>
                <w:sz w:val="20"/>
              </w:rPr>
            </w:pPr>
            <w:r>
              <w:rPr>
                <w:rFonts w:hint="eastAsia"/>
                <w:sz w:val="20"/>
              </w:rPr>
              <w:t>按设计要求</w:t>
            </w:r>
          </w:p>
        </w:tc>
        <w:tc>
          <w:tcPr>
            <w:tcW w:w="4042" w:type="dxa"/>
          </w:tcPr>
          <w:p>
            <w:pPr>
              <w:adjustRightInd w:val="0"/>
              <w:rPr>
                <w:rFonts w:hAnsiTheme="minorHAnsi"/>
                <w:sz w:val="20"/>
                <w:szCs w:val="20"/>
                <w:lang w:val="en-US" w:bidi="ar-SA"/>
              </w:rPr>
            </w:pPr>
            <w:r>
              <w:rPr>
                <w:rFonts w:hint="eastAsia" w:hAnsiTheme="minorHAnsi"/>
                <w:sz w:val="20"/>
                <w:szCs w:val="20"/>
                <w:lang w:val="en-US" w:bidi="ar-SA"/>
              </w:rPr>
              <w:t>广州佳福斯、郑州中碟牌、广东冠龙、上海标</w:t>
            </w:r>
          </w:p>
          <w:p>
            <w:pPr>
              <w:pStyle w:val="36"/>
              <w:spacing w:before="85" w:line="207" w:lineRule="exact"/>
              <w:ind w:left="20"/>
              <w:rPr>
                <w:sz w:val="20"/>
              </w:rPr>
            </w:pPr>
            <w:r>
              <w:rPr>
                <w:rFonts w:hint="eastAsia" w:hAnsiTheme="minorHAnsi"/>
                <w:sz w:val="20"/>
                <w:szCs w:val="20"/>
                <w:lang w:val="en-US" w:bidi="ar-SA"/>
              </w:rPr>
              <w:t>一、金扇、上海</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42</w:t>
            </w:r>
          </w:p>
        </w:tc>
        <w:tc>
          <w:tcPr>
            <w:tcW w:w="1675" w:type="dxa"/>
          </w:tcPr>
          <w:p>
            <w:pPr>
              <w:pStyle w:val="36"/>
              <w:ind w:left="16" w:right="16"/>
              <w:jc w:val="center"/>
              <w:rPr>
                <w:sz w:val="20"/>
              </w:rPr>
            </w:pPr>
            <w:r>
              <w:rPr>
                <w:rFonts w:hint="eastAsia" w:hAnsiTheme="minorHAnsi"/>
                <w:sz w:val="20"/>
                <w:szCs w:val="20"/>
                <w:lang w:val="en-US" w:bidi="ar-SA"/>
              </w:rPr>
              <w:t>电梯</w:t>
            </w:r>
          </w:p>
        </w:tc>
        <w:tc>
          <w:tcPr>
            <w:tcW w:w="1523" w:type="dxa"/>
          </w:tcPr>
          <w:p>
            <w:pPr>
              <w:pStyle w:val="36"/>
              <w:jc w:val="center"/>
              <w:rPr>
                <w:sz w:val="20"/>
              </w:rPr>
            </w:pPr>
            <w:r>
              <w:rPr>
                <w:rFonts w:hint="eastAsia"/>
                <w:sz w:val="20"/>
              </w:rPr>
              <w:t>按设计要求</w:t>
            </w:r>
          </w:p>
        </w:tc>
        <w:tc>
          <w:tcPr>
            <w:tcW w:w="4042" w:type="dxa"/>
          </w:tcPr>
          <w:p>
            <w:pPr>
              <w:pStyle w:val="36"/>
              <w:spacing w:before="85" w:line="207" w:lineRule="exact"/>
              <w:ind w:left="20"/>
              <w:rPr>
                <w:sz w:val="20"/>
              </w:rPr>
            </w:pPr>
            <w:r>
              <w:rPr>
                <w:rFonts w:hint="eastAsia" w:hAnsiTheme="minorHAnsi"/>
                <w:sz w:val="20"/>
                <w:szCs w:val="20"/>
                <w:lang w:val="en-US" w:bidi="ar-SA"/>
              </w:rPr>
              <w:t>日立、东芝、三菱、广日、巨人通力</w:t>
            </w:r>
          </w:p>
        </w:tc>
        <w:tc>
          <w:tcPr>
            <w:tcW w:w="1588" w:type="dxa"/>
          </w:tcPr>
          <w:p>
            <w:pPr>
              <w:pStyle w:val="36"/>
              <w:jc w:val="center"/>
              <w:rPr>
                <w:sz w:val="20"/>
              </w:rPr>
            </w:pPr>
            <w:r>
              <w:rPr>
                <w:rFonts w:hint="eastAsia" w:hAnsiTheme="minorHAnsi"/>
                <w:sz w:val="20"/>
                <w:szCs w:val="20"/>
                <w:lang w:val="en-US" w:bidi="ar-SA"/>
              </w:rPr>
              <w:t>国标合格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953" w:type="dxa"/>
          </w:tcPr>
          <w:p>
            <w:pPr>
              <w:pStyle w:val="36"/>
              <w:jc w:val="center"/>
              <w:rPr>
                <w:sz w:val="19"/>
              </w:rPr>
            </w:pPr>
            <w:r>
              <w:rPr>
                <w:rFonts w:hint="eastAsia"/>
                <w:sz w:val="19"/>
              </w:rPr>
              <w:t>．．．</w:t>
            </w:r>
          </w:p>
        </w:tc>
        <w:tc>
          <w:tcPr>
            <w:tcW w:w="1675" w:type="dxa"/>
          </w:tcPr>
          <w:p>
            <w:pPr>
              <w:pStyle w:val="36"/>
              <w:jc w:val="center"/>
              <w:rPr>
                <w:sz w:val="20"/>
              </w:rPr>
            </w:pPr>
            <w:r>
              <w:rPr>
                <w:rFonts w:hint="eastAsia"/>
                <w:sz w:val="20"/>
              </w:rPr>
              <w:t>．．．</w:t>
            </w:r>
          </w:p>
        </w:tc>
        <w:tc>
          <w:tcPr>
            <w:tcW w:w="1523" w:type="dxa"/>
          </w:tcPr>
          <w:p>
            <w:pPr>
              <w:pStyle w:val="36"/>
              <w:jc w:val="center"/>
              <w:rPr>
                <w:sz w:val="19"/>
              </w:rPr>
            </w:pPr>
            <w:r>
              <w:rPr>
                <w:rFonts w:hint="eastAsia"/>
                <w:sz w:val="19"/>
              </w:rPr>
              <w:t>．．．</w:t>
            </w:r>
          </w:p>
        </w:tc>
        <w:tc>
          <w:tcPr>
            <w:tcW w:w="4042" w:type="dxa"/>
          </w:tcPr>
          <w:p>
            <w:pPr>
              <w:pStyle w:val="36"/>
              <w:jc w:val="center"/>
              <w:rPr>
                <w:sz w:val="20"/>
              </w:rPr>
            </w:pPr>
            <w:r>
              <w:rPr>
                <w:rFonts w:hint="eastAsia"/>
                <w:sz w:val="20"/>
              </w:rPr>
              <w:t>．．．</w:t>
            </w:r>
          </w:p>
        </w:tc>
        <w:tc>
          <w:tcPr>
            <w:tcW w:w="1588" w:type="dxa"/>
          </w:tcPr>
          <w:p>
            <w:pPr>
              <w:pStyle w:val="36"/>
              <w:jc w:val="center"/>
              <w:rPr>
                <w:sz w:val="20"/>
              </w:rPr>
            </w:pPr>
            <w:r>
              <w:rPr>
                <w:rFonts w:hint="eastAsia"/>
                <w:sz w:val="20"/>
              </w:rPr>
              <w:t>．．．</w:t>
            </w:r>
          </w:p>
        </w:tc>
      </w:tr>
    </w:tbl>
    <w:p>
      <w:pPr>
        <w:spacing w:line="398" w:lineRule="exact"/>
        <w:rPr>
          <w:rFonts w:ascii="Times New Roman" w:eastAsiaTheme="minorEastAsia"/>
          <w:sz w:val="21"/>
        </w:rPr>
      </w:pPr>
    </w:p>
    <w:p>
      <w:pPr>
        <w:spacing w:line="398" w:lineRule="exact"/>
        <w:rPr>
          <w:rFonts w:ascii="Times New Roman" w:eastAsiaTheme="minorEastAsia"/>
          <w:sz w:val="21"/>
        </w:rPr>
      </w:pPr>
    </w:p>
    <w:p>
      <w:pPr>
        <w:adjustRightInd w:val="0"/>
        <w:rPr>
          <w:rFonts w:hAnsiTheme="minorHAnsi"/>
          <w:sz w:val="21"/>
          <w:szCs w:val="21"/>
          <w:lang w:val="en-US" w:bidi="ar-SA"/>
        </w:rPr>
      </w:pPr>
      <w:r>
        <w:rPr>
          <w:rFonts w:hint="eastAsia" w:hAnsiTheme="minorHAnsi"/>
          <w:sz w:val="21"/>
          <w:szCs w:val="21"/>
          <w:lang w:val="en-US" w:bidi="ar-SA"/>
        </w:rPr>
        <w:t>注：投标文件中未按要求选定材料品牌的投标人，将视为同意选用招标人提供的参考样板进行报价，投标文件视为已选用品牌材料。</w:t>
      </w:r>
    </w:p>
    <w:p>
      <w:pPr>
        <w:spacing w:line="398" w:lineRule="exact"/>
        <w:rPr>
          <w:rFonts w:ascii="Times New Roman" w:eastAsiaTheme="minorEastAsia"/>
          <w:sz w:val="21"/>
          <w:lang w:val="en-US"/>
        </w:rPr>
        <w:sectPr>
          <w:pgSz w:w="11910" w:h="16840"/>
          <w:pgMar w:top="1400" w:right="580" w:bottom="1140" w:left="920" w:header="0" w:footer="950" w:gutter="0"/>
          <w:cols w:space="720" w:num="1"/>
        </w:sectPr>
      </w:pPr>
    </w:p>
    <w:p>
      <w:pPr>
        <w:pStyle w:val="35"/>
        <w:numPr>
          <w:ilvl w:val="0"/>
          <w:numId w:val="4"/>
        </w:numPr>
        <w:tabs>
          <w:tab w:val="left" w:pos="641"/>
        </w:tabs>
        <w:spacing w:before="44"/>
        <w:ind w:hanging="429"/>
        <w:outlineLvl w:val="1"/>
        <w:rPr>
          <w:rFonts w:ascii="黑体" w:eastAsia="黑体"/>
          <w:b/>
          <w:sz w:val="32"/>
        </w:rPr>
      </w:pPr>
      <w:bookmarkStart w:id="27" w:name="_bookmark14"/>
      <w:bookmarkEnd w:id="27"/>
      <w:bookmarkStart w:id="28" w:name="_Toc37926023"/>
      <w:r>
        <w:rPr>
          <w:rFonts w:hint="eastAsia" w:ascii="黑体" w:eastAsia="黑体"/>
          <w:b/>
          <w:sz w:val="32"/>
        </w:rPr>
        <w:t>总则</w:t>
      </w:r>
      <w:bookmarkEnd w:id="28"/>
    </w:p>
    <w:p>
      <w:pPr>
        <w:pStyle w:val="10"/>
        <w:spacing w:before="5"/>
        <w:rPr>
          <w:rFonts w:ascii="黑体"/>
          <w:b/>
          <w:sz w:val="39"/>
        </w:rPr>
      </w:pPr>
    </w:p>
    <w:p>
      <w:pPr>
        <w:pStyle w:val="35"/>
        <w:numPr>
          <w:ilvl w:val="1"/>
          <w:numId w:val="4"/>
        </w:numPr>
        <w:rPr>
          <w:rFonts w:ascii="Times New Roman" w:eastAsia="Times New Roman"/>
        </w:rPr>
      </w:pPr>
      <w:bookmarkStart w:id="29" w:name="_bookmark15"/>
      <w:bookmarkEnd w:id="29"/>
      <w:r>
        <w:t>项目概况</w:t>
      </w:r>
    </w:p>
    <w:p>
      <w:pPr>
        <w:ind w:left="348"/>
        <w:rPr>
          <w:rFonts w:ascii="Times New Roman" w:eastAsiaTheme="minorEastAsia"/>
        </w:rPr>
      </w:pPr>
    </w:p>
    <w:p>
      <w:pPr>
        <w:tabs>
          <w:tab w:val="left" w:pos="1106"/>
        </w:tabs>
        <w:spacing w:line="357" w:lineRule="auto"/>
        <w:ind w:right="546" w:firstLine="282" w:firstLineChars="147"/>
        <w:rPr>
          <w:rFonts w:ascii="Times New Roman" w:eastAsia="Times New Roman"/>
          <w:sz w:val="21"/>
        </w:rPr>
      </w:pPr>
      <w:r>
        <w:rPr>
          <w:rFonts w:hint="eastAsia"/>
          <w:spacing w:val="-9"/>
          <w:sz w:val="21"/>
        </w:rPr>
        <w:t xml:space="preserve">1.1.1  </w:t>
      </w:r>
      <w:r>
        <w:rPr>
          <w:spacing w:val="-9"/>
          <w:sz w:val="21"/>
        </w:rPr>
        <w:t>根据《中华人民共和国招标投标法》等有关法律、法规和规章的规定，本招标项目已具备招标条</w:t>
      </w:r>
      <w:r>
        <w:rPr>
          <w:spacing w:val="-5"/>
          <w:sz w:val="21"/>
        </w:rPr>
        <w:t>件，现对该项目设计施工进行总承包招标。</w:t>
      </w:r>
    </w:p>
    <w:p>
      <w:pPr>
        <w:pStyle w:val="35"/>
        <w:numPr>
          <w:ilvl w:val="2"/>
          <w:numId w:val="5"/>
        </w:numPr>
        <w:tabs>
          <w:tab w:val="left" w:pos="1159"/>
        </w:tabs>
        <w:spacing w:line="269" w:lineRule="exact"/>
        <w:rPr>
          <w:rFonts w:ascii="Times New Roman" w:eastAsia="Times New Roman"/>
          <w:sz w:val="21"/>
        </w:rPr>
      </w:pPr>
      <w:r>
        <w:rPr>
          <w:spacing w:val="-3"/>
          <w:sz w:val="21"/>
        </w:rPr>
        <w:t>招标人：见投标人须知前附表。</w:t>
      </w:r>
    </w:p>
    <w:p>
      <w:pPr>
        <w:pStyle w:val="35"/>
        <w:numPr>
          <w:ilvl w:val="2"/>
          <w:numId w:val="5"/>
        </w:numPr>
        <w:tabs>
          <w:tab w:val="left" w:pos="1159"/>
        </w:tabs>
        <w:spacing w:before="130"/>
        <w:rPr>
          <w:rFonts w:ascii="Times New Roman" w:eastAsia="Times New Roman"/>
          <w:sz w:val="21"/>
        </w:rPr>
      </w:pPr>
      <w:r>
        <w:rPr>
          <w:spacing w:val="-3"/>
          <w:sz w:val="21"/>
        </w:rPr>
        <w:t>招标代理机构：见投标人须知前附表。</w:t>
      </w:r>
    </w:p>
    <w:p>
      <w:pPr>
        <w:pStyle w:val="35"/>
        <w:numPr>
          <w:ilvl w:val="2"/>
          <w:numId w:val="5"/>
        </w:numPr>
        <w:tabs>
          <w:tab w:val="left" w:pos="1159"/>
        </w:tabs>
        <w:spacing w:before="131"/>
        <w:rPr>
          <w:rFonts w:ascii="Times New Roman" w:eastAsia="Times New Roman"/>
          <w:sz w:val="21"/>
        </w:rPr>
      </w:pPr>
      <w:r>
        <w:rPr>
          <w:spacing w:val="-3"/>
          <w:sz w:val="21"/>
        </w:rPr>
        <w:t>招标项目名称：见投标人须知前附表。</w:t>
      </w:r>
    </w:p>
    <w:p>
      <w:pPr>
        <w:tabs>
          <w:tab w:val="left" w:pos="1159"/>
        </w:tabs>
        <w:spacing w:before="132"/>
        <w:ind w:left="304"/>
        <w:rPr>
          <w:rFonts w:ascii="Times New Roman" w:eastAsia="Times New Roman"/>
          <w:sz w:val="21"/>
        </w:rPr>
      </w:pPr>
      <w:r>
        <w:rPr>
          <w:rFonts w:hint="eastAsia"/>
          <w:spacing w:val="-3"/>
          <w:sz w:val="21"/>
        </w:rPr>
        <w:t xml:space="preserve">1.1.5  </w:t>
      </w:r>
      <w:r>
        <w:rPr>
          <w:spacing w:val="-3"/>
          <w:sz w:val="21"/>
        </w:rPr>
        <w:t>项目建设地点：见投标人须知前附表。</w:t>
      </w:r>
    </w:p>
    <w:p>
      <w:pPr>
        <w:pStyle w:val="10"/>
        <w:spacing w:before="5"/>
        <w:rPr>
          <w:sz w:val="32"/>
        </w:rPr>
      </w:pPr>
    </w:p>
    <w:p>
      <w:pPr>
        <w:pStyle w:val="35"/>
        <w:numPr>
          <w:ilvl w:val="1"/>
          <w:numId w:val="5"/>
        </w:numPr>
        <w:rPr>
          <w:spacing w:val="-3"/>
        </w:rPr>
      </w:pPr>
      <w:bookmarkStart w:id="30" w:name="_bookmark16"/>
      <w:bookmarkEnd w:id="30"/>
      <w:r>
        <w:rPr>
          <w:spacing w:val="-3"/>
        </w:rPr>
        <w:t>项目的</w:t>
      </w:r>
      <w:r>
        <w:rPr>
          <w:rFonts w:hint="eastAsia"/>
          <w:spacing w:val="-3"/>
        </w:rPr>
        <w:t>最高限价及</w:t>
      </w:r>
      <w:r>
        <w:rPr>
          <w:spacing w:val="-3"/>
        </w:rPr>
        <w:t>资金来源和落实情况</w:t>
      </w:r>
    </w:p>
    <w:p>
      <w:pPr>
        <w:ind w:left="152"/>
        <w:rPr>
          <w:rFonts w:ascii="Times New Roman" w:eastAsiaTheme="minorEastAsia"/>
        </w:rPr>
      </w:pPr>
    </w:p>
    <w:p>
      <w:pPr>
        <w:pStyle w:val="35"/>
        <w:numPr>
          <w:ilvl w:val="2"/>
          <w:numId w:val="5"/>
        </w:numPr>
        <w:tabs>
          <w:tab w:val="left" w:pos="1159"/>
        </w:tabs>
        <w:rPr>
          <w:sz w:val="21"/>
        </w:rPr>
      </w:pPr>
      <w:r>
        <w:rPr>
          <w:spacing w:val="-3"/>
          <w:sz w:val="21"/>
        </w:rPr>
        <w:t>资金来源及比例：见投标人须知前附表。</w:t>
      </w:r>
    </w:p>
    <w:p>
      <w:pPr>
        <w:pStyle w:val="35"/>
        <w:numPr>
          <w:ilvl w:val="2"/>
          <w:numId w:val="5"/>
        </w:numPr>
        <w:tabs>
          <w:tab w:val="left" w:pos="1159"/>
        </w:tabs>
        <w:spacing w:before="132"/>
        <w:rPr>
          <w:sz w:val="21"/>
        </w:rPr>
      </w:pPr>
      <w:r>
        <w:rPr>
          <w:spacing w:val="-3"/>
          <w:sz w:val="21"/>
        </w:rPr>
        <w:t>资金落实情况：见投标人须知前附表。</w:t>
      </w:r>
    </w:p>
    <w:p>
      <w:pPr>
        <w:pStyle w:val="35"/>
        <w:tabs>
          <w:tab w:val="left" w:pos="1159"/>
        </w:tabs>
        <w:spacing w:before="132"/>
        <w:ind w:left="1024" w:firstLine="0"/>
        <w:rPr>
          <w:sz w:val="21"/>
        </w:rPr>
      </w:pPr>
    </w:p>
    <w:p>
      <w:pPr>
        <w:pStyle w:val="35"/>
        <w:numPr>
          <w:ilvl w:val="1"/>
          <w:numId w:val="5"/>
        </w:numPr>
        <w:rPr>
          <w:rFonts w:ascii="Times New Roman" w:eastAsia="Times New Roman"/>
        </w:rPr>
      </w:pPr>
      <w:bookmarkStart w:id="31" w:name="_bookmark17"/>
      <w:bookmarkEnd w:id="31"/>
      <w:r>
        <w:rPr>
          <w:spacing w:val="-3"/>
        </w:rPr>
        <w:t>招标范围、计划工期和质量标准</w:t>
      </w:r>
    </w:p>
    <w:p>
      <w:pPr>
        <w:pStyle w:val="10"/>
        <w:spacing w:before="1"/>
        <w:rPr>
          <w:rFonts w:ascii="黑体"/>
          <w:sz w:val="39"/>
        </w:rPr>
      </w:pPr>
    </w:p>
    <w:p>
      <w:pPr>
        <w:pStyle w:val="35"/>
        <w:numPr>
          <w:ilvl w:val="2"/>
          <w:numId w:val="5"/>
        </w:numPr>
        <w:tabs>
          <w:tab w:val="left" w:pos="1159"/>
        </w:tabs>
        <w:rPr>
          <w:sz w:val="21"/>
        </w:rPr>
      </w:pPr>
      <w:r>
        <w:rPr>
          <w:spacing w:val="-3"/>
          <w:sz w:val="21"/>
        </w:rPr>
        <w:t>招标范围：见投标人须知前附表。</w:t>
      </w:r>
    </w:p>
    <w:p>
      <w:pPr>
        <w:pStyle w:val="35"/>
        <w:numPr>
          <w:ilvl w:val="2"/>
          <w:numId w:val="5"/>
        </w:numPr>
        <w:tabs>
          <w:tab w:val="left" w:pos="1159"/>
        </w:tabs>
        <w:spacing w:before="132"/>
        <w:rPr>
          <w:sz w:val="21"/>
        </w:rPr>
      </w:pPr>
      <w:r>
        <w:rPr>
          <w:spacing w:val="-3"/>
          <w:sz w:val="21"/>
        </w:rPr>
        <w:t>计划工期：见投标人须知前附表。</w:t>
      </w:r>
    </w:p>
    <w:p>
      <w:pPr>
        <w:tabs>
          <w:tab w:val="left" w:pos="1159"/>
        </w:tabs>
        <w:spacing w:before="129"/>
        <w:ind w:firstLine="299" w:firstLineChars="147"/>
        <w:rPr>
          <w:sz w:val="21"/>
        </w:rPr>
      </w:pPr>
      <w:r>
        <w:rPr>
          <w:rFonts w:hint="eastAsia"/>
          <w:spacing w:val="-3"/>
          <w:sz w:val="21"/>
        </w:rPr>
        <w:t xml:space="preserve">1.3.3 </w:t>
      </w:r>
      <w:r>
        <w:rPr>
          <w:spacing w:val="-3"/>
          <w:sz w:val="21"/>
        </w:rPr>
        <w:t>质量标准：见投标人须知前附表。</w:t>
      </w:r>
    </w:p>
    <w:p>
      <w:pPr>
        <w:pStyle w:val="10"/>
        <w:spacing w:before="7"/>
        <w:rPr>
          <w:sz w:val="32"/>
        </w:rPr>
      </w:pPr>
    </w:p>
    <w:p>
      <w:pPr>
        <w:pStyle w:val="35"/>
        <w:numPr>
          <w:ilvl w:val="1"/>
          <w:numId w:val="5"/>
        </w:numPr>
        <w:rPr>
          <w:rFonts w:ascii="Times New Roman" w:eastAsia="Times New Roman"/>
        </w:rPr>
      </w:pPr>
      <w:bookmarkStart w:id="32" w:name="_bookmark18"/>
      <w:bookmarkEnd w:id="32"/>
      <w:r>
        <w:rPr>
          <w:spacing w:val="-1"/>
        </w:rPr>
        <w:t>投标人资格要求</w:t>
      </w:r>
    </w:p>
    <w:p>
      <w:pPr>
        <w:pStyle w:val="10"/>
        <w:spacing w:before="1"/>
        <w:rPr>
          <w:rFonts w:ascii="黑体"/>
          <w:sz w:val="39"/>
        </w:rPr>
      </w:pPr>
    </w:p>
    <w:p>
      <w:pPr>
        <w:tabs>
          <w:tab w:val="left" w:pos="1159"/>
        </w:tabs>
        <w:spacing w:before="1"/>
        <w:ind w:firstLine="299" w:firstLineChars="147"/>
        <w:rPr>
          <w:sz w:val="21"/>
        </w:rPr>
      </w:pPr>
      <w:r>
        <w:rPr>
          <w:rFonts w:hint="eastAsia"/>
          <w:spacing w:val="-3"/>
          <w:sz w:val="21"/>
        </w:rPr>
        <w:t>1.4.1</w:t>
      </w:r>
      <w:r>
        <w:rPr>
          <w:spacing w:val="-3"/>
          <w:sz w:val="21"/>
        </w:rPr>
        <w:t>投标人应具备承担本招标项目资质条件、能力和信誉</w:t>
      </w:r>
      <w:r>
        <w:rPr>
          <w:rFonts w:hint="eastAsia"/>
          <w:spacing w:val="-3"/>
          <w:sz w:val="21"/>
        </w:rPr>
        <w:t>，</w:t>
      </w:r>
      <w:r>
        <w:rPr>
          <w:rFonts w:hint="eastAsia" w:hAnsiTheme="minorHAnsi"/>
          <w:sz w:val="21"/>
          <w:szCs w:val="21"/>
          <w:lang w:val="en-US" w:bidi="ar-SA"/>
        </w:rPr>
        <w:t>详见本项目招标公告要求</w:t>
      </w:r>
      <w:r>
        <w:rPr>
          <w:spacing w:val="-3"/>
          <w:sz w:val="21"/>
        </w:rPr>
        <w:t>。</w:t>
      </w:r>
    </w:p>
    <w:p>
      <w:pPr>
        <w:pStyle w:val="35"/>
        <w:numPr>
          <w:ilvl w:val="0"/>
          <w:numId w:val="6"/>
        </w:numPr>
        <w:tabs>
          <w:tab w:val="left" w:pos="1057"/>
        </w:tabs>
        <w:spacing w:before="129"/>
        <w:ind w:hanging="530"/>
        <w:rPr>
          <w:sz w:val="21"/>
        </w:rPr>
      </w:pPr>
      <w:r>
        <w:rPr>
          <w:spacing w:val="-3"/>
          <w:sz w:val="21"/>
        </w:rPr>
        <w:t>资质要求：见投标人须知前附表；</w:t>
      </w:r>
    </w:p>
    <w:p>
      <w:pPr>
        <w:pStyle w:val="35"/>
        <w:numPr>
          <w:ilvl w:val="0"/>
          <w:numId w:val="6"/>
        </w:numPr>
        <w:tabs>
          <w:tab w:val="left" w:pos="1057"/>
        </w:tabs>
        <w:spacing w:before="132"/>
        <w:ind w:hanging="530"/>
        <w:rPr>
          <w:sz w:val="21"/>
        </w:rPr>
      </w:pPr>
      <w:r>
        <w:rPr>
          <w:spacing w:val="-3"/>
          <w:sz w:val="21"/>
        </w:rPr>
        <w:t>财务要求：见投标人须知前附表；</w:t>
      </w:r>
    </w:p>
    <w:p>
      <w:pPr>
        <w:pStyle w:val="35"/>
        <w:numPr>
          <w:ilvl w:val="0"/>
          <w:numId w:val="6"/>
        </w:numPr>
        <w:tabs>
          <w:tab w:val="left" w:pos="1057"/>
        </w:tabs>
        <w:spacing w:before="131"/>
        <w:ind w:hanging="530"/>
        <w:rPr>
          <w:sz w:val="21"/>
        </w:rPr>
      </w:pPr>
      <w:r>
        <w:rPr>
          <w:spacing w:val="-3"/>
          <w:sz w:val="21"/>
        </w:rPr>
        <w:t>业绩要求：见投标人须知前附表；</w:t>
      </w:r>
    </w:p>
    <w:p>
      <w:pPr>
        <w:pStyle w:val="35"/>
        <w:numPr>
          <w:ilvl w:val="0"/>
          <w:numId w:val="6"/>
        </w:numPr>
        <w:tabs>
          <w:tab w:val="left" w:pos="1057"/>
        </w:tabs>
        <w:spacing w:before="130"/>
        <w:ind w:hanging="530"/>
        <w:rPr>
          <w:sz w:val="21"/>
        </w:rPr>
      </w:pPr>
      <w:r>
        <w:rPr>
          <w:spacing w:val="-3"/>
          <w:sz w:val="21"/>
        </w:rPr>
        <w:t>信誉要求：见投标人须知前附表；</w:t>
      </w:r>
    </w:p>
    <w:p>
      <w:pPr>
        <w:pStyle w:val="35"/>
        <w:numPr>
          <w:ilvl w:val="0"/>
          <w:numId w:val="6"/>
        </w:numPr>
        <w:tabs>
          <w:tab w:val="left" w:pos="1057"/>
        </w:tabs>
        <w:spacing w:before="132"/>
        <w:ind w:hanging="530"/>
        <w:rPr>
          <w:sz w:val="21"/>
        </w:rPr>
      </w:pPr>
      <w:r>
        <w:rPr>
          <w:spacing w:val="-3"/>
          <w:sz w:val="21"/>
        </w:rPr>
        <w:t>项目经理的资格要求：具体要求见投标人须知前附表；</w:t>
      </w:r>
    </w:p>
    <w:p>
      <w:pPr>
        <w:pStyle w:val="35"/>
        <w:numPr>
          <w:ilvl w:val="0"/>
          <w:numId w:val="6"/>
        </w:numPr>
        <w:tabs>
          <w:tab w:val="left" w:pos="1057"/>
        </w:tabs>
        <w:spacing w:before="132"/>
        <w:ind w:hanging="530"/>
        <w:rPr>
          <w:sz w:val="21"/>
        </w:rPr>
      </w:pPr>
      <w:r>
        <w:rPr>
          <w:spacing w:val="-3"/>
          <w:sz w:val="21"/>
        </w:rPr>
        <w:t>施工负责人的资格要求：具体要求见投标人须知前附表；</w:t>
      </w:r>
    </w:p>
    <w:p>
      <w:pPr>
        <w:pStyle w:val="35"/>
        <w:numPr>
          <w:ilvl w:val="0"/>
          <w:numId w:val="6"/>
        </w:numPr>
        <w:tabs>
          <w:tab w:val="left" w:pos="1057"/>
        </w:tabs>
        <w:spacing w:before="129"/>
        <w:ind w:hanging="530"/>
        <w:rPr>
          <w:sz w:val="21"/>
        </w:rPr>
      </w:pPr>
      <w:r>
        <w:rPr>
          <w:spacing w:val="-3"/>
          <w:sz w:val="21"/>
        </w:rPr>
        <w:t>设计经理的资格要求：具体要求见投标人须知前附表；</w:t>
      </w:r>
    </w:p>
    <w:p>
      <w:pPr>
        <w:pStyle w:val="35"/>
        <w:numPr>
          <w:ilvl w:val="0"/>
          <w:numId w:val="6"/>
        </w:numPr>
        <w:tabs>
          <w:tab w:val="left" w:pos="1057"/>
        </w:tabs>
        <w:spacing w:before="132"/>
        <w:ind w:hanging="530"/>
        <w:rPr>
          <w:sz w:val="21"/>
        </w:rPr>
      </w:pPr>
      <w:r>
        <w:rPr>
          <w:spacing w:val="-3"/>
          <w:sz w:val="21"/>
        </w:rPr>
        <w:t>项目管理机构其他人员：见投标人须知前附表；</w:t>
      </w:r>
    </w:p>
    <w:p>
      <w:pPr>
        <w:pStyle w:val="35"/>
        <w:numPr>
          <w:ilvl w:val="0"/>
          <w:numId w:val="6"/>
        </w:numPr>
        <w:tabs>
          <w:tab w:val="left" w:pos="1057"/>
        </w:tabs>
        <w:spacing w:before="131"/>
        <w:ind w:hanging="530"/>
        <w:rPr>
          <w:sz w:val="21"/>
        </w:rPr>
      </w:pPr>
      <w:r>
        <w:rPr>
          <w:spacing w:val="-3"/>
          <w:sz w:val="21"/>
        </w:rPr>
        <w:t>其他要求：见投标人须知前附表。</w:t>
      </w:r>
    </w:p>
    <w:p>
      <w:pPr>
        <w:tabs>
          <w:tab w:val="left" w:pos="1159"/>
        </w:tabs>
        <w:spacing w:before="130"/>
        <w:ind w:firstLine="384" w:firstLineChars="196"/>
        <w:rPr>
          <w:sz w:val="21"/>
        </w:rPr>
      </w:pPr>
      <w:r>
        <w:rPr>
          <w:rFonts w:hint="eastAsia"/>
          <w:spacing w:val="-7"/>
          <w:sz w:val="21"/>
        </w:rPr>
        <w:t xml:space="preserve">1.4.2 </w:t>
      </w:r>
      <w:r>
        <w:rPr>
          <w:spacing w:val="-7"/>
          <w:sz w:val="21"/>
        </w:rPr>
        <w:t xml:space="preserve">投标人须知前附表规定接受联合体投标的，除应符合本章第 </w:t>
      </w:r>
      <w:r>
        <w:rPr>
          <w:rFonts w:ascii="Times New Roman" w:eastAsia="Times New Roman"/>
          <w:sz w:val="21"/>
        </w:rPr>
        <w:t xml:space="preserve">1.4.1 </w:t>
      </w:r>
      <w:r>
        <w:rPr>
          <w:spacing w:val="-3"/>
          <w:sz w:val="21"/>
        </w:rPr>
        <w:t>项和投标人须知前附表的要求</w:t>
      </w:r>
    </w:p>
    <w:p>
      <w:pPr>
        <w:rPr>
          <w:sz w:val="21"/>
        </w:rPr>
        <w:sectPr>
          <w:pgSz w:w="11910" w:h="16840"/>
          <w:pgMar w:top="1460" w:right="580" w:bottom="1140" w:left="920" w:header="0" w:footer="950" w:gutter="0"/>
          <w:cols w:space="720" w:num="1"/>
        </w:sectPr>
      </w:pPr>
    </w:p>
    <w:p>
      <w:pPr>
        <w:pStyle w:val="10"/>
        <w:spacing w:before="49"/>
        <w:ind w:left="212"/>
      </w:pPr>
      <w:r>
        <w:t>外，还应遵守以下规定：</w:t>
      </w:r>
    </w:p>
    <w:p>
      <w:pPr>
        <w:pStyle w:val="35"/>
        <w:numPr>
          <w:ilvl w:val="0"/>
          <w:numId w:val="7"/>
        </w:numPr>
        <w:tabs>
          <w:tab w:val="left" w:pos="1057"/>
        </w:tabs>
        <w:spacing w:before="130"/>
        <w:ind w:hanging="530"/>
        <w:rPr>
          <w:sz w:val="21"/>
        </w:rPr>
      </w:pPr>
      <w:r>
        <w:rPr>
          <w:spacing w:val="-3"/>
          <w:sz w:val="21"/>
        </w:rPr>
        <w:t>联合体各方应按招标文件提供的格式签订联合体协议书，明确联合体牵头人和各方权利义务；</w:t>
      </w:r>
    </w:p>
    <w:p>
      <w:pPr>
        <w:pStyle w:val="35"/>
        <w:numPr>
          <w:ilvl w:val="0"/>
          <w:numId w:val="7"/>
        </w:numPr>
        <w:tabs>
          <w:tab w:val="left" w:pos="1060"/>
        </w:tabs>
        <w:spacing w:before="131" w:line="357" w:lineRule="auto"/>
        <w:ind w:left="212" w:right="546" w:firstLine="314"/>
        <w:jc w:val="both"/>
        <w:rPr>
          <w:sz w:val="21"/>
        </w:rPr>
      </w:pPr>
      <w:r>
        <w:rPr>
          <w:spacing w:val="-4"/>
          <w:sz w:val="21"/>
        </w:rPr>
        <w:t>由同一专业的单位组成的联合体，按照资质等级较低的单位确定资质等级；</w:t>
      </w:r>
      <w:r>
        <w:rPr>
          <w:sz w:val="21"/>
        </w:rPr>
        <w:t>（注：联合体协议约</w:t>
      </w:r>
      <w:r>
        <w:rPr>
          <w:spacing w:val="-5"/>
          <w:sz w:val="21"/>
        </w:rPr>
        <w:t>定同一专业分工由两个及以上单位共同承担的，按照就低不就高的原则确定联合体的资质。不同专业分工</w:t>
      </w:r>
      <w:r>
        <w:rPr>
          <w:spacing w:val="-8"/>
          <w:sz w:val="21"/>
        </w:rPr>
        <w:t>由不同单位分别承担的，按照各自的专业资质确定联合体的资质。</w:t>
      </w:r>
      <w:r>
        <w:rPr>
          <w:sz w:val="21"/>
        </w:rPr>
        <w:t>）</w:t>
      </w:r>
    </w:p>
    <w:p>
      <w:pPr>
        <w:pStyle w:val="35"/>
        <w:numPr>
          <w:ilvl w:val="0"/>
          <w:numId w:val="7"/>
        </w:numPr>
        <w:tabs>
          <w:tab w:val="left" w:pos="1057"/>
        </w:tabs>
        <w:spacing w:line="266" w:lineRule="exact"/>
        <w:ind w:hanging="530"/>
        <w:rPr>
          <w:sz w:val="21"/>
        </w:rPr>
      </w:pPr>
      <w:r>
        <w:rPr>
          <w:spacing w:val="-3"/>
          <w:sz w:val="21"/>
        </w:rPr>
        <w:t>联合体各方不得再以自己名义单独或参加其他联合体在本招标项目中投标。</w:t>
      </w:r>
    </w:p>
    <w:p>
      <w:pPr>
        <w:tabs>
          <w:tab w:val="left" w:pos="1159"/>
        </w:tabs>
        <w:spacing w:before="132"/>
        <w:ind w:firstLine="399" w:firstLineChars="196"/>
        <w:rPr>
          <w:sz w:val="21"/>
        </w:rPr>
      </w:pPr>
      <w:r>
        <w:rPr>
          <w:rFonts w:hint="eastAsia"/>
          <w:spacing w:val="-3"/>
          <w:sz w:val="21"/>
        </w:rPr>
        <w:t xml:space="preserve">1.4.3 </w:t>
      </w:r>
      <w:r>
        <w:rPr>
          <w:spacing w:val="-3"/>
          <w:sz w:val="21"/>
        </w:rPr>
        <w:t>投标人不得存在下列情形之一：</w:t>
      </w:r>
    </w:p>
    <w:p>
      <w:pPr>
        <w:pStyle w:val="35"/>
        <w:numPr>
          <w:ilvl w:val="0"/>
          <w:numId w:val="8"/>
        </w:numPr>
        <w:tabs>
          <w:tab w:val="left" w:pos="1057"/>
        </w:tabs>
        <w:spacing w:before="129"/>
        <w:ind w:hanging="530"/>
        <w:rPr>
          <w:sz w:val="21"/>
        </w:rPr>
      </w:pPr>
      <w:r>
        <w:rPr>
          <w:spacing w:val="-3"/>
          <w:sz w:val="21"/>
        </w:rPr>
        <w:t>为招标人不具有独立法人资格的附属机构</w:t>
      </w:r>
      <w:r>
        <w:rPr>
          <w:sz w:val="21"/>
        </w:rPr>
        <w:t>（</w:t>
      </w:r>
      <w:r>
        <w:rPr>
          <w:spacing w:val="-2"/>
          <w:sz w:val="21"/>
        </w:rPr>
        <w:t>单位</w:t>
      </w:r>
      <w:r>
        <w:rPr>
          <w:spacing w:val="-106"/>
          <w:sz w:val="21"/>
        </w:rPr>
        <w:t>）</w:t>
      </w:r>
      <w:r>
        <w:rPr>
          <w:sz w:val="21"/>
        </w:rPr>
        <w:t>；</w:t>
      </w:r>
    </w:p>
    <w:p>
      <w:pPr>
        <w:pStyle w:val="35"/>
        <w:numPr>
          <w:ilvl w:val="0"/>
          <w:numId w:val="8"/>
        </w:numPr>
        <w:tabs>
          <w:tab w:val="left" w:pos="1057"/>
        </w:tabs>
        <w:spacing w:before="132"/>
        <w:ind w:hanging="530"/>
        <w:rPr>
          <w:sz w:val="21"/>
        </w:rPr>
      </w:pPr>
      <w:r>
        <w:rPr>
          <w:spacing w:val="-3"/>
          <w:sz w:val="21"/>
        </w:rPr>
        <w:t>为招标项目前期工作提供咨询服务的；</w:t>
      </w:r>
    </w:p>
    <w:p>
      <w:pPr>
        <w:pStyle w:val="35"/>
        <w:numPr>
          <w:ilvl w:val="0"/>
          <w:numId w:val="8"/>
        </w:numPr>
        <w:tabs>
          <w:tab w:val="left" w:pos="1057"/>
        </w:tabs>
        <w:spacing w:before="132"/>
        <w:ind w:hanging="530"/>
        <w:rPr>
          <w:sz w:val="21"/>
        </w:rPr>
      </w:pPr>
      <w:r>
        <w:rPr>
          <w:spacing w:val="-3"/>
          <w:sz w:val="21"/>
        </w:rPr>
        <w:t>为本招标项目的监理人；</w:t>
      </w:r>
    </w:p>
    <w:p>
      <w:pPr>
        <w:pStyle w:val="35"/>
        <w:numPr>
          <w:ilvl w:val="0"/>
          <w:numId w:val="8"/>
        </w:numPr>
        <w:tabs>
          <w:tab w:val="left" w:pos="1057"/>
        </w:tabs>
        <w:spacing w:before="130"/>
        <w:ind w:hanging="530"/>
        <w:rPr>
          <w:sz w:val="21"/>
        </w:rPr>
      </w:pPr>
      <w:r>
        <w:rPr>
          <w:spacing w:val="-3"/>
          <w:sz w:val="21"/>
        </w:rPr>
        <w:t>为本招标项目的代建人；</w:t>
      </w:r>
    </w:p>
    <w:p>
      <w:pPr>
        <w:pStyle w:val="35"/>
        <w:numPr>
          <w:ilvl w:val="0"/>
          <w:numId w:val="8"/>
        </w:numPr>
        <w:tabs>
          <w:tab w:val="left" w:pos="1057"/>
        </w:tabs>
        <w:spacing w:before="132"/>
        <w:ind w:hanging="530"/>
        <w:rPr>
          <w:sz w:val="21"/>
        </w:rPr>
      </w:pPr>
      <w:r>
        <w:rPr>
          <w:spacing w:val="-3"/>
          <w:sz w:val="21"/>
        </w:rPr>
        <w:t>为本招标项目提供招标代理服务的；</w:t>
      </w:r>
    </w:p>
    <w:p>
      <w:pPr>
        <w:pStyle w:val="35"/>
        <w:numPr>
          <w:ilvl w:val="0"/>
          <w:numId w:val="8"/>
        </w:numPr>
        <w:tabs>
          <w:tab w:val="left" w:pos="1057"/>
        </w:tabs>
        <w:spacing w:before="131"/>
        <w:ind w:hanging="530"/>
        <w:rPr>
          <w:sz w:val="21"/>
        </w:rPr>
      </w:pPr>
      <w:r>
        <w:rPr>
          <w:spacing w:val="-3"/>
          <w:sz w:val="21"/>
        </w:rPr>
        <w:t>被责令停业的；</w:t>
      </w:r>
    </w:p>
    <w:p>
      <w:pPr>
        <w:pStyle w:val="35"/>
        <w:numPr>
          <w:ilvl w:val="0"/>
          <w:numId w:val="8"/>
        </w:numPr>
        <w:tabs>
          <w:tab w:val="left" w:pos="1057"/>
        </w:tabs>
        <w:spacing w:before="130"/>
        <w:ind w:hanging="530"/>
        <w:rPr>
          <w:sz w:val="21"/>
        </w:rPr>
      </w:pPr>
      <w:r>
        <w:rPr>
          <w:spacing w:val="-3"/>
          <w:sz w:val="21"/>
        </w:rPr>
        <w:t>被暂停或取消投标资格的；</w:t>
      </w:r>
    </w:p>
    <w:p>
      <w:pPr>
        <w:pStyle w:val="35"/>
        <w:numPr>
          <w:ilvl w:val="0"/>
          <w:numId w:val="8"/>
        </w:numPr>
        <w:tabs>
          <w:tab w:val="left" w:pos="1057"/>
        </w:tabs>
        <w:spacing w:before="131"/>
        <w:ind w:hanging="530"/>
        <w:rPr>
          <w:sz w:val="21"/>
        </w:rPr>
      </w:pPr>
      <w:r>
        <w:rPr>
          <w:spacing w:val="-3"/>
          <w:sz w:val="21"/>
        </w:rPr>
        <w:t>财产被接管或冻结的；</w:t>
      </w:r>
    </w:p>
    <w:p>
      <w:pPr>
        <w:pStyle w:val="35"/>
        <w:numPr>
          <w:ilvl w:val="0"/>
          <w:numId w:val="8"/>
        </w:numPr>
        <w:tabs>
          <w:tab w:val="left" w:pos="1057"/>
        </w:tabs>
        <w:spacing w:before="132"/>
        <w:ind w:hanging="530"/>
        <w:rPr>
          <w:sz w:val="21"/>
        </w:rPr>
      </w:pPr>
      <w:r>
        <w:rPr>
          <w:spacing w:val="-3"/>
          <w:sz w:val="21"/>
        </w:rPr>
        <w:t>在最近三年内有骗取中标或严重违约或重大工程质量问题的；</w:t>
      </w:r>
    </w:p>
    <w:p>
      <w:pPr>
        <w:pStyle w:val="35"/>
        <w:numPr>
          <w:ilvl w:val="0"/>
          <w:numId w:val="8"/>
        </w:numPr>
        <w:tabs>
          <w:tab w:val="left" w:pos="1163"/>
        </w:tabs>
        <w:spacing w:before="129"/>
        <w:ind w:left="1162" w:hanging="636"/>
        <w:rPr>
          <w:sz w:val="21"/>
        </w:rPr>
      </w:pPr>
      <w:r>
        <w:rPr>
          <w:spacing w:val="-3"/>
          <w:sz w:val="21"/>
        </w:rPr>
        <w:t>与本招标项目的监理人或代建人或招标代理机构同为一个法定代表人的；</w:t>
      </w:r>
    </w:p>
    <w:p>
      <w:pPr>
        <w:pStyle w:val="35"/>
        <w:numPr>
          <w:ilvl w:val="0"/>
          <w:numId w:val="8"/>
        </w:numPr>
        <w:tabs>
          <w:tab w:val="left" w:pos="1153"/>
        </w:tabs>
        <w:spacing w:before="132"/>
        <w:ind w:left="1152" w:hanging="626"/>
        <w:rPr>
          <w:sz w:val="21"/>
        </w:rPr>
      </w:pPr>
      <w:r>
        <w:rPr>
          <w:spacing w:val="-3"/>
          <w:sz w:val="21"/>
        </w:rPr>
        <w:t>与本招标项目的监理人或代建人或招标代理机构相互控股或参股的；</w:t>
      </w:r>
    </w:p>
    <w:p>
      <w:pPr>
        <w:pStyle w:val="35"/>
        <w:numPr>
          <w:ilvl w:val="0"/>
          <w:numId w:val="8"/>
        </w:numPr>
        <w:tabs>
          <w:tab w:val="left" w:pos="1163"/>
        </w:tabs>
        <w:spacing w:before="132"/>
        <w:ind w:left="1162" w:hanging="636"/>
        <w:rPr>
          <w:sz w:val="21"/>
        </w:rPr>
      </w:pPr>
      <w:r>
        <w:rPr>
          <w:spacing w:val="-3"/>
          <w:sz w:val="21"/>
        </w:rPr>
        <w:t>与本招标项目的监理人或代建人或招标代理机构相互任职或工作的。</w:t>
      </w:r>
    </w:p>
    <w:p>
      <w:pPr>
        <w:pStyle w:val="35"/>
        <w:numPr>
          <w:ilvl w:val="0"/>
          <w:numId w:val="8"/>
        </w:numPr>
        <w:tabs>
          <w:tab w:val="left" w:pos="1163"/>
        </w:tabs>
        <w:spacing w:before="129"/>
        <w:ind w:left="1162" w:hanging="636"/>
        <w:rPr>
          <w:sz w:val="21"/>
        </w:rPr>
      </w:pPr>
      <w:r>
        <w:rPr>
          <w:spacing w:val="-3"/>
          <w:sz w:val="21"/>
        </w:rPr>
        <w:t>其他要求：见投标人须知前附表。</w:t>
      </w:r>
    </w:p>
    <w:p>
      <w:pPr>
        <w:tabs>
          <w:tab w:val="left" w:pos="1159"/>
        </w:tabs>
        <w:spacing w:before="132"/>
        <w:ind w:firstLine="299" w:firstLineChars="147"/>
        <w:rPr>
          <w:sz w:val="21"/>
        </w:rPr>
      </w:pPr>
      <w:r>
        <w:rPr>
          <w:rFonts w:hint="eastAsia"/>
          <w:spacing w:val="-3"/>
          <w:sz w:val="21"/>
        </w:rPr>
        <w:t xml:space="preserve"> 1.4.4 </w:t>
      </w:r>
      <w:r>
        <w:rPr>
          <w:spacing w:val="-3"/>
          <w:sz w:val="21"/>
        </w:rPr>
        <w:t>单位负责人为同一人或者存在控股、管理关系的不同单位，不得同时参加本招标项目投标。</w:t>
      </w:r>
    </w:p>
    <w:p>
      <w:pPr>
        <w:pStyle w:val="10"/>
        <w:spacing w:before="7"/>
        <w:rPr>
          <w:sz w:val="32"/>
        </w:rPr>
      </w:pPr>
    </w:p>
    <w:p>
      <w:pPr>
        <w:pStyle w:val="35"/>
        <w:numPr>
          <w:ilvl w:val="1"/>
          <w:numId w:val="5"/>
        </w:numPr>
        <w:rPr>
          <w:rFonts w:ascii="Times New Roman" w:eastAsia="Times New Roman"/>
        </w:rPr>
      </w:pPr>
      <w:bookmarkStart w:id="33" w:name="_bookmark19"/>
      <w:bookmarkEnd w:id="33"/>
      <w:r>
        <w:rPr>
          <w:spacing w:val="-2"/>
        </w:rPr>
        <w:t>费用承担和设计成果补偿</w:t>
      </w:r>
    </w:p>
    <w:p>
      <w:pPr>
        <w:pStyle w:val="10"/>
        <w:spacing w:before="12"/>
        <w:rPr>
          <w:rFonts w:ascii="黑体"/>
          <w:sz w:val="38"/>
        </w:rPr>
      </w:pPr>
    </w:p>
    <w:p>
      <w:pPr>
        <w:pStyle w:val="35"/>
        <w:numPr>
          <w:ilvl w:val="2"/>
          <w:numId w:val="5"/>
        </w:numPr>
        <w:tabs>
          <w:tab w:val="left" w:pos="1159"/>
        </w:tabs>
        <w:rPr>
          <w:sz w:val="21"/>
        </w:rPr>
      </w:pPr>
      <w:r>
        <w:rPr>
          <w:spacing w:val="-3"/>
          <w:sz w:val="21"/>
        </w:rPr>
        <w:t>投标人准备和参加投标活动发生的费用自理。</w:t>
      </w:r>
    </w:p>
    <w:p>
      <w:pPr>
        <w:tabs>
          <w:tab w:val="left" w:pos="1162"/>
        </w:tabs>
        <w:spacing w:before="132" w:line="357" w:lineRule="auto"/>
        <w:ind w:right="552" w:firstLine="305" w:firstLineChars="147"/>
        <w:rPr>
          <w:sz w:val="21"/>
        </w:rPr>
      </w:pPr>
      <w:r>
        <w:rPr>
          <w:rFonts w:hint="eastAsia"/>
          <w:spacing w:val="-1"/>
          <w:sz w:val="21"/>
        </w:rPr>
        <w:t xml:space="preserve">1.5.2  </w:t>
      </w:r>
      <w:r>
        <w:rPr>
          <w:spacing w:val="-1"/>
          <w:sz w:val="21"/>
        </w:rPr>
        <w:t>招标人对符合招标文件规定的未中标人的设计成果进行补偿的，按投标人须知前附表规定给予</w:t>
      </w:r>
      <w:r>
        <w:rPr>
          <w:spacing w:val="-3"/>
          <w:sz w:val="21"/>
        </w:rPr>
        <w:t>补偿，并有权免费使用未中标人设计成果。</w:t>
      </w:r>
    </w:p>
    <w:p>
      <w:pPr>
        <w:pStyle w:val="10"/>
        <w:rPr>
          <w:sz w:val="22"/>
        </w:rPr>
      </w:pPr>
    </w:p>
    <w:p>
      <w:pPr>
        <w:rPr>
          <w:rFonts w:ascii="Times New Roman" w:eastAsia="Times New Roman"/>
        </w:rPr>
      </w:pPr>
      <w:bookmarkStart w:id="34" w:name="_bookmark20"/>
      <w:bookmarkEnd w:id="34"/>
      <w:r>
        <w:rPr>
          <w:rFonts w:hint="eastAsia"/>
        </w:rPr>
        <w:t xml:space="preserve">1.6 </w:t>
      </w:r>
      <w:r>
        <w:t>保密</w:t>
      </w:r>
    </w:p>
    <w:p>
      <w:pPr>
        <w:pStyle w:val="10"/>
        <w:spacing w:line="357" w:lineRule="auto"/>
        <w:ind w:left="212" w:right="522" w:firstLine="420"/>
      </w:pPr>
    </w:p>
    <w:p>
      <w:pPr>
        <w:pStyle w:val="10"/>
        <w:spacing w:line="357" w:lineRule="auto"/>
        <w:ind w:left="212" w:right="522" w:firstLine="420"/>
      </w:pPr>
      <w:r>
        <w:t>参与招标投标活动的各方应对招标文件和投标文件中的商业和技术等秘密保密，否则应承担相应的法律责任。</w:t>
      </w:r>
    </w:p>
    <w:p>
      <w:pPr>
        <w:spacing w:line="357" w:lineRule="auto"/>
        <w:sectPr>
          <w:pgSz w:w="11910" w:h="16840"/>
          <w:pgMar w:top="1460" w:right="580" w:bottom="1220" w:left="920" w:header="0" w:footer="950" w:gutter="0"/>
          <w:cols w:space="720" w:num="1"/>
        </w:sectPr>
      </w:pPr>
    </w:p>
    <w:p>
      <w:pPr>
        <w:rPr>
          <w:rFonts w:ascii="Times New Roman" w:eastAsia="Times New Roman"/>
        </w:rPr>
      </w:pPr>
      <w:bookmarkStart w:id="35" w:name="_bookmark21"/>
      <w:bookmarkEnd w:id="35"/>
      <w:r>
        <w:rPr>
          <w:rFonts w:hint="eastAsia"/>
        </w:rPr>
        <w:t xml:space="preserve">1.7 </w:t>
      </w:r>
      <w:r>
        <w:t>语言文字</w:t>
      </w:r>
    </w:p>
    <w:p>
      <w:pPr>
        <w:pStyle w:val="10"/>
        <w:spacing w:before="1"/>
        <w:rPr>
          <w:rFonts w:ascii="黑体"/>
          <w:sz w:val="39"/>
        </w:rPr>
      </w:pPr>
    </w:p>
    <w:p>
      <w:pPr>
        <w:pStyle w:val="10"/>
        <w:ind w:left="633"/>
      </w:pPr>
      <w:r>
        <w:t>招标投标文件使用的语言文字为中文。专用术语使用外文的，应附有中文注释。</w:t>
      </w:r>
    </w:p>
    <w:p>
      <w:pPr>
        <w:pStyle w:val="10"/>
        <w:rPr>
          <w:sz w:val="20"/>
        </w:rPr>
      </w:pPr>
    </w:p>
    <w:p>
      <w:pPr>
        <w:rPr>
          <w:rFonts w:ascii="Times New Roman" w:eastAsia="Times New Roman"/>
        </w:rPr>
      </w:pPr>
      <w:bookmarkStart w:id="36" w:name="_bookmark22"/>
      <w:bookmarkEnd w:id="36"/>
      <w:r>
        <w:rPr>
          <w:rFonts w:hint="eastAsia"/>
        </w:rPr>
        <w:t xml:space="preserve">1.8 </w:t>
      </w:r>
      <w:r>
        <w:t>计量单位</w:t>
      </w:r>
    </w:p>
    <w:p>
      <w:pPr>
        <w:pStyle w:val="10"/>
        <w:spacing w:before="11"/>
        <w:rPr>
          <w:rFonts w:ascii="黑体"/>
          <w:sz w:val="38"/>
        </w:rPr>
      </w:pPr>
    </w:p>
    <w:p>
      <w:pPr>
        <w:pStyle w:val="10"/>
        <w:ind w:left="633"/>
      </w:pPr>
      <w:r>
        <w:t>所有计量均采用中华人民共和国法定计量单位。</w:t>
      </w:r>
    </w:p>
    <w:p>
      <w:pPr>
        <w:pStyle w:val="10"/>
        <w:rPr>
          <w:sz w:val="20"/>
        </w:rPr>
      </w:pPr>
    </w:p>
    <w:p>
      <w:pPr>
        <w:pStyle w:val="35"/>
        <w:numPr>
          <w:ilvl w:val="1"/>
          <w:numId w:val="9"/>
        </w:numPr>
        <w:rPr>
          <w:rFonts w:ascii="Times New Roman" w:eastAsia="Times New Roman"/>
        </w:rPr>
      </w:pPr>
      <w:bookmarkStart w:id="37" w:name="_bookmark23"/>
      <w:bookmarkEnd w:id="37"/>
      <w:r>
        <w:t>踏勘现场</w:t>
      </w:r>
    </w:p>
    <w:p>
      <w:pPr>
        <w:pStyle w:val="10"/>
        <w:spacing w:before="2"/>
        <w:rPr>
          <w:rFonts w:ascii="黑体"/>
          <w:sz w:val="39"/>
        </w:rPr>
      </w:pPr>
    </w:p>
    <w:p>
      <w:pPr>
        <w:pStyle w:val="35"/>
        <w:numPr>
          <w:ilvl w:val="2"/>
          <w:numId w:val="10"/>
        </w:numPr>
        <w:tabs>
          <w:tab w:val="left" w:pos="1159"/>
        </w:tabs>
        <w:spacing w:line="355" w:lineRule="auto"/>
        <w:ind w:right="552"/>
        <w:rPr>
          <w:sz w:val="21"/>
        </w:rPr>
      </w:pPr>
      <w:r>
        <w:rPr>
          <w:spacing w:val="-1"/>
          <w:sz w:val="21"/>
        </w:rPr>
        <w:t>投标人须知前附表规定组织踏勘现场的，招标人按投标人须知前附表规定的时间、地点组织投</w:t>
      </w:r>
      <w:r>
        <w:rPr>
          <w:spacing w:val="-3"/>
          <w:sz w:val="21"/>
        </w:rPr>
        <w:t>标人踏勘项目现场。</w:t>
      </w:r>
    </w:p>
    <w:p>
      <w:pPr>
        <w:pStyle w:val="35"/>
        <w:numPr>
          <w:ilvl w:val="2"/>
          <w:numId w:val="10"/>
        </w:numPr>
        <w:tabs>
          <w:tab w:val="left" w:pos="1159"/>
        </w:tabs>
        <w:spacing w:line="355" w:lineRule="auto"/>
        <w:ind w:right="552"/>
        <w:rPr>
          <w:sz w:val="21"/>
        </w:rPr>
      </w:pPr>
      <w:r>
        <w:rPr>
          <w:spacing w:val="-3"/>
          <w:sz w:val="21"/>
        </w:rPr>
        <w:t>投标人踏勘现场发生的费用自理。</w:t>
      </w:r>
    </w:p>
    <w:p>
      <w:pPr>
        <w:pStyle w:val="35"/>
        <w:numPr>
          <w:ilvl w:val="2"/>
          <w:numId w:val="10"/>
        </w:numPr>
        <w:tabs>
          <w:tab w:val="left" w:pos="1159"/>
        </w:tabs>
        <w:spacing w:before="131"/>
        <w:ind w:hanging="526"/>
        <w:rPr>
          <w:sz w:val="21"/>
        </w:rPr>
      </w:pPr>
      <w:r>
        <w:rPr>
          <w:rFonts w:hint="eastAsia"/>
          <w:spacing w:val="-3"/>
          <w:sz w:val="21"/>
        </w:rPr>
        <w:t xml:space="preserve"> </w:t>
      </w:r>
      <w:r>
        <w:rPr>
          <w:spacing w:val="-3"/>
          <w:sz w:val="21"/>
        </w:rPr>
        <w:t>除招标人的原因外，投标人自行负责在踏勘现场中所发生的人员伤亡和财产损失。</w:t>
      </w:r>
    </w:p>
    <w:p>
      <w:pPr>
        <w:pStyle w:val="35"/>
        <w:numPr>
          <w:ilvl w:val="2"/>
          <w:numId w:val="10"/>
        </w:numPr>
        <w:tabs>
          <w:tab w:val="left" w:pos="1159"/>
        </w:tabs>
        <w:spacing w:before="130" w:line="357" w:lineRule="auto"/>
        <w:ind w:left="212" w:right="443" w:firstLine="420"/>
        <w:rPr>
          <w:sz w:val="21"/>
        </w:rPr>
      </w:pPr>
      <w:r>
        <w:rPr>
          <w:rFonts w:hint="eastAsia"/>
          <w:spacing w:val="-4"/>
          <w:sz w:val="21"/>
        </w:rPr>
        <w:t xml:space="preserve"> </w:t>
      </w:r>
      <w:r>
        <w:rPr>
          <w:spacing w:val="-4"/>
          <w:sz w:val="21"/>
        </w:rPr>
        <w:t xml:space="preserve">招标人在踏勘现场中介绍的工程场地和相关的周边环境情况，供投标人在编制投标文件时参考， </w:t>
      </w:r>
      <w:r>
        <w:rPr>
          <w:spacing w:val="-3"/>
          <w:sz w:val="21"/>
        </w:rPr>
        <w:t>招标人不对投标人据此作出的判断和决策负责。</w:t>
      </w:r>
    </w:p>
    <w:p>
      <w:pPr>
        <w:pStyle w:val="10"/>
        <w:spacing w:before="3"/>
        <w:rPr>
          <w:sz w:val="22"/>
        </w:rPr>
      </w:pPr>
    </w:p>
    <w:p>
      <w:pPr>
        <w:pStyle w:val="35"/>
        <w:numPr>
          <w:ilvl w:val="1"/>
          <w:numId w:val="10"/>
        </w:numPr>
        <w:rPr>
          <w:rFonts w:ascii="Times New Roman" w:eastAsia="Times New Roman"/>
        </w:rPr>
      </w:pPr>
      <w:bookmarkStart w:id="38" w:name="_bookmark24"/>
      <w:bookmarkEnd w:id="38"/>
      <w:r>
        <w:rPr>
          <w:spacing w:val="-1"/>
        </w:rPr>
        <w:t>投标预备会</w:t>
      </w:r>
    </w:p>
    <w:p>
      <w:pPr>
        <w:pStyle w:val="10"/>
        <w:spacing w:before="11"/>
        <w:rPr>
          <w:rFonts w:ascii="黑体"/>
          <w:sz w:val="38"/>
        </w:rPr>
      </w:pPr>
    </w:p>
    <w:p>
      <w:pPr>
        <w:tabs>
          <w:tab w:val="left" w:pos="1265"/>
        </w:tabs>
        <w:spacing w:line="357" w:lineRule="auto"/>
        <w:ind w:right="546" w:firstLine="196" w:firstLineChars="98"/>
        <w:rPr>
          <w:sz w:val="21"/>
        </w:rPr>
      </w:pPr>
      <w:r>
        <w:rPr>
          <w:rFonts w:hint="eastAsia"/>
          <w:spacing w:val="-5"/>
          <w:sz w:val="21"/>
        </w:rPr>
        <w:t xml:space="preserve">1.10.1 </w:t>
      </w:r>
      <w:r>
        <w:rPr>
          <w:spacing w:val="-5"/>
          <w:sz w:val="21"/>
        </w:rPr>
        <w:t>投标人须知前附表规定召开投标预备会的，招标人按投标人须知前附表规定的时间和地点召开</w:t>
      </w:r>
      <w:r>
        <w:rPr>
          <w:spacing w:val="-4"/>
          <w:sz w:val="21"/>
        </w:rPr>
        <w:t>投标预备会，澄清投标人提出的问题。</w:t>
      </w:r>
    </w:p>
    <w:p>
      <w:pPr>
        <w:pStyle w:val="35"/>
        <w:numPr>
          <w:ilvl w:val="2"/>
          <w:numId w:val="11"/>
        </w:numPr>
        <w:tabs>
          <w:tab w:val="left" w:pos="1265"/>
        </w:tabs>
        <w:spacing w:before="1" w:line="355" w:lineRule="auto"/>
        <w:ind w:right="546"/>
        <w:rPr>
          <w:sz w:val="21"/>
        </w:rPr>
      </w:pPr>
      <w:r>
        <w:rPr>
          <w:spacing w:val="-5"/>
          <w:sz w:val="21"/>
        </w:rPr>
        <w:t>投标人应在投标人须知前附表规定的时间前，以书面形式将提出的问题送达招标人，以便招标</w:t>
      </w:r>
      <w:r>
        <w:rPr>
          <w:spacing w:val="-4"/>
          <w:sz w:val="21"/>
        </w:rPr>
        <w:t>人在会议期间澄清。</w:t>
      </w:r>
    </w:p>
    <w:p>
      <w:pPr>
        <w:pStyle w:val="35"/>
        <w:numPr>
          <w:ilvl w:val="2"/>
          <w:numId w:val="11"/>
        </w:numPr>
        <w:tabs>
          <w:tab w:val="left" w:pos="1265"/>
        </w:tabs>
        <w:spacing w:before="2" w:line="357" w:lineRule="auto"/>
        <w:ind w:left="212" w:right="546" w:firstLine="420"/>
        <w:rPr>
          <w:sz w:val="21"/>
        </w:rPr>
      </w:pPr>
      <w:r>
        <w:rPr>
          <w:rFonts w:hint="eastAsia"/>
          <w:spacing w:val="-6"/>
          <w:sz w:val="21"/>
        </w:rPr>
        <w:t xml:space="preserve"> </w:t>
      </w:r>
      <w:r>
        <w:rPr>
          <w:spacing w:val="-6"/>
          <w:sz w:val="21"/>
        </w:rPr>
        <w:t>投标预备会后，招标人在投标人须知前附表规定的时间内，将对投标人所提问题的澄清，以书</w:t>
      </w:r>
      <w:r>
        <w:rPr>
          <w:spacing w:val="-4"/>
          <w:sz w:val="21"/>
        </w:rPr>
        <w:t>面形式通知所有购买招标文件的投标人。该澄清内容为招标文件的组成部分。</w:t>
      </w:r>
    </w:p>
    <w:p>
      <w:pPr>
        <w:pStyle w:val="10"/>
        <w:spacing w:before="1"/>
        <w:rPr>
          <w:sz w:val="22"/>
        </w:rPr>
      </w:pPr>
    </w:p>
    <w:p>
      <w:pPr>
        <w:pStyle w:val="35"/>
        <w:numPr>
          <w:ilvl w:val="1"/>
          <w:numId w:val="11"/>
        </w:numPr>
        <w:rPr>
          <w:rFonts w:ascii="Times New Roman" w:eastAsia="Times New Roman"/>
        </w:rPr>
      </w:pPr>
      <w:bookmarkStart w:id="39" w:name="_bookmark25"/>
      <w:bookmarkEnd w:id="39"/>
      <w:r>
        <w:t>分包</w:t>
      </w:r>
    </w:p>
    <w:p>
      <w:pPr>
        <w:pStyle w:val="10"/>
        <w:spacing w:before="1"/>
        <w:rPr>
          <w:rFonts w:ascii="黑体"/>
          <w:sz w:val="39"/>
        </w:rPr>
      </w:pPr>
    </w:p>
    <w:p>
      <w:pPr>
        <w:adjustRightInd w:val="0"/>
        <w:ind w:firstLine="198" w:firstLineChars="100"/>
        <w:rPr>
          <w:spacing w:val="-6"/>
          <w:sz w:val="21"/>
        </w:rPr>
      </w:pPr>
      <w:r>
        <w:rPr>
          <w:rFonts w:hint="eastAsia"/>
          <w:spacing w:val="-6"/>
          <w:sz w:val="21"/>
        </w:rPr>
        <w:t>投标人须知前附表规定应当由分包人实施的非主体、非关键性工作进行分包的，应符合投标人须知前附表规定的分包内容、分包金额和接受分包的第三人资质要求等限制性条件。</w:t>
      </w:r>
    </w:p>
    <w:p>
      <w:pPr>
        <w:adjustRightInd w:val="0"/>
        <w:ind w:firstLine="198" w:firstLineChars="100"/>
        <w:rPr>
          <w:spacing w:val="-6"/>
          <w:sz w:val="21"/>
        </w:rPr>
      </w:pPr>
    </w:p>
    <w:p>
      <w:pPr>
        <w:rPr>
          <w:rFonts w:ascii="Times New Roman" w:eastAsia="Times New Roman"/>
        </w:rPr>
      </w:pPr>
      <w:bookmarkStart w:id="40" w:name="_bookmark26"/>
      <w:bookmarkEnd w:id="40"/>
      <w:r>
        <w:rPr>
          <w:rFonts w:hint="eastAsia"/>
        </w:rPr>
        <w:t xml:space="preserve">1.12 </w:t>
      </w:r>
      <w:r>
        <w:t>偏离</w:t>
      </w:r>
    </w:p>
    <w:p>
      <w:pPr>
        <w:pStyle w:val="10"/>
        <w:spacing w:before="1"/>
        <w:rPr>
          <w:rFonts w:ascii="黑体"/>
          <w:sz w:val="39"/>
        </w:rPr>
      </w:pPr>
    </w:p>
    <w:p>
      <w:pPr>
        <w:pStyle w:val="10"/>
        <w:spacing w:line="357" w:lineRule="auto"/>
        <w:ind w:left="212" w:right="546" w:firstLine="360"/>
      </w:pPr>
      <w:r>
        <w:rPr>
          <w:spacing w:val="-4"/>
        </w:rPr>
        <w:t>投标人须知前附表允许投标文件偏离招标文件某些要求的，偏离应当符合招标文件规定的偏离范围和</w:t>
      </w:r>
      <w:r>
        <w:t>幅度。</w:t>
      </w:r>
    </w:p>
    <w:p>
      <w:pPr>
        <w:pStyle w:val="10"/>
        <w:spacing w:before="11"/>
        <w:rPr>
          <w:sz w:val="19"/>
        </w:rPr>
      </w:pPr>
    </w:p>
    <w:p>
      <w:pPr>
        <w:pStyle w:val="3"/>
        <w:numPr>
          <w:ilvl w:val="0"/>
          <w:numId w:val="11"/>
        </w:numPr>
        <w:tabs>
          <w:tab w:val="left" w:pos="641"/>
        </w:tabs>
        <w:ind w:hanging="429"/>
      </w:pPr>
      <w:bookmarkStart w:id="41" w:name="_bookmark27"/>
      <w:bookmarkEnd w:id="41"/>
      <w:bookmarkStart w:id="42" w:name="_Toc37926024"/>
      <w:r>
        <w:t>招标文件</w:t>
      </w:r>
      <w:bookmarkEnd w:id="42"/>
    </w:p>
    <w:p>
      <w:pPr>
        <w:pStyle w:val="10"/>
        <w:spacing w:before="4"/>
        <w:rPr>
          <w:rFonts w:ascii="黑体"/>
          <w:b/>
          <w:sz w:val="39"/>
        </w:rPr>
      </w:pPr>
    </w:p>
    <w:p>
      <w:pPr>
        <w:rPr>
          <w:rFonts w:ascii="Times New Roman" w:eastAsia="Times New Roman"/>
        </w:rPr>
      </w:pPr>
      <w:bookmarkStart w:id="43" w:name="_bookmark28"/>
      <w:bookmarkEnd w:id="43"/>
      <w:r>
        <w:rPr>
          <w:rFonts w:hint="eastAsia"/>
          <w:spacing w:val="-1"/>
        </w:rPr>
        <w:t xml:space="preserve"> 2.1 </w:t>
      </w:r>
      <w:r>
        <w:rPr>
          <w:spacing w:val="-1"/>
        </w:rPr>
        <w:t>招标文件的组成</w:t>
      </w:r>
    </w:p>
    <w:p>
      <w:pPr>
        <w:pStyle w:val="10"/>
        <w:spacing w:before="12"/>
        <w:rPr>
          <w:rFonts w:ascii="黑体"/>
          <w:sz w:val="38"/>
        </w:rPr>
      </w:pPr>
    </w:p>
    <w:p>
      <w:pPr>
        <w:pStyle w:val="10"/>
        <w:ind w:left="635"/>
      </w:pPr>
      <w:r>
        <w:t>本招标文件包括：</w:t>
      </w:r>
    </w:p>
    <w:p>
      <w:pPr>
        <w:pStyle w:val="35"/>
        <w:numPr>
          <w:ilvl w:val="0"/>
          <w:numId w:val="12"/>
        </w:numPr>
        <w:tabs>
          <w:tab w:val="left" w:pos="1103"/>
        </w:tabs>
        <w:spacing w:before="132"/>
        <w:ind w:hanging="530"/>
        <w:rPr>
          <w:sz w:val="21"/>
        </w:rPr>
      </w:pPr>
      <w:r>
        <w:rPr>
          <w:spacing w:val="-3"/>
          <w:sz w:val="21"/>
        </w:rPr>
        <w:t>招标公告；</w:t>
      </w:r>
    </w:p>
    <w:p>
      <w:pPr>
        <w:pStyle w:val="35"/>
        <w:numPr>
          <w:ilvl w:val="0"/>
          <w:numId w:val="12"/>
        </w:numPr>
        <w:tabs>
          <w:tab w:val="left" w:pos="1103"/>
        </w:tabs>
        <w:spacing w:before="132"/>
        <w:ind w:hanging="530"/>
        <w:rPr>
          <w:sz w:val="21"/>
        </w:rPr>
      </w:pPr>
      <w:r>
        <w:rPr>
          <w:spacing w:val="-3"/>
          <w:sz w:val="21"/>
        </w:rPr>
        <w:t>投标人须知；</w:t>
      </w:r>
    </w:p>
    <w:p>
      <w:pPr>
        <w:pStyle w:val="35"/>
        <w:numPr>
          <w:ilvl w:val="0"/>
          <w:numId w:val="12"/>
        </w:numPr>
        <w:tabs>
          <w:tab w:val="left" w:pos="1103"/>
        </w:tabs>
        <w:spacing w:before="129"/>
        <w:ind w:hanging="530"/>
        <w:rPr>
          <w:sz w:val="21"/>
        </w:rPr>
      </w:pPr>
      <w:r>
        <w:rPr>
          <w:spacing w:val="-3"/>
          <w:sz w:val="21"/>
        </w:rPr>
        <w:t>评标办法；</w:t>
      </w:r>
    </w:p>
    <w:p>
      <w:pPr>
        <w:pStyle w:val="35"/>
        <w:numPr>
          <w:ilvl w:val="0"/>
          <w:numId w:val="12"/>
        </w:numPr>
        <w:tabs>
          <w:tab w:val="left" w:pos="1103"/>
        </w:tabs>
        <w:spacing w:before="132"/>
        <w:ind w:hanging="530"/>
        <w:rPr>
          <w:sz w:val="21"/>
        </w:rPr>
      </w:pPr>
      <w:r>
        <w:rPr>
          <w:spacing w:val="-3"/>
          <w:sz w:val="21"/>
        </w:rPr>
        <w:t>合同条款及格式；</w:t>
      </w:r>
    </w:p>
    <w:p>
      <w:pPr>
        <w:pStyle w:val="35"/>
        <w:numPr>
          <w:ilvl w:val="0"/>
          <w:numId w:val="12"/>
        </w:numPr>
        <w:tabs>
          <w:tab w:val="left" w:pos="1103"/>
        </w:tabs>
        <w:spacing w:before="132"/>
        <w:ind w:hanging="530"/>
        <w:rPr>
          <w:sz w:val="21"/>
        </w:rPr>
      </w:pPr>
      <w:r>
        <w:rPr>
          <w:spacing w:val="-3"/>
          <w:sz w:val="21"/>
        </w:rPr>
        <w:t>发包人要求</w:t>
      </w:r>
      <w:r>
        <w:rPr>
          <w:rFonts w:hint="eastAsia"/>
          <w:spacing w:val="-3"/>
          <w:sz w:val="21"/>
        </w:rPr>
        <w:t xml:space="preserve"> </w:t>
      </w:r>
      <w:r>
        <w:rPr>
          <w:spacing w:val="-3"/>
          <w:sz w:val="21"/>
        </w:rPr>
        <w:t>；</w:t>
      </w:r>
    </w:p>
    <w:p>
      <w:pPr>
        <w:pStyle w:val="35"/>
        <w:numPr>
          <w:ilvl w:val="0"/>
          <w:numId w:val="12"/>
        </w:numPr>
        <w:tabs>
          <w:tab w:val="left" w:pos="1103"/>
        </w:tabs>
        <w:spacing w:before="129"/>
        <w:ind w:hanging="530"/>
        <w:rPr>
          <w:sz w:val="21"/>
        </w:rPr>
      </w:pPr>
      <w:r>
        <w:rPr>
          <w:spacing w:val="-3"/>
          <w:sz w:val="21"/>
        </w:rPr>
        <w:t>投标文件格式</w:t>
      </w:r>
    </w:p>
    <w:p>
      <w:pPr>
        <w:pStyle w:val="35"/>
        <w:numPr>
          <w:ilvl w:val="0"/>
          <w:numId w:val="12"/>
        </w:numPr>
        <w:tabs>
          <w:tab w:val="left" w:pos="1103"/>
        </w:tabs>
        <w:spacing w:before="129"/>
        <w:ind w:hanging="530"/>
        <w:rPr>
          <w:sz w:val="21"/>
        </w:rPr>
      </w:pPr>
      <w:r>
        <w:rPr>
          <w:rFonts w:hint="eastAsia" w:hAnsiTheme="minorHAnsi"/>
          <w:sz w:val="21"/>
          <w:szCs w:val="21"/>
          <w:lang w:val="en-US" w:bidi="ar-SA"/>
        </w:rPr>
        <w:t>投标人须知前附表规定的其他资料</w:t>
      </w:r>
      <w:r>
        <w:rPr>
          <w:spacing w:val="-3"/>
          <w:sz w:val="21"/>
        </w:rPr>
        <w:t>。</w:t>
      </w:r>
    </w:p>
    <w:p>
      <w:pPr>
        <w:pStyle w:val="10"/>
        <w:spacing w:before="132"/>
        <w:ind w:left="633"/>
      </w:pPr>
      <w:r>
        <w:t xml:space="preserve">根据本章第 </w:t>
      </w:r>
      <w:r>
        <w:rPr>
          <w:rFonts w:ascii="Times New Roman" w:eastAsia="Times New Roman"/>
        </w:rPr>
        <w:t xml:space="preserve">1.10 </w:t>
      </w:r>
      <w:r>
        <w:t xml:space="preserve">款、第 </w:t>
      </w:r>
      <w:r>
        <w:rPr>
          <w:rFonts w:ascii="Times New Roman" w:eastAsia="Times New Roman"/>
        </w:rPr>
        <w:t xml:space="preserve">2.3 </w:t>
      </w:r>
      <w:r>
        <w:t>款对招标文件所作的澄清、修改，构成招标文件的组成部分。</w:t>
      </w:r>
    </w:p>
    <w:p>
      <w:pPr>
        <w:pStyle w:val="10"/>
        <w:spacing w:before="6"/>
        <w:rPr>
          <w:sz w:val="32"/>
        </w:rPr>
      </w:pPr>
    </w:p>
    <w:p>
      <w:pPr>
        <w:pStyle w:val="35"/>
        <w:numPr>
          <w:ilvl w:val="1"/>
          <w:numId w:val="13"/>
        </w:numPr>
        <w:rPr>
          <w:rFonts w:ascii="Times New Roman" w:eastAsia="Times New Roman"/>
        </w:rPr>
      </w:pPr>
      <w:bookmarkStart w:id="44" w:name="_bookmark29"/>
      <w:bookmarkEnd w:id="44"/>
      <w:r>
        <w:rPr>
          <w:spacing w:val="-1"/>
        </w:rPr>
        <w:t>招标文件的</w:t>
      </w:r>
      <w:r>
        <w:rPr>
          <w:rFonts w:hint="eastAsia"/>
          <w:spacing w:val="-1"/>
        </w:rPr>
        <w:t>澄清</w:t>
      </w:r>
    </w:p>
    <w:p>
      <w:pPr>
        <w:adjustRightInd w:val="0"/>
        <w:rPr>
          <w:sz w:val="21"/>
        </w:rPr>
      </w:pPr>
    </w:p>
    <w:p>
      <w:pPr>
        <w:adjustRightInd w:val="0"/>
        <w:rPr>
          <w:spacing w:val="-1"/>
        </w:rPr>
      </w:pPr>
      <w:r>
        <w:rPr>
          <w:rFonts w:hint="eastAsia"/>
          <w:sz w:val="21"/>
        </w:rPr>
        <w:t>2.2.1</w:t>
      </w:r>
      <w:r>
        <w:rPr>
          <w:rFonts w:hint="eastAsia"/>
          <w:spacing w:val="-1"/>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tabs>
          <w:tab w:val="left" w:pos="1468"/>
        </w:tabs>
        <w:spacing w:line="357" w:lineRule="auto"/>
        <w:ind w:right="465"/>
        <w:rPr>
          <w:spacing w:val="-1"/>
        </w:rPr>
      </w:pPr>
      <w:r>
        <w:rPr>
          <w:rFonts w:hint="eastAsia"/>
          <w:spacing w:val="-1"/>
        </w:rPr>
        <w:t>2.2.2</w:t>
      </w:r>
      <w:r>
        <w:rPr>
          <w:spacing w:val="-1"/>
        </w:rPr>
        <w:t>招标文件的澄清以书面形式发给所有购买招标文件的投标人，但不指明澄清问题的来源。   澄清发出的时间距投标人须知前附表规定的投标截止时间不足 15 天的，并且澄清内容影响投标文件编制的，将相应延长投标截止时间。</w:t>
      </w:r>
    </w:p>
    <w:p>
      <w:pPr>
        <w:tabs>
          <w:tab w:val="left" w:pos="1468"/>
        </w:tabs>
        <w:spacing w:line="357" w:lineRule="auto"/>
        <w:ind w:right="465"/>
        <w:rPr>
          <w:spacing w:val="-1"/>
        </w:rPr>
      </w:pPr>
      <w:r>
        <w:rPr>
          <w:rFonts w:hint="eastAsia"/>
          <w:spacing w:val="-1"/>
        </w:rPr>
        <w:t xml:space="preserve">2.2.3 </w:t>
      </w:r>
      <w:r>
        <w:rPr>
          <w:spacing w:val="-1"/>
        </w:rPr>
        <w:t>投标人在收到澄清后，应在投标人须知前附表规定的时间内以书面形式通知招标人，确认已收到该澄清。</w:t>
      </w:r>
    </w:p>
    <w:p>
      <w:pPr>
        <w:pStyle w:val="10"/>
        <w:spacing w:before="12"/>
        <w:rPr>
          <w:sz w:val="22"/>
        </w:rPr>
      </w:pPr>
    </w:p>
    <w:p>
      <w:pPr>
        <w:pStyle w:val="35"/>
        <w:numPr>
          <w:ilvl w:val="1"/>
          <w:numId w:val="13"/>
        </w:numPr>
        <w:rPr>
          <w:rFonts w:ascii="Times New Roman" w:eastAsia="Times New Roman"/>
        </w:rPr>
      </w:pPr>
      <w:bookmarkStart w:id="45" w:name="_bookmark30"/>
      <w:bookmarkEnd w:id="45"/>
      <w:r>
        <w:rPr>
          <w:spacing w:val="-2"/>
        </w:rPr>
        <w:t>招标文件的修改</w:t>
      </w:r>
    </w:p>
    <w:p>
      <w:pPr>
        <w:pStyle w:val="10"/>
        <w:spacing w:before="5"/>
        <w:rPr>
          <w:szCs w:val="22"/>
        </w:rPr>
      </w:pPr>
    </w:p>
    <w:p>
      <w:pPr>
        <w:tabs>
          <w:tab w:val="left" w:pos="1468"/>
        </w:tabs>
        <w:spacing w:line="357" w:lineRule="auto"/>
        <w:ind w:right="464"/>
        <w:rPr>
          <w:sz w:val="21"/>
        </w:rPr>
      </w:pPr>
      <w:r>
        <w:rPr>
          <w:rFonts w:hint="eastAsia"/>
          <w:sz w:val="21"/>
        </w:rPr>
        <w:t>2.3.1</w:t>
      </w:r>
      <w:r>
        <w:rPr>
          <w:sz w:val="21"/>
        </w:rPr>
        <w:t>招标人可以书面形式修改招标文件，并通知所有已购买招标文件的投标人。修改招标文件的时间距投标人须知前附表规定的投标截止时间不足 15 天的，并且澄清内容影响投标文件编制的，将相应延长投标截止时间。</w:t>
      </w:r>
    </w:p>
    <w:p>
      <w:pPr>
        <w:tabs>
          <w:tab w:val="left" w:pos="1243"/>
        </w:tabs>
        <w:spacing w:line="417" w:lineRule="auto"/>
        <w:ind w:right="546"/>
        <w:jc w:val="both"/>
        <w:rPr>
          <w:sz w:val="21"/>
        </w:rPr>
      </w:pPr>
      <w:r>
        <w:rPr>
          <w:rFonts w:hint="eastAsia"/>
          <w:sz w:val="21"/>
        </w:rPr>
        <w:t xml:space="preserve">2.3.2 </w:t>
      </w:r>
      <w:r>
        <w:rPr>
          <w:sz w:val="21"/>
        </w:rPr>
        <w:t>投标人收到修改内容后，应在投标人须知前附表规定的时间内以书面形式通知招标人，确认已收到</w:t>
      </w:r>
    </w:p>
    <w:p>
      <w:pPr>
        <w:tabs>
          <w:tab w:val="left" w:pos="1243"/>
        </w:tabs>
        <w:spacing w:line="417" w:lineRule="auto"/>
        <w:ind w:right="546"/>
        <w:jc w:val="both"/>
        <w:rPr>
          <w:sz w:val="21"/>
        </w:rPr>
      </w:pPr>
      <w:r>
        <w:rPr>
          <w:rFonts w:hint="eastAsia"/>
          <w:sz w:val="21"/>
        </w:rPr>
        <w:t>该修改。</w:t>
      </w:r>
      <w:bookmarkStart w:id="46" w:name="_bookmark31"/>
      <w:bookmarkEnd w:id="46"/>
    </w:p>
    <w:p>
      <w:pPr>
        <w:tabs>
          <w:tab w:val="left" w:pos="1243"/>
        </w:tabs>
        <w:spacing w:line="417" w:lineRule="auto"/>
        <w:ind w:right="546"/>
        <w:jc w:val="both"/>
        <w:rPr>
          <w:sz w:val="21"/>
        </w:rPr>
      </w:pPr>
    </w:p>
    <w:p>
      <w:pPr>
        <w:pStyle w:val="35"/>
        <w:numPr>
          <w:ilvl w:val="1"/>
          <w:numId w:val="13"/>
        </w:numPr>
        <w:tabs>
          <w:tab w:val="left" w:pos="1243"/>
        </w:tabs>
        <w:spacing w:line="417" w:lineRule="auto"/>
        <w:ind w:right="546"/>
        <w:jc w:val="both"/>
      </w:pPr>
      <w:r>
        <w:rPr>
          <w:spacing w:val="-2"/>
        </w:rPr>
        <w:t>对招标文件的异议</w:t>
      </w:r>
    </w:p>
    <w:p>
      <w:pPr>
        <w:pStyle w:val="10"/>
        <w:spacing w:before="11"/>
        <w:rPr>
          <w:rFonts w:ascii="黑体"/>
          <w:sz w:val="32"/>
        </w:rPr>
      </w:pPr>
    </w:p>
    <w:p>
      <w:pPr>
        <w:tabs>
          <w:tab w:val="left" w:pos="1369"/>
          <w:tab w:val="left" w:pos="1370"/>
        </w:tabs>
        <w:spacing w:before="1" w:line="266" w:lineRule="auto"/>
        <w:ind w:right="549"/>
        <w:rPr>
          <w:sz w:val="21"/>
        </w:rPr>
      </w:pPr>
      <w:r>
        <w:rPr>
          <w:rFonts w:hint="eastAsia"/>
          <w:spacing w:val="-5"/>
          <w:sz w:val="21"/>
        </w:rPr>
        <w:t xml:space="preserve">2.4.1 </w:t>
      </w:r>
      <w:r>
        <w:rPr>
          <w:spacing w:val="-5"/>
          <w:sz w:val="21"/>
        </w:rPr>
        <w:t xml:space="preserve">投标人对招标文件及随后收到的有关资料异议的，应当在投标截止时间 </w:t>
      </w:r>
      <w:r>
        <w:rPr>
          <w:sz w:val="21"/>
        </w:rPr>
        <w:t>10</w:t>
      </w:r>
      <w:r>
        <w:rPr>
          <w:spacing w:val="-7"/>
          <w:sz w:val="21"/>
        </w:rPr>
        <w:t xml:space="preserve"> 天前必须以书面形</w:t>
      </w:r>
      <w:r>
        <w:rPr>
          <w:spacing w:val="-5"/>
          <w:sz w:val="21"/>
        </w:rPr>
        <w:t>式向招标人提出。</w:t>
      </w:r>
    </w:p>
    <w:p>
      <w:pPr>
        <w:tabs>
          <w:tab w:val="left" w:pos="1369"/>
          <w:tab w:val="left" w:pos="1370"/>
        </w:tabs>
        <w:spacing w:before="2" w:line="266" w:lineRule="auto"/>
        <w:ind w:right="548"/>
        <w:rPr>
          <w:sz w:val="21"/>
        </w:rPr>
      </w:pPr>
      <w:r>
        <w:rPr>
          <w:rFonts w:hint="eastAsia"/>
          <w:spacing w:val="-3"/>
          <w:sz w:val="21"/>
        </w:rPr>
        <w:t xml:space="preserve">2.4.2 </w:t>
      </w:r>
      <w:r>
        <w:rPr>
          <w:spacing w:val="-3"/>
          <w:sz w:val="21"/>
        </w:rPr>
        <w:t xml:space="preserve">招标人应当自收到异议之日起 </w:t>
      </w:r>
      <w:r>
        <w:rPr>
          <w:sz w:val="21"/>
        </w:rPr>
        <w:t>3</w:t>
      </w:r>
      <w:r>
        <w:rPr>
          <w:spacing w:val="-3"/>
          <w:sz w:val="21"/>
        </w:rPr>
        <w:t xml:space="preserve"> 日内作出答复，并向行政监督部门备案；作出答复前，应当暂停招标投标活动。</w:t>
      </w:r>
    </w:p>
    <w:p>
      <w:pPr>
        <w:pStyle w:val="35"/>
        <w:numPr>
          <w:ilvl w:val="2"/>
          <w:numId w:val="14"/>
        </w:numPr>
        <w:tabs>
          <w:tab w:val="left" w:pos="1372"/>
          <w:tab w:val="left" w:pos="1373"/>
        </w:tabs>
        <w:spacing w:before="73" w:line="417" w:lineRule="auto"/>
        <w:ind w:right="552"/>
        <w:rPr>
          <w:sz w:val="21"/>
        </w:rPr>
      </w:pPr>
      <w:r>
        <w:rPr>
          <w:spacing w:val="-1"/>
          <w:sz w:val="21"/>
        </w:rPr>
        <w:t>提出异议截止时间后，招标人不再接受投标人对招标文件的异议，视为投标人接受招标文件的约定。</w:t>
      </w:r>
    </w:p>
    <w:p>
      <w:pPr>
        <w:pStyle w:val="10"/>
        <w:spacing w:before="10"/>
        <w:rPr>
          <w:sz w:val="20"/>
        </w:rPr>
      </w:pPr>
    </w:p>
    <w:p>
      <w:pPr>
        <w:pStyle w:val="3"/>
        <w:numPr>
          <w:ilvl w:val="0"/>
          <w:numId w:val="14"/>
        </w:numPr>
        <w:tabs>
          <w:tab w:val="left" w:pos="641"/>
        </w:tabs>
        <w:ind w:hanging="429"/>
      </w:pPr>
      <w:bookmarkStart w:id="47" w:name="_bookmark32"/>
      <w:bookmarkEnd w:id="47"/>
      <w:bookmarkStart w:id="48" w:name="_Toc37926025"/>
      <w:r>
        <w:t>投标文件</w:t>
      </w:r>
      <w:bookmarkEnd w:id="48"/>
    </w:p>
    <w:p>
      <w:pPr>
        <w:pStyle w:val="10"/>
        <w:spacing w:before="4"/>
        <w:rPr>
          <w:rFonts w:ascii="黑体"/>
          <w:b/>
          <w:sz w:val="39"/>
        </w:rPr>
      </w:pPr>
    </w:p>
    <w:p>
      <w:pPr>
        <w:rPr>
          <w:rFonts w:ascii="Times New Roman" w:eastAsia="Times New Roman"/>
        </w:rPr>
      </w:pPr>
      <w:bookmarkStart w:id="49" w:name="_bookmark33"/>
      <w:bookmarkEnd w:id="49"/>
      <w:r>
        <w:rPr>
          <w:rFonts w:hint="eastAsia"/>
          <w:spacing w:val="-1"/>
        </w:rPr>
        <w:t>3.1</w:t>
      </w:r>
      <w:r>
        <w:rPr>
          <w:spacing w:val="-1"/>
        </w:rPr>
        <w:t>投标文件的组成</w:t>
      </w:r>
    </w:p>
    <w:p>
      <w:pPr>
        <w:pStyle w:val="10"/>
        <w:spacing w:before="12"/>
        <w:rPr>
          <w:rFonts w:ascii="黑体"/>
          <w:sz w:val="38"/>
        </w:rPr>
      </w:pPr>
    </w:p>
    <w:p>
      <w:pPr>
        <w:tabs>
          <w:tab w:val="left" w:pos="1159"/>
        </w:tabs>
        <w:rPr>
          <w:rFonts w:ascii="Times New Roman" w:eastAsia="Times New Roman"/>
          <w:sz w:val="21"/>
        </w:rPr>
      </w:pPr>
      <w:r>
        <w:rPr>
          <w:rFonts w:hint="eastAsia"/>
          <w:spacing w:val="-3"/>
          <w:sz w:val="21"/>
        </w:rPr>
        <w:t xml:space="preserve">3.1.1 </w:t>
      </w:r>
      <w:r>
        <w:rPr>
          <w:spacing w:val="-3"/>
          <w:sz w:val="21"/>
        </w:rPr>
        <w:t>投标文件应包括下列内容：</w:t>
      </w:r>
    </w:p>
    <w:p>
      <w:pPr>
        <w:pStyle w:val="10"/>
        <w:spacing w:before="71" w:line="482" w:lineRule="auto"/>
        <w:ind w:left="210" w:right="210"/>
        <w:rPr>
          <w:spacing w:val="-3"/>
        </w:rPr>
      </w:pPr>
      <w:r>
        <w:rPr>
          <w:rFonts w:hint="eastAsia"/>
          <w:spacing w:val="-3"/>
        </w:rPr>
        <w:t>第一册 商务标（</w:t>
      </w:r>
      <w:r>
        <w:t>正本份数为壹份，副本为贰份</w:t>
      </w:r>
      <w:r>
        <w:rPr>
          <w:rFonts w:hint="eastAsia"/>
          <w:spacing w:val="-3"/>
        </w:rPr>
        <w:t>），包括以下内容：</w:t>
      </w:r>
    </w:p>
    <w:p>
      <w:pPr>
        <w:pStyle w:val="10"/>
        <w:spacing w:before="71" w:line="482" w:lineRule="auto"/>
        <w:ind w:left="210" w:right="210"/>
        <w:rPr>
          <w:spacing w:val="-3"/>
        </w:rPr>
      </w:pPr>
      <w:r>
        <w:rPr>
          <w:spacing w:val="-3"/>
        </w:rPr>
        <w:t>一、投标函及投标函附录</w:t>
      </w:r>
    </w:p>
    <w:p>
      <w:pPr>
        <w:pStyle w:val="10"/>
        <w:spacing w:before="71" w:line="482" w:lineRule="auto"/>
        <w:ind w:left="210" w:right="210"/>
        <w:rPr>
          <w:spacing w:val="-3"/>
        </w:rPr>
      </w:pPr>
      <w:r>
        <w:rPr>
          <w:spacing w:val="-3"/>
        </w:rPr>
        <w:t>二、法定代表人身份证明或附有法定代表人身份证明的授权委托书</w:t>
      </w:r>
    </w:p>
    <w:p>
      <w:pPr>
        <w:pStyle w:val="10"/>
        <w:spacing w:before="71" w:line="482" w:lineRule="auto"/>
        <w:ind w:left="210" w:right="210"/>
        <w:rPr>
          <w:spacing w:val="-3"/>
        </w:rPr>
      </w:pPr>
      <w:r>
        <w:rPr>
          <w:rFonts w:hint="eastAsia"/>
          <w:spacing w:val="-3"/>
        </w:rPr>
        <w:t>三</w:t>
      </w:r>
      <w:r>
        <w:rPr>
          <w:spacing w:val="-3"/>
        </w:rPr>
        <w:t>、联合体协议书（如有）</w:t>
      </w:r>
    </w:p>
    <w:p>
      <w:pPr>
        <w:pStyle w:val="10"/>
        <w:spacing w:before="71" w:line="482" w:lineRule="auto"/>
        <w:ind w:left="210" w:right="210"/>
        <w:rPr>
          <w:spacing w:val="-3"/>
        </w:rPr>
      </w:pPr>
      <w:r>
        <w:rPr>
          <w:rFonts w:hint="eastAsia"/>
          <w:spacing w:val="-3"/>
        </w:rPr>
        <w:t>四</w:t>
      </w:r>
      <w:r>
        <w:rPr>
          <w:spacing w:val="-3"/>
        </w:rPr>
        <w:t>、投标保证金（注：联合体投标的由牵头人提供）（附投标保证金的递交证明文件）</w:t>
      </w:r>
    </w:p>
    <w:p>
      <w:pPr>
        <w:pStyle w:val="10"/>
        <w:spacing w:before="71" w:line="482" w:lineRule="auto"/>
        <w:ind w:left="210" w:right="210"/>
        <w:rPr>
          <w:spacing w:val="-3"/>
        </w:rPr>
      </w:pPr>
      <w:r>
        <w:rPr>
          <w:rFonts w:hint="eastAsia"/>
          <w:spacing w:val="-3"/>
        </w:rPr>
        <w:t>五</w:t>
      </w:r>
      <w:r>
        <w:rPr>
          <w:spacing w:val="-3"/>
        </w:rPr>
        <w:t>、资格审查资料</w:t>
      </w:r>
    </w:p>
    <w:p>
      <w:pPr>
        <w:pStyle w:val="10"/>
        <w:spacing w:before="71" w:line="482" w:lineRule="auto"/>
        <w:ind w:left="210" w:right="210"/>
        <w:rPr>
          <w:spacing w:val="-3"/>
        </w:rPr>
      </w:pPr>
      <w:r>
        <w:rPr>
          <w:rFonts w:hint="eastAsia"/>
          <w:spacing w:val="-3"/>
        </w:rPr>
        <w:t>六</w:t>
      </w:r>
      <w:r>
        <w:rPr>
          <w:spacing w:val="-3"/>
        </w:rPr>
        <w:t>、技术或商务评审材料及其他资料</w:t>
      </w:r>
    </w:p>
    <w:p>
      <w:pPr>
        <w:pStyle w:val="10"/>
        <w:spacing w:before="71" w:line="482" w:lineRule="auto"/>
        <w:ind w:left="210" w:right="210"/>
        <w:rPr>
          <w:spacing w:val="-3"/>
        </w:rPr>
      </w:pPr>
      <w:r>
        <w:rPr>
          <w:rFonts w:hint="eastAsia"/>
          <w:spacing w:val="-3"/>
        </w:rPr>
        <w:t>第二册 技术标：</w:t>
      </w:r>
    </w:p>
    <w:p>
      <w:pPr>
        <w:pStyle w:val="10"/>
        <w:spacing w:line="482" w:lineRule="auto"/>
        <w:ind w:left="212" w:right="1621"/>
      </w:pPr>
      <w:r>
        <w:rPr>
          <w:rFonts w:hint="eastAsia"/>
          <w:spacing w:val="-3"/>
        </w:rPr>
        <w:t>（</w:t>
      </w:r>
      <w:r>
        <w:t>正本份数为壹份，副本为贰 份，包含设计方案</w:t>
      </w:r>
      <w:r>
        <w:rPr>
          <w:rFonts w:hint="eastAsia"/>
        </w:rPr>
        <w:t>和施工方案</w:t>
      </w:r>
      <w:r>
        <w:t>；</w:t>
      </w:r>
      <w:r>
        <w:rPr>
          <w:rFonts w:hint="eastAsia"/>
          <w:spacing w:val="-3"/>
        </w:rPr>
        <w:t>内容</w:t>
      </w:r>
      <w:r>
        <w:rPr>
          <w:spacing w:val="-3"/>
        </w:rPr>
        <w:t>格式自定</w:t>
      </w:r>
      <w:r>
        <w:rPr>
          <w:rFonts w:hint="eastAsia"/>
          <w:spacing w:val="-3"/>
        </w:rPr>
        <w:t>）</w:t>
      </w:r>
    </w:p>
    <w:p>
      <w:pPr>
        <w:pStyle w:val="10"/>
        <w:spacing w:before="132"/>
        <w:ind w:firstLine="210" w:firstLineChars="100"/>
      </w:pPr>
      <w:r>
        <w:t>具体内容见投标人须知前附表。</w:t>
      </w:r>
    </w:p>
    <w:p>
      <w:pPr>
        <w:tabs>
          <w:tab w:val="left" w:pos="1408"/>
        </w:tabs>
        <w:spacing w:before="139" w:line="357" w:lineRule="auto"/>
        <w:ind w:right="465"/>
        <w:rPr>
          <w:sz w:val="21"/>
        </w:rPr>
      </w:pPr>
      <w:r>
        <w:rPr>
          <w:rFonts w:hint="eastAsia"/>
          <w:sz w:val="21"/>
        </w:rPr>
        <w:t xml:space="preserve">3.1.2  </w:t>
      </w:r>
      <w:r>
        <w:rPr>
          <w:sz w:val="21"/>
        </w:rPr>
        <w:t>投标人须知前附表规定不接受联合体投标的，或投标人没有组成联合体的，投标文件不包</w:t>
      </w:r>
      <w:r>
        <w:rPr>
          <w:spacing w:val="-11"/>
          <w:sz w:val="21"/>
        </w:rPr>
        <w:t xml:space="preserve">括本章第 </w:t>
      </w:r>
      <w:r>
        <w:rPr>
          <w:sz w:val="21"/>
        </w:rPr>
        <w:t>3.1.1“六、资格审查资料”中的联合体协议书。</w:t>
      </w:r>
    </w:p>
    <w:p>
      <w:pPr>
        <w:pStyle w:val="10"/>
        <w:rPr>
          <w:sz w:val="20"/>
        </w:rPr>
      </w:pPr>
    </w:p>
    <w:p>
      <w:pPr>
        <w:pStyle w:val="35"/>
        <w:numPr>
          <w:ilvl w:val="1"/>
          <w:numId w:val="15"/>
        </w:numPr>
        <w:rPr>
          <w:rFonts w:ascii="Times New Roman" w:eastAsia="Times New Roman"/>
        </w:rPr>
      </w:pPr>
      <w:bookmarkStart w:id="50" w:name="_bookmark34"/>
      <w:bookmarkEnd w:id="50"/>
      <w:r>
        <w:t>投标报价</w:t>
      </w:r>
    </w:p>
    <w:p>
      <w:pPr>
        <w:pStyle w:val="10"/>
        <w:spacing w:before="12"/>
        <w:rPr>
          <w:rFonts w:ascii="黑体"/>
          <w:sz w:val="38"/>
        </w:rPr>
      </w:pPr>
    </w:p>
    <w:p>
      <w:pPr>
        <w:pStyle w:val="35"/>
        <w:numPr>
          <w:ilvl w:val="2"/>
          <w:numId w:val="15"/>
        </w:numPr>
        <w:tabs>
          <w:tab w:val="left" w:pos="1159"/>
        </w:tabs>
        <w:rPr>
          <w:rFonts w:ascii="Times New Roman" w:hAnsi="Times New Roman" w:eastAsia="Times New Roman"/>
          <w:sz w:val="21"/>
        </w:rPr>
      </w:pPr>
      <w:r>
        <w:rPr>
          <w:spacing w:val="-3"/>
          <w:sz w:val="21"/>
        </w:rPr>
        <w:t>投标人应按第六章“投标文件格式”的要求填写价格清单。</w:t>
      </w:r>
    </w:p>
    <w:p>
      <w:pPr>
        <w:tabs>
          <w:tab w:val="left" w:pos="1162"/>
        </w:tabs>
        <w:spacing w:before="166" w:line="391" w:lineRule="auto"/>
        <w:ind w:right="546"/>
        <w:rPr>
          <w:rFonts w:ascii="Times New Roman" w:eastAsia="Times New Roman"/>
          <w:sz w:val="21"/>
        </w:rPr>
      </w:pPr>
      <w:r>
        <w:rPr>
          <w:rFonts w:hint="eastAsia"/>
          <w:spacing w:val="-1"/>
          <w:sz w:val="21"/>
        </w:rPr>
        <w:t xml:space="preserve">3.2.2 </w:t>
      </w:r>
      <w:r>
        <w:rPr>
          <w:spacing w:val="-1"/>
          <w:sz w:val="21"/>
        </w:rPr>
        <w:t>投标人应充分了解施工场地的位置、周边环境、道路、装卸、保管、安装限制以及影响投标报</w:t>
      </w:r>
      <w:r>
        <w:rPr>
          <w:spacing w:val="-3"/>
          <w:sz w:val="21"/>
        </w:rPr>
        <w:t>价的其他要素。投标人根据投标设计，结合市场情况进行投标报价。</w:t>
      </w:r>
    </w:p>
    <w:p>
      <w:pPr>
        <w:tabs>
          <w:tab w:val="left" w:pos="1162"/>
        </w:tabs>
        <w:spacing w:line="239" w:lineRule="exact"/>
        <w:rPr>
          <w:rFonts w:ascii="Times New Roman" w:hAnsi="Times New Roman" w:eastAsia="Times New Roman"/>
          <w:sz w:val="21"/>
        </w:rPr>
      </w:pPr>
      <w:r>
        <w:rPr>
          <w:rFonts w:hint="eastAsia"/>
          <w:sz w:val="21"/>
        </w:rPr>
        <w:t xml:space="preserve">3.2.3  </w:t>
      </w:r>
      <w:r>
        <w:rPr>
          <w:sz w:val="21"/>
        </w:rPr>
        <w:t>投标人在投标截止时间前修改投标函中的投标报价总额，应同时修改投标文件“价格清单”中</w:t>
      </w:r>
    </w:p>
    <w:p>
      <w:pPr>
        <w:pStyle w:val="10"/>
        <w:spacing w:before="129"/>
        <w:ind w:left="212"/>
      </w:pPr>
      <w:r>
        <w:t xml:space="preserve">的相应报价，投标报价总额为各分项金额之和。此修改须符合本章第 </w:t>
      </w:r>
      <w:r>
        <w:rPr>
          <w:rFonts w:ascii="Times New Roman" w:eastAsia="Times New Roman"/>
        </w:rPr>
        <w:t xml:space="preserve">4.3 </w:t>
      </w:r>
      <w:r>
        <w:t>款的有关要求。</w:t>
      </w:r>
    </w:p>
    <w:p>
      <w:pPr>
        <w:tabs>
          <w:tab w:val="left" w:pos="1162"/>
        </w:tabs>
        <w:spacing w:before="132" w:line="357" w:lineRule="auto"/>
        <w:ind w:right="552"/>
        <w:rPr>
          <w:rFonts w:ascii="Times New Roman" w:eastAsia="Times New Roman"/>
          <w:sz w:val="21"/>
        </w:rPr>
      </w:pPr>
      <w:r>
        <w:rPr>
          <w:rFonts w:hint="eastAsia"/>
          <w:spacing w:val="-1"/>
          <w:sz w:val="21"/>
        </w:rPr>
        <w:t xml:space="preserve">3.2.4  </w:t>
      </w:r>
      <w:r>
        <w:rPr>
          <w:spacing w:val="-1"/>
          <w:sz w:val="21"/>
        </w:rPr>
        <w:t>招标人设有最高投标限价的，投标人的投标报价不得超过最高投标限价，最高投标限价或其计</w:t>
      </w:r>
      <w:r>
        <w:rPr>
          <w:spacing w:val="-3"/>
          <w:sz w:val="21"/>
        </w:rPr>
        <w:t>算方法在投标人须知前附表中载明。</w:t>
      </w:r>
    </w:p>
    <w:p>
      <w:pPr>
        <w:tabs>
          <w:tab w:val="left" w:pos="1159"/>
        </w:tabs>
        <w:spacing w:line="266" w:lineRule="exact"/>
        <w:rPr>
          <w:rFonts w:ascii="Times New Roman" w:eastAsia="Times New Roman"/>
          <w:sz w:val="21"/>
        </w:rPr>
      </w:pPr>
      <w:r>
        <w:rPr>
          <w:rFonts w:hint="eastAsia"/>
          <w:spacing w:val="-3"/>
          <w:sz w:val="21"/>
        </w:rPr>
        <w:t xml:space="preserve">3.2.5  </w:t>
      </w:r>
      <w:r>
        <w:rPr>
          <w:spacing w:val="-3"/>
          <w:sz w:val="21"/>
        </w:rPr>
        <w:t>投标报价的其他要求见投标人须知前附表。</w:t>
      </w:r>
    </w:p>
    <w:p>
      <w:pPr>
        <w:pStyle w:val="10"/>
        <w:spacing w:before="6"/>
        <w:rPr>
          <w:sz w:val="32"/>
        </w:rPr>
      </w:pPr>
    </w:p>
    <w:p>
      <w:pPr>
        <w:pStyle w:val="35"/>
        <w:numPr>
          <w:ilvl w:val="1"/>
          <w:numId w:val="15"/>
        </w:numPr>
        <w:rPr>
          <w:rFonts w:ascii="Times New Roman" w:eastAsia="Times New Roman"/>
        </w:rPr>
      </w:pPr>
      <w:bookmarkStart w:id="51" w:name="_bookmark35"/>
      <w:bookmarkEnd w:id="51"/>
      <w:r>
        <w:t>投标有效期</w:t>
      </w:r>
    </w:p>
    <w:p>
      <w:pPr>
        <w:pStyle w:val="35"/>
        <w:numPr>
          <w:ilvl w:val="2"/>
          <w:numId w:val="15"/>
        </w:numPr>
        <w:tabs>
          <w:tab w:val="left" w:pos="1106"/>
        </w:tabs>
        <w:rPr>
          <w:rFonts w:ascii="Times New Roman" w:eastAsia="Times New Roman"/>
          <w:sz w:val="21"/>
        </w:rPr>
      </w:pPr>
      <w:r>
        <w:rPr>
          <w:spacing w:val="-3"/>
          <w:sz w:val="21"/>
        </w:rPr>
        <w:t>投标有效期见投标人须知前附表。</w:t>
      </w:r>
    </w:p>
    <w:p>
      <w:pPr>
        <w:tabs>
          <w:tab w:val="left" w:pos="1159"/>
        </w:tabs>
        <w:spacing w:before="130"/>
        <w:rPr>
          <w:rFonts w:ascii="Times New Roman" w:eastAsia="Times New Roman"/>
          <w:sz w:val="21"/>
        </w:rPr>
      </w:pPr>
      <w:r>
        <w:rPr>
          <w:rFonts w:hint="eastAsia"/>
          <w:spacing w:val="-3"/>
          <w:sz w:val="21"/>
        </w:rPr>
        <w:t xml:space="preserve">3.3.2  </w:t>
      </w:r>
      <w:r>
        <w:rPr>
          <w:spacing w:val="-3"/>
          <w:sz w:val="21"/>
        </w:rPr>
        <w:t>在投标有效期内，投标人撤销或修改其投标文件的，应承担招标文件和法律规定的责任。</w:t>
      </w:r>
    </w:p>
    <w:p>
      <w:pPr>
        <w:tabs>
          <w:tab w:val="left" w:pos="1162"/>
        </w:tabs>
        <w:spacing w:before="131" w:line="357" w:lineRule="auto"/>
        <w:ind w:right="546"/>
      </w:pPr>
      <w:r>
        <w:rPr>
          <w:rFonts w:hint="eastAsia"/>
          <w:sz w:val="21"/>
        </w:rPr>
        <w:t xml:space="preserve">3.3.3 </w:t>
      </w:r>
      <w:r>
        <w:rPr>
          <w:sz w:val="21"/>
        </w:rPr>
        <w:t>出现特殊情况需要延长投标有效期的，招标人以书面形式通知所有投标人延长投标有效期。投</w:t>
      </w:r>
      <w:r>
        <w:rPr>
          <w:spacing w:val="-6"/>
          <w:sz w:val="21"/>
        </w:rPr>
        <w:t>标人同意延长的，应相应延长其投标保证金的有效期，但不得要求或被允许修改或撤销其投标文件；投标</w:t>
      </w:r>
      <w:r>
        <w:t>人拒绝延长的，其投标失效，但投标人有权收回其投标保证金。</w:t>
      </w:r>
    </w:p>
    <w:p>
      <w:pPr>
        <w:pStyle w:val="10"/>
        <w:rPr>
          <w:sz w:val="20"/>
        </w:rPr>
      </w:pPr>
    </w:p>
    <w:p>
      <w:pPr>
        <w:pStyle w:val="35"/>
        <w:numPr>
          <w:ilvl w:val="1"/>
          <w:numId w:val="15"/>
        </w:numPr>
        <w:rPr>
          <w:rFonts w:ascii="Times New Roman" w:eastAsia="Times New Roman"/>
        </w:rPr>
      </w:pPr>
      <w:bookmarkStart w:id="52" w:name="_bookmark36"/>
      <w:bookmarkEnd w:id="52"/>
      <w:r>
        <w:t>投标保证金</w:t>
      </w:r>
    </w:p>
    <w:p>
      <w:pPr>
        <w:pStyle w:val="10"/>
        <w:spacing w:before="1"/>
        <w:rPr>
          <w:rFonts w:ascii="黑体"/>
          <w:sz w:val="39"/>
        </w:rPr>
      </w:pPr>
    </w:p>
    <w:p>
      <w:pPr>
        <w:tabs>
          <w:tab w:val="left" w:pos="1162"/>
        </w:tabs>
        <w:spacing w:line="357" w:lineRule="auto"/>
        <w:ind w:right="549"/>
        <w:rPr>
          <w:rFonts w:ascii="Times New Roman" w:hAnsi="Times New Roman" w:eastAsia="Times New Roman"/>
          <w:sz w:val="21"/>
        </w:rPr>
      </w:pPr>
      <w:r>
        <w:rPr>
          <w:rFonts w:hint="eastAsia"/>
          <w:spacing w:val="-1"/>
          <w:sz w:val="21"/>
        </w:rPr>
        <w:t xml:space="preserve">3.4.1 </w:t>
      </w:r>
      <w:r>
        <w:rPr>
          <w:spacing w:val="-1"/>
          <w:sz w:val="21"/>
        </w:rPr>
        <w:t>投标人在递交投标文件的同时，应按投标人须知前附表规定的金额、担保形式和第六章“投标</w:t>
      </w:r>
      <w:r>
        <w:rPr>
          <w:spacing w:val="-6"/>
          <w:sz w:val="21"/>
        </w:rPr>
        <w:t>文件格式”规定的投标保证金格式递交投标保证金，并作为其投标文件的组成部分。联合体投标的，其投</w:t>
      </w:r>
      <w:r>
        <w:rPr>
          <w:spacing w:val="-4"/>
          <w:sz w:val="21"/>
        </w:rPr>
        <w:t>标保证金由牵头人递交，并应符合投标人须知前附表的规定。</w:t>
      </w:r>
    </w:p>
    <w:p>
      <w:pPr>
        <w:tabs>
          <w:tab w:val="left" w:pos="1159"/>
        </w:tabs>
        <w:spacing w:line="266" w:lineRule="exact"/>
        <w:rPr>
          <w:rFonts w:ascii="Times New Roman" w:eastAsia="Times New Roman"/>
          <w:sz w:val="21"/>
        </w:rPr>
      </w:pPr>
      <w:r>
        <w:rPr>
          <w:rFonts w:hint="eastAsia"/>
          <w:spacing w:val="-9"/>
          <w:sz w:val="21"/>
        </w:rPr>
        <w:t xml:space="preserve">3.4.2 </w:t>
      </w:r>
      <w:r>
        <w:rPr>
          <w:spacing w:val="-9"/>
          <w:sz w:val="21"/>
        </w:rPr>
        <w:t xml:space="preserve">投标人不按本章第 </w:t>
      </w:r>
      <w:r>
        <w:rPr>
          <w:rFonts w:ascii="Times New Roman" w:eastAsia="Times New Roman"/>
          <w:sz w:val="21"/>
        </w:rPr>
        <w:t>3.4.1</w:t>
      </w:r>
      <w:r>
        <w:rPr>
          <w:rFonts w:ascii="Times New Roman" w:eastAsia="Times New Roman"/>
          <w:spacing w:val="1"/>
          <w:sz w:val="21"/>
        </w:rPr>
        <w:t xml:space="preserve"> </w:t>
      </w:r>
      <w:r>
        <w:rPr>
          <w:spacing w:val="-3"/>
          <w:sz w:val="21"/>
        </w:rPr>
        <w:t>项要求提交投标保证金的，评标委员会将否决其投标。</w:t>
      </w:r>
    </w:p>
    <w:p>
      <w:pPr>
        <w:tabs>
          <w:tab w:val="left" w:pos="1159"/>
        </w:tabs>
        <w:spacing w:before="131"/>
        <w:rPr>
          <w:rFonts w:ascii="Times New Roman" w:eastAsia="Times New Roman"/>
          <w:sz w:val="21"/>
        </w:rPr>
      </w:pPr>
      <w:r>
        <w:rPr>
          <w:rFonts w:hint="eastAsia"/>
          <w:spacing w:val="-3"/>
          <w:sz w:val="21"/>
        </w:rPr>
        <w:t xml:space="preserve">3.4.3 </w:t>
      </w:r>
      <w:r>
        <w:rPr>
          <w:spacing w:val="-3"/>
          <w:sz w:val="21"/>
        </w:rPr>
        <w:t>投标保证金的退还，见投标人须知前附表。</w:t>
      </w:r>
    </w:p>
    <w:p>
      <w:pPr>
        <w:tabs>
          <w:tab w:val="left" w:pos="1159"/>
        </w:tabs>
        <w:spacing w:before="130"/>
        <w:rPr>
          <w:rFonts w:ascii="Times New Roman" w:eastAsia="Times New Roman"/>
          <w:sz w:val="21"/>
        </w:rPr>
      </w:pPr>
      <w:r>
        <w:rPr>
          <w:rFonts w:hint="eastAsia"/>
          <w:spacing w:val="-3"/>
          <w:sz w:val="21"/>
        </w:rPr>
        <w:t xml:space="preserve">3.4.4 </w:t>
      </w:r>
      <w:r>
        <w:rPr>
          <w:spacing w:val="-3"/>
          <w:sz w:val="21"/>
        </w:rPr>
        <w:t>有下列情形之一的，投标保证金将不予退还：</w:t>
      </w:r>
    </w:p>
    <w:p>
      <w:pPr>
        <w:pStyle w:val="35"/>
        <w:numPr>
          <w:ilvl w:val="0"/>
          <w:numId w:val="16"/>
        </w:numPr>
        <w:tabs>
          <w:tab w:val="left" w:pos="1057"/>
        </w:tabs>
        <w:spacing w:before="132"/>
        <w:ind w:hanging="530"/>
        <w:rPr>
          <w:sz w:val="21"/>
        </w:rPr>
      </w:pPr>
      <w:r>
        <w:rPr>
          <w:spacing w:val="-3"/>
          <w:sz w:val="21"/>
        </w:rPr>
        <w:t>投标人在规定的投标有效期内撤销或修改其投标文件；</w:t>
      </w:r>
    </w:p>
    <w:p>
      <w:pPr>
        <w:pStyle w:val="35"/>
        <w:numPr>
          <w:ilvl w:val="0"/>
          <w:numId w:val="16"/>
        </w:numPr>
        <w:tabs>
          <w:tab w:val="left" w:pos="1057"/>
        </w:tabs>
        <w:spacing w:before="132"/>
        <w:ind w:hanging="530"/>
        <w:rPr>
          <w:sz w:val="21"/>
        </w:rPr>
      </w:pPr>
      <w:r>
        <w:rPr>
          <w:spacing w:val="-3"/>
          <w:sz w:val="21"/>
        </w:rPr>
        <w:t>中标人在收到中标通知书后，无正当理由拒签合同或未按招标文件规定提交履约担保。</w:t>
      </w:r>
    </w:p>
    <w:p>
      <w:pPr>
        <w:pStyle w:val="10"/>
        <w:spacing w:before="4"/>
        <w:rPr>
          <w:sz w:val="32"/>
        </w:rPr>
      </w:pPr>
    </w:p>
    <w:p>
      <w:pPr>
        <w:rPr>
          <w:rFonts w:ascii="Times New Roman" w:eastAsia="Times New Roman"/>
        </w:rPr>
      </w:pPr>
      <w:bookmarkStart w:id="53" w:name="_bookmark37"/>
      <w:bookmarkEnd w:id="53"/>
      <w:r>
        <w:rPr>
          <w:rFonts w:hint="eastAsia"/>
          <w:spacing w:val="-1"/>
        </w:rPr>
        <w:t>3.5</w:t>
      </w:r>
      <w:r>
        <w:rPr>
          <w:spacing w:val="-1"/>
        </w:rPr>
        <w:t>资格审查资料</w:t>
      </w:r>
    </w:p>
    <w:p>
      <w:pPr>
        <w:pStyle w:val="10"/>
        <w:spacing w:before="1"/>
        <w:rPr>
          <w:rFonts w:ascii="黑体"/>
          <w:sz w:val="39"/>
        </w:rPr>
      </w:pPr>
    </w:p>
    <w:p>
      <w:pPr>
        <w:pStyle w:val="10"/>
        <w:spacing w:before="11"/>
      </w:pPr>
      <w:r>
        <w:t>详见投标人须知 3.1.1 款</w:t>
      </w:r>
    </w:p>
    <w:p>
      <w:pPr>
        <w:pStyle w:val="10"/>
        <w:spacing w:before="11"/>
      </w:pPr>
    </w:p>
    <w:p>
      <w:pPr>
        <w:rPr>
          <w:rFonts w:ascii="Times New Roman" w:eastAsia="Times New Roman"/>
        </w:rPr>
      </w:pPr>
      <w:bookmarkStart w:id="54" w:name="_bookmark38"/>
      <w:bookmarkEnd w:id="54"/>
      <w:r>
        <w:rPr>
          <w:rFonts w:hint="eastAsia"/>
          <w:spacing w:val="-1"/>
        </w:rPr>
        <w:t>3.6</w:t>
      </w:r>
      <w:r>
        <w:rPr>
          <w:spacing w:val="-1"/>
        </w:rPr>
        <w:t>备选投标方案</w:t>
      </w:r>
    </w:p>
    <w:p>
      <w:pPr>
        <w:pStyle w:val="10"/>
        <w:spacing w:before="1"/>
        <w:rPr>
          <w:rFonts w:ascii="黑体"/>
          <w:sz w:val="39"/>
        </w:rPr>
      </w:pPr>
    </w:p>
    <w:p>
      <w:pPr>
        <w:pStyle w:val="10"/>
        <w:spacing w:line="357" w:lineRule="auto"/>
        <w:ind w:left="212" w:right="524" w:firstLine="420"/>
        <w:jc w:val="both"/>
      </w:pPr>
      <w:r>
        <w:t>除投标人须知前附表另有规定外，投标人不得递交备选投标方案。允许投标人递交备选投标方案的， 只有中标人所递交的备选投标方案方可予以考虑。评标委员会认为中标人的备选投标方案优于其按照招标文件要求编制的投标方案的，招标人可以接受该备选投标方案。</w:t>
      </w:r>
    </w:p>
    <w:p>
      <w:pPr>
        <w:rPr>
          <w:spacing w:val="-1"/>
        </w:rPr>
      </w:pPr>
      <w:bookmarkStart w:id="55" w:name="_bookmark39"/>
      <w:bookmarkEnd w:id="55"/>
    </w:p>
    <w:p>
      <w:pPr>
        <w:rPr>
          <w:rFonts w:ascii="Times New Roman" w:eastAsia="Times New Roman"/>
        </w:rPr>
      </w:pPr>
      <w:r>
        <w:rPr>
          <w:rFonts w:hint="eastAsia"/>
          <w:spacing w:val="-1"/>
        </w:rPr>
        <w:t xml:space="preserve">3.7 </w:t>
      </w:r>
      <w:r>
        <w:rPr>
          <w:spacing w:val="-1"/>
        </w:rPr>
        <w:t>投标文件的编制</w:t>
      </w:r>
    </w:p>
    <w:p>
      <w:pPr>
        <w:pStyle w:val="10"/>
        <w:spacing w:before="1"/>
        <w:rPr>
          <w:rFonts w:ascii="黑体"/>
          <w:sz w:val="39"/>
        </w:rPr>
      </w:pPr>
    </w:p>
    <w:p>
      <w:pPr>
        <w:tabs>
          <w:tab w:val="left" w:pos="1468"/>
        </w:tabs>
        <w:spacing w:line="357" w:lineRule="auto"/>
        <w:ind w:right="467"/>
        <w:rPr>
          <w:sz w:val="21"/>
        </w:rPr>
      </w:pPr>
      <w:bookmarkStart w:id="56" w:name="_bookmark40"/>
      <w:bookmarkEnd w:id="56"/>
      <w:r>
        <w:rPr>
          <w:rFonts w:hint="eastAsia"/>
          <w:sz w:val="21"/>
        </w:rPr>
        <w:t xml:space="preserve">3.7.1 </w:t>
      </w:r>
      <w:r>
        <w:rPr>
          <w:sz w:val="21"/>
        </w:rPr>
        <w:t>投标文件应按第</w:t>
      </w:r>
      <w:r>
        <w:rPr>
          <w:rFonts w:hint="eastAsia"/>
          <w:sz w:val="21"/>
        </w:rPr>
        <w:t>六</w:t>
      </w:r>
      <w:r>
        <w:rPr>
          <w:sz w:val="21"/>
        </w:rPr>
        <w:t>章“投标文件格式”进行编写，如有必要，可以增加附页，作为投标文   件的组成部分。其中，投标函附录在满足招标文件实质性要求的基础上，可以提出比招标文件要求更   有利于招标人的承诺。</w:t>
      </w:r>
    </w:p>
    <w:p>
      <w:pPr>
        <w:tabs>
          <w:tab w:val="left" w:pos="1468"/>
        </w:tabs>
        <w:spacing w:line="357" w:lineRule="auto"/>
        <w:ind w:right="469"/>
        <w:rPr>
          <w:sz w:val="21"/>
        </w:rPr>
      </w:pPr>
      <w:r>
        <w:rPr>
          <w:rFonts w:hint="eastAsia"/>
          <w:sz w:val="21"/>
        </w:rPr>
        <w:t xml:space="preserve">3.7.2 </w:t>
      </w:r>
      <w:r>
        <w:rPr>
          <w:sz w:val="21"/>
        </w:rPr>
        <w:t>投标文件应当对招标文件有关招标范围、投标有效期、工期、质量标准、发包人要求等实   质性内容作出响应。</w:t>
      </w:r>
    </w:p>
    <w:p>
      <w:pPr>
        <w:tabs>
          <w:tab w:val="left" w:pos="1468"/>
        </w:tabs>
        <w:spacing w:line="357" w:lineRule="auto"/>
        <w:ind w:right="359"/>
        <w:rPr>
          <w:sz w:val="21"/>
        </w:rPr>
      </w:pPr>
      <w:r>
        <w:rPr>
          <w:rFonts w:hint="eastAsia"/>
          <w:sz w:val="21"/>
        </w:rPr>
        <w:t xml:space="preserve">3.7.3 </w:t>
      </w:r>
      <w:r>
        <w:rPr>
          <w:sz w:val="21"/>
        </w:rPr>
        <w:t>投标文件应用不褪色的材料书写或打印，并由投标人的法定代表人或其授权的代理人签字</w:t>
      </w:r>
      <w:r>
        <w:rPr>
          <w:spacing w:val="-9"/>
          <w:sz w:val="21"/>
        </w:rPr>
        <w:t>或盖单位章。投标人的法定代表人授权代理人签字的，投标文件应附由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tabs>
          <w:tab w:val="left" w:pos="1468"/>
        </w:tabs>
        <w:spacing w:line="357" w:lineRule="auto"/>
        <w:ind w:right="465"/>
        <w:rPr>
          <w:sz w:val="21"/>
        </w:rPr>
      </w:pPr>
      <w:r>
        <w:rPr>
          <w:rFonts w:hint="eastAsia"/>
          <w:spacing w:val="-10"/>
          <w:sz w:val="21"/>
        </w:rPr>
        <w:t xml:space="preserve">3.7.4 </w:t>
      </w:r>
      <w:r>
        <w:rPr>
          <w:spacing w:val="-10"/>
          <w:sz w:val="21"/>
        </w:rPr>
        <w:t>投标文件正本一份, 副本份数见投标人须知前附表。正本和副本的封面上应清楚地标记“正本”或“副本”的字样。当副本和正本不一致时，以正本为准。</w:t>
      </w:r>
    </w:p>
    <w:p>
      <w:pPr>
        <w:pStyle w:val="35"/>
        <w:numPr>
          <w:ilvl w:val="2"/>
          <w:numId w:val="17"/>
        </w:numPr>
        <w:tabs>
          <w:tab w:val="left" w:pos="1468"/>
        </w:tabs>
        <w:spacing w:line="357" w:lineRule="auto"/>
        <w:ind w:right="465"/>
        <w:rPr>
          <w:spacing w:val="-10"/>
          <w:sz w:val="21"/>
        </w:rPr>
      </w:pPr>
      <w:r>
        <w:rPr>
          <w:spacing w:val="-10"/>
          <w:sz w:val="21"/>
        </w:rPr>
        <w:t>投标文件的正本与副本应分别装订成册，并编制目录，具体装订要求见投标人须知前附表   规定。</w:t>
      </w:r>
    </w:p>
    <w:p>
      <w:pPr>
        <w:pStyle w:val="35"/>
        <w:tabs>
          <w:tab w:val="left" w:pos="1417"/>
        </w:tabs>
        <w:spacing w:before="21" w:line="391" w:lineRule="auto"/>
        <w:ind w:left="720" w:right="484" w:firstLine="0"/>
        <w:rPr>
          <w:b/>
          <w:sz w:val="21"/>
        </w:rPr>
      </w:pPr>
    </w:p>
    <w:p>
      <w:pPr>
        <w:pStyle w:val="3"/>
        <w:numPr>
          <w:ilvl w:val="0"/>
          <w:numId w:val="17"/>
        </w:numPr>
        <w:tabs>
          <w:tab w:val="left" w:pos="641"/>
        </w:tabs>
        <w:ind w:hanging="429"/>
      </w:pPr>
      <w:bookmarkStart w:id="57" w:name="_Toc37926026"/>
      <w:r>
        <w:t>投标</w:t>
      </w:r>
      <w:bookmarkEnd w:id="57"/>
    </w:p>
    <w:p>
      <w:pPr>
        <w:pStyle w:val="10"/>
        <w:spacing w:before="4"/>
        <w:rPr>
          <w:rFonts w:ascii="黑体"/>
          <w:b/>
          <w:sz w:val="39"/>
        </w:rPr>
      </w:pPr>
    </w:p>
    <w:p>
      <w:pPr>
        <w:rPr>
          <w:rFonts w:ascii="Times New Roman" w:eastAsia="Times New Roman"/>
        </w:rPr>
      </w:pPr>
      <w:bookmarkStart w:id="58" w:name="_bookmark41"/>
      <w:bookmarkEnd w:id="58"/>
      <w:r>
        <w:rPr>
          <w:rFonts w:hint="eastAsia"/>
          <w:spacing w:val="-2"/>
        </w:rPr>
        <w:t>4</w:t>
      </w:r>
      <w:r>
        <w:rPr>
          <w:spacing w:val="-2"/>
        </w:rPr>
        <w:t>.1投标文件的密封和标记</w:t>
      </w:r>
    </w:p>
    <w:p>
      <w:pPr>
        <w:adjustRightInd w:val="0"/>
        <w:rPr>
          <w:rFonts w:hAnsiTheme="minorHAnsi"/>
          <w:sz w:val="21"/>
          <w:szCs w:val="21"/>
          <w:lang w:val="en-US" w:bidi="ar-SA"/>
        </w:rPr>
      </w:pPr>
      <w:r>
        <w:rPr>
          <w:rFonts w:hint="eastAsia" w:hAnsiTheme="minorHAnsi"/>
          <w:sz w:val="21"/>
          <w:szCs w:val="21"/>
          <w:lang w:val="en-US" w:bidi="ar-SA"/>
        </w:rPr>
        <w:t>4</w:t>
      </w:r>
      <w:r>
        <w:rPr>
          <w:rFonts w:hAnsiTheme="minorHAnsi"/>
          <w:sz w:val="21"/>
          <w:szCs w:val="21"/>
          <w:lang w:val="en-US" w:bidi="ar-SA"/>
        </w:rPr>
        <w:t xml:space="preserve">.1.1 </w:t>
      </w:r>
      <w:r>
        <w:rPr>
          <w:rFonts w:hint="eastAsia" w:hAnsiTheme="minorHAnsi"/>
          <w:sz w:val="21"/>
          <w:szCs w:val="21"/>
          <w:lang w:val="en-US" w:bidi="ar-SA"/>
        </w:rPr>
        <w:t>投标文件的正本和副本应分开包装、加贴封条，并在封套的封口处加盖投标人单位章。</w:t>
      </w:r>
    </w:p>
    <w:p>
      <w:pPr>
        <w:adjustRightInd w:val="0"/>
        <w:rPr>
          <w:rFonts w:hAnsiTheme="minorHAnsi"/>
          <w:sz w:val="21"/>
          <w:szCs w:val="21"/>
          <w:lang w:val="en-US" w:bidi="ar-SA"/>
        </w:rPr>
      </w:pPr>
      <w:r>
        <w:rPr>
          <w:rFonts w:hAnsiTheme="minorHAnsi"/>
          <w:sz w:val="21"/>
          <w:szCs w:val="21"/>
          <w:lang w:val="en-US" w:bidi="ar-SA"/>
        </w:rPr>
        <w:t xml:space="preserve">4.1.2 </w:t>
      </w:r>
      <w:r>
        <w:rPr>
          <w:rFonts w:hint="eastAsia" w:hAnsiTheme="minorHAnsi"/>
          <w:sz w:val="21"/>
          <w:szCs w:val="21"/>
          <w:lang w:val="en-US" w:bidi="ar-SA"/>
        </w:rPr>
        <w:t>投标文件的封套上应清楚地标记“正本”或“副本”字样，封套上应写明的其他内容见投</w:t>
      </w:r>
    </w:p>
    <w:p>
      <w:pPr>
        <w:pStyle w:val="35"/>
        <w:tabs>
          <w:tab w:val="left" w:pos="1159"/>
        </w:tabs>
        <w:spacing w:before="132"/>
        <w:ind w:left="720" w:firstLine="0"/>
        <w:rPr>
          <w:rFonts w:ascii="Times New Roman" w:eastAsia="Times New Roman"/>
          <w:sz w:val="21"/>
        </w:rPr>
      </w:pPr>
      <w:r>
        <w:rPr>
          <w:rFonts w:hint="eastAsia" w:hAnsiTheme="minorHAnsi"/>
          <w:sz w:val="21"/>
          <w:szCs w:val="21"/>
          <w:lang w:val="en-US" w:bidi="ar-SA"/>
        </w:rPr>
        <w:t>标人须知前附表</w:t>
      </w:r>
      <w:r>
        <w:rPr>
          <w:spacing w:val="-3"/>
          <w:sz w:val="21"/>
        </w:rPr>
        <w:t>。</w:t>
      </w:r>
    </w:p>
    <w:p>
      <w:pPr>
        <w:pStyle w:val="35"/>
        <w:numPr>
          <w:ilvl w:val="2"/>
          <w:numId w:val="18"/>
        </w:numPr>
        <w:tabs>
          <w:tab w:val="left" w:pos="1159"/>
        </w:tabs>
        <w:spacing w:before="129"/>
        <w:rPr>
          <w:rFonts w:ascii="Times New Roman" w:eastAsia="Times New Roman"/>
          <w:sz w:val="21"/>
        </w:rPr>
      </w:pPr>
      <w:r>
        <w:rPr>
          <w:spacing w:val="-12"/>
          <w:sz w:val="21"/>
        </w:rPr>
        <w:t xml:space="preserve">未按本章第 </w:t>
      </w:r>
      <w:r>
        <w:rPr>
          <w:rFonts w:ascii="Times New Roman" w:eastAsia="Times New Roman"/>
          <w:sz w:val="21"/>
        </w:rPr>
        <w:t>4.1.1</w:t>
      </w:r>
      <w:r>
        <w:rPr>
          <w:rFonts w:ascii="Times New Roman" w:eastAsia="Times New Roman"/>
          <w:spacing w:val="1"/>
          <w:sz w:val="21"/>
        </w:rPr>
        <w:t xml:space="preserve"> </w:t>
      </w:r>
      <w:r>
        <w:rPr>
          <w:spacing w:val="-15"/>
          <w:sz w:val="21"/>
        </w:rPr>
        <w:t xml:space="preserve">项或第 </w:t>
      </w:r>
      <w:r>
        <w:rPr>
          <w:rFonts w:ascii="Times New Roman" w:eastAsia="Times New Roman"/>
          <w:sz w:val="21"/>
        </w:rPr>
        <w:t>4.1.2</w:t>
      </w:r>
      <w:r>
        <w:rPr>
          <w:rFonts w:ascii="Times New Roman" w:eastAsia="Times New Roman"/>
          <w:spacing w:val="-2"/>
          <w:sz w:val="21"/>
        </w:rPr>
        <w:t xml:space="preserve"> </w:t>
      </w:r>
      <w:r>
        <w:rPr>
          <w:spacing w:val="-3"/>
          <w:sz w:val="21"/>
        </w:rPr>
        <w:t>项要求密封和加写标记的投标文件，招标人不予受理。</w:t>
      </w:r>
    </w:p>
    <w:p>
      <w:pPr>
        <w:pStyle w:val="10"/>
        <w:spacing w:before="7"/>
        <w:rPr>
          <w:sz w:val="32"/>
        </w:rPr>
      </w:pPr>
    </w:p>
    <w:p>
      <w:pPr>
        <w:rPr>
          <w:rFonts w:ascii="Times New Roman" w:eastAsiaTheme="minorEastAsia"/>
        </w:rPr>
      </w:pPr>
      <w:bookmarkStart w:id="59" w:name="_bookmark42"/>
      <w:bookmarkEnd w:id="59"/>
      <w:r>
        <w:rPr>
          <w:rFonts w:hint="eastAsia"/>
          <w:spacing w:val="-1"/>
        </w:rPr>
        <w:t>4</w:t>
      </w:r>
      <w:r>
        <w:rPr>
          <w:spacing w:val="-1"/>
        </w:rPr>
        <w:t>.2 投标文件的递交</w:t>
      </w:r>
    </w:p>
    <w:p>
      <w:pPr>
        <w:rPr>
          <w:rFonts w:ascii="Times New Roman" w:eastAsia="Times New Roman"/>
        </w:rPr>
      </w:pPr>
      <w:r>
        <w:rPr>
          <w:rFonts w:hint="eastAsia" w:ascii="Times New Roman" w:eastAsiaTheme="minorEastAsia"/>
        </w:rPr>
        <w:t>4</w:t>
      </w:r>
      <w:r>
        <w:rPr>
          <w:rFonts w:ascii="Times New Roman" w:eastAsiaTheme="minorEastAsia"/>
        </w:rPr>
        <w:t xml:space="preserve">.2.1 </w:t>
      </w:r>
      <w:r>
        <w:rPr>
          <w:spacing w:val="-11"/>
          <w:sz w:val="21"/>
        </w:rPr>
        <w:t xml:space="preserve">投标人应在第 </w:t>
      </w:r>
      <w:r>
        <w:rPr>
          <w:rFonts w:ascii="Times New Roman" w:eastAsia="Times New Roman"/>
          <w:sz w:val="21"/>
        </w:rPr>
        <w:t>2.</w:t>
      </w:r>
      <w:r>
        <w:rPr>
          <w:rFonts w:ascii="Times New Roman" w:eastAsiaTheme="minorEastAsia"/>
          <w:sz w:val="21"/>
        </w:rPr>
        <w:t>2</w:t>
      </w:r>
      <w:r>
        <w:rPr>
          <w:rFonts w:ascii="Times New Roman" w:eastAsia="Times New Roman"/>
          <w:sz w:val="21"/>
        </w:rPr>
        <w:t>.2</w:t>
      </w:r>
      <w:r>
        <w:rPr>
          <w:rFonts w:ascii="Times New Roman" w:eastAsia="Times New Roman"/>
          <w:spacing w:val="-3"/>
          <w:sz w:val="21"/>
        </w:rPr>
        <w:t xml:space="preserve"> </w:t>
      </w:r>
      <w:r>
        <w:rPr>
          <w:spacing w:val="-3"/>
          <w:sz w:val="21"/>
        </w:rPr>
        <w:t>项规定的投标截止时间前递交投标文件。</w:t>
      </w:r>
    </w:p>
    <w:p>
      <w:pPr>
        <w:tabs>
          <w:tab w:val="left" w:pos="1159"/>
        </w:tabs>
        <w:spacing w:before="129"/>
        <w:rPr>
          <w:rFonts w:ascii="Times New Roman" w:eastAsia="Times New Roman"/>
          <w:sz w:val="21"/>
        </w:rPr>
      </w:pPr>
      <w:r>
        <w:rPr>
          <w:rFonts w:hint="eastAsia" w:ascii="Times New Roman" w:eastAsiaTheme="minorEastAsia"/>
        </w:rPr>
        <w:t>4</w:t>
      </w:r>
      <w:r>
        <w:rPr>
          <w:rFonts w:ascii="Times New Roman" w:eastAsiaTheme="minorEastAsia"/>
        </w:rPr>
        <w:t xml:space="preserve">.2.2 </w:t>
      </w:r>
      <w:r>
        <w:rPr>
          <w:spacing w:val="-3"/>
          <w:sz w:val="21"/>
        </w:rPr>
        <w:t>投标人递交投标文件的地点：见投标人须知前附表。</w:t>
      </w:r>
    </w:p>
    <w:p>
      <w:pPr>
        <w:tabs>
          <w:tab w:val="left" w:pos="1159"/>
        </w:tabs>
        <w:spacing w:before="132"/>
        <w:rPr>
          <w:rFonts w:ascii="Times New Roman" w:eastAsia="Times New Roman"/>
          <w:sz w:val="21"/>
        </w:rPr>
      </w:pPr>
      <w:r>
        <w:rPr>
          <w:rFonts w:hint="eastAsia" w:ascii="Times New Roman" w:eastAsiaTheme="minorEastAsia"/>
        </w:rPr>
        <w:t>4</w:t>
      </w:r>
      <w:r>
        <w:rPr>
          <w:rFonts w:ascii="Times New Roman" w:eastAsiaTheme="minorEastAsia"/>
        </w:rPr>
        <w:t xml:space="preserve">.2.3 </w:t>
      </w:r>
      <w:r>
        <w:rPr>
          <w:spacing w:val="-3"/>
          <w:sz w:val="21"/>
        </w:rPr>
        <w:t>除投标人须知前附表另有规定外，投标人所递交的投标文件不予退还。</w:t>
      </w:r>
    </w:p>
    <w:p>
      <w:pPr>
        <w:tabs>
          <w:tab w:val="left" w:pos="1159"/>
        </w:tabs>
        <w:spacing w:before="132"/>
        <w:rPr>
          <w:rFonts w:ascii="Times New Roman" w:eastAsia="Times New Roman"/>
          <w:sz w:val="21"/>
        </w:rPr>
      </w:pPr>
      <w:r>
        <w:rPr>
          <w:rFonts w:hint="eastAsia" w:ascii="Times New Roman" w:eastAsiaTheme="minorEastAsia"/>
        </w:rPr>
        <w:t>4</w:t>
      </w:r>
      <w:r>
        <w:rPr>
          <w:rFonts w:ascii="Times New Roman" w:eastAsiaTheme="minorEastAsia"/>
        </w:rPr>
        <w:t xml:space="preserve">.2.4 </w:t>
      </w:r>
      <w:r>
        <w:rPr>
          <w:spacing w:val="-3"/>
          <w:sz w:val="21"/>
        </w:rPr>
        <w:t>招标人收到投标文件后，向投标人出具签收凭证。</w:t>
      </w:r>
    </w:p>
    <w:p>
      <w:pPr>
        <w:tabs>
          <w:tab w:val="left" w:pos="1159"/>
        </w:tabs>
        <w:spacing w:before="130"/>
        <w:rPr>
          <w:rFonts w:ascii="Times New Roman" w:eastAsia="Times New Roman"/>
          <w:sz w:val="21"/>
        </w:rPr>
      </w:pPr>
      <w:r>
        <w:rPr>
          <w:rFonts w:hint="eastAsia" w:ascii="Times New Roman" w:eastAsiaTheme="minorEastAsia"/>
        </w:rPr>
        <w:t>4</w:t>
      </w:r>
      <w:r>
        <w:rPr>
          <w:rFonts w:ascii="Times New Roman" w:eastAsiaTheme="minorEastAsia"/>
        </w:rPr>
        <w:t>.2.5</w:t>
      </w:r>
      <w:r>
        <w:rPr>
          <w:spacing w:val="-3"/>
          <w:sz w:val="21"/>
        </w:rPr>
        <w:t>逾期送达的或者未送达指定地点的投标文件，招标人不予受理。</w:t>
      </w:r>
    </w:p>
    <w:p>
      <w:pPr>
        <w:pStyle w:val="10"/>
        <w:spacing w:before="6"/>
        <w:rPr>
          <w:sz w:val="32"/>
        </w:rPr>
      </w:pPr>
    </w:p>
    <w:p>
      <w:pPr>
        <w:rPr>
          <w:rFonts w:ascii="Times New Roman" w:eastAsia="Times New Roman"/>
        </w:rPr>
      </w:pPr>
      <w:bookmarkStart w:id="60" w:name="_bookmark43"/>
      <w:bookmarkEnd w:id="60"/>
      <w:r>
        <w:rPr>
          <w:rFonts w:hint="eastAsia"/>
          <w:spacing w:val="-2"/>
        </w:rPr>
        <w:t>4</w:t>
      </w:r>
      <w:r>
        <w:rPr>
          <w:spacing w:val="-2"/>
        </w:rPr>
        <w:t>.3投标文件的修改与撤回</w:t>
      </w:r>
    </w:p>
    <w:p>
      <w:pPr>
        <w:tabs>
          <w:tab w:val="left" w:pos="1159"/>
        </w:tabs>
        <w:spacing w:line="355" w:lineRule="auto"/>
        <w:ind w:right="546"/>
        <w:jc w:val="both"/>
        <w:rPr>
          <w:spacing w:val="-4"/>
          <w:sz w:val="21"/>
        </w:rPr>
      </w:pPr>
      <w:r>
        <w:rPr>
          <w:rFonts w:hint="eastAsia"/>
          <w:spacing w:val="-9"/>
          <w:sz w:val="21"/>
        </w:rPr>
        <w:t>4</w:t>
      </w:r>
      <w:r>
        <w:rPr>
          <w:spacing w:val="-9"/>
          <w:sz w:val="21"/>
        </w:rPr>
        <w:t xml:space="preserve">.3.1 在本章第 </w:t>
      </w:r>
      <w:r>
        <w:rPr>
          <w:rFonts w:ascii="Times New Roman" w:eastAsia="Times New Roman"/>
          <w:sz w:val="21"/>
        </w:rPr>
        <w:t>2.</w:t>
      </w:r>
      <w:r>
        <w:rPr>
          <w:rFonts w:ascii="Times New Roman" w:eastAsiaTheme="minorEastAsia"/>
          <w:sz w:val="21"/>
        </w:rPr>
        <w:t>2</w:t>
      </w:r>
      <w:r>
        <w:rPr>
          <w:rFonts w:ascii="Times New Roman" w:eastAsia="Times New Roman"/>
          <w:sz w:val="21"/>
        </w:rPr>
        <w:t>.2</w:t>
      </w:r>
      <w:r>
        <w:rPr>
          <w:rFonts w:ascii="Times New Roman" w:eastAsia="Times New Roman"/>
          <w:spacing w:val="17"/>
          <w:sz w:val="21"/>
        </w:rPr>
        <w:t xml:space="preserve"> </w:t>
      </w:r>
      <w:r>
        <w:rPr>
          <w:spacing w:val="-5"/>
          <w:sz w:val="21"/>
        </w:rPr>
        <w:t>项规定的投标截止时间前，投标人可以修改或撤回已递交的投标文件，但应以书</w:t>
      </w:r>
      <w:r>
        <w:rPr>
          <w:spacing w:val="-4"/>
          <w:sz w:val="21"/>
        </w:rPr>
        <w:t>面形式通知招标人。</w:t>
      </w:r>
    </w:p>
    <w:p>
      <w:pPr>
        <w:tabs>
          <w:tab w:val="left" w:pos="1159"/>
        </w:tabs>
        <w:spacing w:line="355" w:lineRule="auto"/>
        <w:ind w:right="546"/>
        <w:jc w:val="both"/>
        <w:rPr>
          <w:rFonts w:ascii="Times New Roman" w:eastAsia="Times New Roman"/>
          <w:sz w:val="21"/>
        </w:rPr>
      </w:pPr>
      <w:r>
        <w:rPr>
          <w:rFonts w:hint="eastAsia"/>
          <w:spacing w:val="-4"/>
          <w:sz w:val="21"/>
        </w:rPr>
        <w:t>4</w:t>
      </w:r>
      <w:r>
        <w:rPr>
          <w:spacing w:val="-4"/>
          <w:sz w:val="21"/>
        </w:rPr>
        <w:t xml:space="preserve">.3.2 </w:t>
      </w:r>
      <w:r>
        <w:rPr>
          <w:spacing w:val="-5"/>
          <w:sz w:val="21"/>
        </w:rPr>
        <w:t xml:space="preserve">投标人修改或撤回已递交投标文件的书面通知应按照本章第 </w:t>
      </w:r>
      <w:r>
        <w:rPr>
          <w:rFonts w:ascii="Times New Roman" w:eastAsia="Times New Roman"/>
          <w:sz w:val="21"/>
        </w:rPr>
        <w:t>3.7.3</w:t>
      </w:r>
      <w:r>
        <w:rPr>
          <w:rFonts w:ascii="Times New Roman" w:eastAsia="Times New Roman"/>
          <w:spacing w:val="15"/>
          <w:sz w:val="21"/>
        </w:rPr>
        <w:t xml:space="preserve"> </w:t>
      </w:r>
      <w:r>
        <w:rPr>
          <w:spacing w:val="-5"/>
          <w:sz w:val="21"/>
        </w:rPr>
        <w:t>项的要求签字或盖章。招标人</w:t>
      </w:r>
      <w:r>
        <w:rPr>
          <w:spacing w:val="-4"/>
          <w:sz w:val="21"/>
        </w:rPr>
        <w:t>收到书面通知后，向投标人出具签收凭证。</w:t>
      </w:r>
    </w:p>
    <w:p>
      <w:pPr>
        <w:tabs>
          <w:tab w:val="left" w:pos="1159"/>
        </w:tabs>
        <w:spacing w:before="3" w:line="357" w:lineRule="auto"/>
        <w:ind w:right="549"/>
        <w:rPr>
          <w:rFonts w:ascii="Times New Roman" w:eastAsia="Times New Roman"/>
          <w:sz w:val="21"/>
        </w:rPr>
      </w:pPr>
      <w:r>
        <w:rPr>
          <w:rFonts w:hint="eastAsia"/>
          <w:spacing w:val="-3"/>
          <w:sz w:val="21"/>
        </w:rPr>
        <w:t>4</w:t>
      </w:r>
      <w:r>
        <w:rPr>
          <w:spacing w:val="-3"/>
          <w:sz w:val="21"/>
        </w:rPr>
        <w:t xml:space="preserve">.3.3投标人撤回投标文件的，招标人自收到投标人书面撤回通知之日起 </w:t>
      </w:r>
      <w:r>
        <w:rPr>
          <w:rFonts w:ascii="Times New Roman" w:eastAsia="Times New Roman"/>
          <w:sz w:val="21"/>
        </w:rPr>
        <w:t>5</w:t>
      </w:r>
      <w:r>
        <w:rPr>
          <w:rFonts w:ascii="Times New Roman" w:eastAsia="Times New Roman"/>
          <w:spacing w:val="7"/>
          <w:sz w:val="21"/>
        </w:rPr>
        <w:t xml:space="preserve"> </w:t>
      </w:r>
      <w:r>
        <w:rPr>
          <w:spacing w:val="-3"/>
          <w:sz w:val="21"/>
        </w:rPr>
        <w:t>日内退还已收取的投标保证金。</w:t>
      </w:r>
    </w:p>
    <w:p>
      <w:pPr>
        <w:tabs>
          <w:tab w:val="left" w:pos="1159"/>
        </w:tabs>
        <w:spacing w:line="357" w:lineRule="auto"/>
        <w:ind w:right="443"/>
        <w:rPr>
          <w:rFonts w:ascii="Times New Roman" w:hAnsi="Times New Roman" w:eastAsia="Times New Roman"/>
          <w:sz w:val="21"/>
        </w:rPr>
      </w:pPr>
      <w:r>
        <w:rPr>
          <w:rFonts w:hint="eastAsia"/>
          <w:spacing w:val="-6"/>
          <w:sz w:val="21"/>
        </w:rPr>
        <w:t>4</w:t>
      </w:r>
      <w:r>
        <w:rPr>
          <w:spacing w:val="-6"/>
          <w:sz w:val="21"/>
        </w:rPr>
        <w:t xml:space="preserve">.3.4修改的内容为投标文件的组成部分。修改的投标文件应按照本章第 </w:t>
      </w:r>
      <w:r>
        <w:rPr>
          <w:rFonts w:ascii="Times New Roman" w:hAnsi="Times New Roman" w:eastAsia="Times New Roman"/>
          <w:sz w:val="21"/>
        </w:rPr>
        <w:t>3</w:t>
      </w:r>
      <w:r>
        <w:rPr>
          <w:rFonts w:ascii="Times New Roman" w:hAnsi="Times New Roman" w:eastAsia="Times New Roman"/>
          <w:spacing w:val="11"/>
          <w:sz w:val="21"/>
        </w:rPr>
        <w:t xml:space="preserve"> </w:t>
      </w:r>
      <w:r>
        <w:rPr>
          <w:spacing w:val="-15"/>
          <w:sz w:val="21"/>
        </w:rPr>
        <w:t xml:space="preserve">条、第 </w:t>
      </w:r>
      <w:r>
        <w:rPr>
          <w:rFonts w:ascii="Times New Roman" w:hAnsi="Times New Roman" w:eastAsia="Times New Roman"/>
          <w:sz w:val="21"/>
        </w:rPr>
        <w:t>4</w:t>
      </w:r>
      <w:r>
        <w:rPr>
          <w:rFonts w:ascii="Times New Roman" w:hAnsi="Times New Roman" w:eastAsia="Times New Roman"/>
          <w:spacing w:val="8"/>
          <w:sz w:val="21"/>
        </w:rPr>
        <w:t xml:space="preserve"> </w:t>
      </w:r>
      <w:r>
        <w:rPr>
          <w:spacing w:val="-3"/>
          <w:sz w:val="21"/>
        </w:rPr>
        <w:t>条规定进行编制、密封、标记和递交，并标明“修改”字样。</w:t>
      </w:r>
    </w:p>
    <w:p>
      <w:pPr>
        <w:pStyle w:val="10"/>
        <w:spacing w:before="11"/>
        <w:rPr>
          <w:sz w:val="19"/>
        </w:rPr>
      </w:pPr>
    </w:p>
    <w:p>
      <w:pPr>
        <w:pStyle w:val="3"/>
        <w:numPr>
          <w:ilvl w:val="0"/>
          <w:numId w:val="18"/>
        </w:numPr>
        <w:tabs>
          <w:tab w:val="left" w:pos="641"/>
        </w:tabs>
        <w:ind w:hanging="429"/>
      </w:pPr>
      <w:bookmarkStart w:id="61" w:name="_bookmark44"/>
      <w:bookmarkEnd w:id="61"/>
      <w:bookmarkStart w:id="62" w:name="_Toc37926027"/>
      <w:r>
        <w:t>开标</w:t>
      </w:r>
      <w:bookmarkEnd w:id="62"/>
    </w:p>
    <w:p>
      <w:pPr>
        <w:pStyle w:val="10"/>
        <w:spacing w:before="1"/>
        <w:rPr>
          <w:rFonts w:ascii="黑体"/>
          <w:b/>
          <w:sz w:val="39"/>
        </w:rPr>
      </w:pPr>
    </w:p>
    <w:p>
      <w:pPr>
        <w:rPr>
          <w:rFonts w:ascii="Times New Roman" w:eastAsia="Times New Roman"/>
        </w:rPr>
      </w:pPr>
      <w:bookmarkStart w:id="63" w:name="_bookmark45"/>
      <w:bookmarkEnd w:id="63"/>
      <w:r>
        <w:rPr>
          <w:rFonts w:hint="eastAsia"/>
          <w:spacing w:val="-1"/>
        </w:rPr>
        <w:t>5</w:t>
      </w:r>
      <w:r>
        <w:rPr>
          <w:spacing w:val="-1"/>
        </w:rPr>
        <w:t>.1 开标时间和地点</w:t>
      </w:r>
    </w:p>
    <w:p>
      <w:pPr>
        <w:pStyle w:val="10"/>
        <w:spacing w:before="1"/>
        <w:rPr>
          <w:rFonts w:ascii="黑体"/>
          <w:sz w:val="39"/>
        </w:rPr>
      </w:pPr>
    </w:p>
    <w:p>
      <w:pPr>
        <w:pStyle w:val="10"/>
        <w:spacing w:line="355" w:lineRule="auto"/>
        <w:ind w:left="212" w:right="371" w:firstLine="420"/>
      </w:pPr>
      <w:r>
        <w:t xml:space="preserve">招标人在本章第 </w:t>
      </w:r>
      <w:r>
        <w:rPr>
          <w:rFonts w:ascii="Times New Roman" w:eastAsia="Times New Roman"/>
        </w:rPr>
        <w:t>2.</w:t>
      </w:r>
      <w:r>
        <w:rPr>
          <w:rFonts w:ascii="Times New Roman" w:eastAsiaTheme="minorEastAsia"/>
        </w:rPr>
        <w:t>2</w:t>
      </w:r>
      <w:r>
        <w:rPr>
          <w:rFonts w:ascii="Times New Roman" w:eastAsia="Times New Roman"/>
        </w:rPr>
        <w:t xml:space="preserve">.2 </w:t>
      </w:r>
      <w:r>
        <w:t>项规定的投标截止时间（开标时间）和投标人须知前附表规定的地点公开开标， 并邀请所有投标人的法定代表人或其委托代理人准时参加。</w:t>
      </w:r>
    </w:p>
    <w:p>
      <w:pPr>
        <w:pStyle w:val="10"/>
        <w:spacing w:before="6"/>
        <w:rPr>
          <w:sz w:val="22"/>
        </w:rPr>
      </w:pPr>
    </w:p>
    <w:p>
      <w:pPr>
        <w:rPr>
          <w:rFonts w:ascii="Times New Roman" w:eastAsia="Times New Roman"/>
        </w:rPr>
      </w:pPr>
      <w:bookmarkStart w:id="64" w:name="_bookmark46"/>
      <w:bookmarkEnd w:id="64"/>
      <w:r>
        <w:rPr>
          <w:rFonts w:hint="eastAsia"/>
        </w:rPr>
        <w:t>5</w:t>
      </w:r>
      <w:r>
        <w:t>.2 开标程序</w:t>
      </w:r>
    </w:p>
    <w:p>
      <w:pPr>
        <w:pStyle w:val="10"/>
        <w:spacing w:before="1"/>
        <w:rPr>
          <w:rFonts w:ascii="黑体"/>
          <w:sz w:val="39"/>
        </w:rPr>
      </w:pPr>
    </w:p>
    <w:p>
      <w:pPr>
        <w:pStyle w:val="10"/>
        <w:spacing w:before="1"/>
        <w:ind w:left="633"/>
      </w:pPr>
      <w:r>
        <w:t>主持人按下列程序进行开标：</w:t>
      </w:r>
    </w:p>
    <w:p>
      <w:pPr>
        <w:pStyle w:val="35"/>
        <w:numPr>
          <w:ilvl w:val="0"/>
          <w:numId w:val="19"/>
        </w:numPr>
        <w:tabs>
          <w:tab w:val="left" w:pos="1103"/>
        </w:tabs>
        <w:spacing w:before="129"/>
        <w:ind w:hanging="530"/>
        <w:rPr>
          <w:sz w:val="21"/>
        </w:rPr>
      </w:pPr>
      <w:r>
        <w:rPr>
          <w:spacing w:val="-3"/>
          <w:sz w:val="21"/>
        </w:rPr>
        <w:t>宣布开标纪律；</w:t>
      </w:r>
    </w:p>
    <w:p>
      <w:pPr>
        <w:pStyle w:val="35"/>
        <w:numPr>
          <w:ilvl w:val="0"/>
          <w:numId w:val="19"/>
        </w:numPr>
        <w:tabs>
          <w:tab w:val="left" w:pos="1103"/>
        </w:tabs>
        <w:spacing w:before="132"/>
        <w:ind w:hanging="530"/>
        <w:rPr>
          <w:sz w:val="21"/>
        </w:rPr>
      </w:pPr>
      <w:r>
        <w:rPr>
          <w:spacing w:val="-3"/>
          <w:sz w:val="21"/>
        </w:rPr>
        <w:t>公布在投标截止时间前递交投标文件的投标人名称，并点名确认投标人是否派人到场；</w:t>
      </w:r>
    </w:p>
    <w:p>
      <w:pPr>
        <w:pStyle w:val="35"/>
        <w:numPr>
          <w:ilvl w:val="0"/>
          <w:numId w:val="19"/>
        </w:numPr>
        <w:tabs>
          <w:tab w:val="left" w:pos="1103"/>
        </w:tabs>
        <w:spacing w:before="131"/>
        <w:ind w:hanging="530"/>
        <w:rPr>
          <w:sz w:val="21"/>
        </w:rPr>
      </w:pPr>
      <w:r>
        <w:rPr>
          <w:spacing w:val="-3"/>
          <w:sz w:val="21"/>
        </w:rPr>
        <w:t>宣布开标人、唱标人、记录人、监标人等有关人员姓名；</w:t>
      </w:r>
    </w:p>
    <w:p>
      <w:pPr>
        <w:pStyle w:val="35"/>
        <w:numPr>
          <w:ilvl w:val="0"/>
          <w:numId w:val="19"/>
        </w:numPr>
        <w:tabs>
          <w:tab w:val="left" w:pos="1103"/>
        </w:tabs>
        <w:spacing w:before="130"/>
        <w:ind w:hanging="530"/>
        <w:rPr>
          <w:sz w:val="21"/>
        </w:rPr>
      </w:pPr>
      <w:r>
        <w:rPr>
          <w:spacing w:val="-7"/>
          <w:sz w:val="21"/>
        </w:rPr>
        <w:t>招标人核查投标人的信用等级，对未被列入“江门市建筑业企业信用管理信息系统”信用等级为</w:t>
      </w:r>
    </w:p>
    <w:p>
      <w:pPr>
        <w:pStyle w:val="10"/>
        <w:spacing w:before="132"/>
        <w:ind w:left="212"/>
      </w:pPr>
      <w:r>
        <w:rPr>
          <w:rFonts w:ascii="Arial" w:eastAsia="Arial"/>
        </w:rPr>
        <w:t xml:space="preserve">c </w:t>
      </w:r>
      <w:r>
        <w:t>级或以上的投标人，招标人退回其投标文件；</w:t>
      </w:r>
    </w:p>
    <w:p>
      <w:pPr>
        <w:pStyle w:val="35"/>
        <w:numPr>
          <w:ilvl w:val="0"/>
          <w:numId w:val="19"/>
        </w:numPr>
        <w:tabs>
          <w:tab w:val="left" w:pos="1103"/>
        </w:tabs>
        <w:spacing w:before="132"/>
        <w:ind w:hanging="530"/>
        <w:rPr>
          <w:sz w:val="21"/>
        </w:rPr>
      </w:pPr>
      <w:r>
        <w:rPr>
          <w:spacing w:val="-3"/>
          <w:sz w:val="21"/>
        </w:rPr>
        <w:t>按照投标人须知前附表规定检查投标文件的密封情况；</w:t>
      </w:r>
    </w:p>
    <w:p>
      <w:pPr>
        <w:pStyle w:val="35"/>
        <w:numPr>
          <w:ilvl w:val="0"/>
          <w:numId w:val="19"/>
        </w:numPr>
        <w:tabs>
          <w:tab w:val="left" w:pos="1103"/>
        </w:tabs>
        <w:spacing w:before="129"/>
        <w:ind w:hanging="530"/>
        <w:rPr>
          <w:sz w:val="21"/>
        </w:rPr>
      </w:pPr>
      <w:r>
        <w:rPr>
          <w:spacing w:val="-3"/>
          <w:sz w:val="21"/>
        </w:rPr>
        <w:t>按照投标人须知前附表的规定确定并宣布投标文件开标顺序；</w:t>
      </w:r>
    </w:p>
    <w:p>
      <w:pPr>
        <w:pStyle w:val="35"/>
        <w:numPr>
          <w:ilvl w:val="0"/>
          <w:numId w:val="19"/>
        </w:numPr>
        <w:tabs>
          <w:tab w:val="left" w:pos="1103"/>
        </w:tabs>
        <w:spacing w:before="132"/>
        <w:ind w:hanging="530"/>
        <w:rPr>
          <w:sz w:val="21"/>
        </w:rPr>
      </w:pPr>
      <w:r>
        <w:rPr>
          <w:spacing w:val="-3"/>
          <w:sz w:val="21"/>
        </w:rPr>
        <w:t>设有标底的，公布标底；</w:t>
      </w:r>
    </w:p>
    <w:p>
      <w:pPr>
        <w:pStyle w:val="35"/>
        <w:numPr>
          <w:ilvl w:val="0"/>
          <w:numId w:val="19"/>
        </w:numPr>
        <w:tabs>
          <w:tab w:val="left" w:pos="1103"/>
        </w:tabs>
        <w:spacing w:before="131" w:line="355" w:lineRule="auto"/>
        <w:ind w:left="212" w:right="440" w:firstLine="360"/>
        <w:rPr>
          <w:sz w:val="21"/>
        </w:rPr>
      </w:pPr>
      <w:r>
        <w:rPr>
          <w:spacing w:val="-10"/>
          <w:sz w:val="21"/>
        </w:rPr>
        <w:t xml:space="preserve">按照宣布的开标顺序当众开标，公布投标人名称、项目名称、投标保证金的递交情况、投标报价 </w:t>
      </w:r>
      <w:r>
        <w:rPr>
          <w:spacing w:val="-7"/>
          <w:sz w:val="21"/>
        </w:rPr>
        <w:t>、质量目标、工期及其他内容，并记录在案；</w:t>
      </w:r>
    </w:p>
    <w:p>
      <w:pPr>
        <w:pStyle w:val="35"/>
        <w:numPr>
          <w:ilvl w:val="0"/>
          <w:numId w:val="19"/>
        </w:numPr>
        <w:tabs>
          <w:tab w:val="left" w:pos="1103"/>
        </w:tabs>
        <w:spacing w:before="3"/>
        <w:ind w:hanging="530"/>
        <w:rPr>
          <w:sz w:val="21"/>
        </w:rPr>
      </w:pPr>
      <w:r>
        <w:rPr>
          <w:spacing w:val="-3"/>
          <w:sz w:val="21"/>
        </w:rPr>
        <w:t>规定最高投标限价计算方法的，计算并公布最高投标限价；</w:t>
      </w:r>
    </w:p>
    <w:p>
      <w:pPr>
        <w:pStyle w:val="35"/>
        <w:numPr>
          <w:ilvl w:val="0"/>
          <w:numId w:val="19"/>
        </w:numPr>
        <w:tabs>
          <w:tab w:val="left" w:pos="1208"/>
        </w:tabs>
        <w:spacing w:before="132"/>
        <w:ind w:left="1207" w:hanging="635"/>
        <w:rPr>
          <w:sz w:val="21"/>
        </w:rPr>
      </w:pPr>
      <w:r>
        <w:rPr>
          <w:spacing w:val="-3"/>
          <w:sz w:val="21"/>
        </w:rPr>
        <w:t>投标人代表、招标人代表、监标人、记录人等有关人员在开标记录上签字确认；</w:t>
      </w:r>
    </w:p>
    <w:p>
      <w:pPr>
        <w:pStyle w:val="35"/>
        <w:numPr>
          <w:ilvl w:val="0"/>
          <w:numId w:val="19"/>
        </w:numPr>
        <w:tabs>
          <w:tab w:val="left" w:pos="1199"/>
        </w:tabs>
        <w:spacing w:before="130"/>
        <w:ind w:left="1198" w:hanging="626"/>
        <w:rPr>
          <w:sz w:val="21"/>
        </w:rPr>
      </w:pPr>
      <w:r>
        <w:rPr>
          <w:spacing w:val="-3"/>
          <w:sz w:val="21"/>
        </w:rPr>
        <w:t>开标结束。</w:t>
      </w:r>
    </w:p>
    <w:p>
      <w:pPr>
        <w:pStyle w:val="10"/>
        <w:spacing w:before="7"/>
        <w:rPr>
          <w:sz w:val="32"/>
        </w:rPr>
      </w:pPr>
    </w:p>
    <w:p>
      <w:pPr>
        <w:ind w:firstLine="110" w:firstLineChars="50"/>
        <w:rPr>
          <w:rFonts w:ascii="Times New Roman" w:eastAsia="Times New Roman"/>
        </w:rPr>
      </w:pPr>
      <w:bookmarkStart w:id="65" w:name="_bookmark47"/>
      <w:bookmarkEnd w:id="65"/>
      <w:r>
        <w:rPr>
          <w:rFonts w:hint="eastAsia"/>
        </w:rPr>
        <w:t>5</w:t>
      </w:r>
      <w:r>
        <w:t>.3 开标异议</w:t>
      </w:r>
    </w:p>
    <w:p>
      <w:pPr>
        <w:pStyle w:val="10"/>
        <w:spacing w:before="1"/>
        <w:rPr>
          <w:rFonts w:ascii="黑体"/>
          <w:sz w:val="39"/>
        </w:rPr>
      </w:pPr>
    </w:p>
    <w:p>
      <w:pPr>
        <w:pStyle w:val="10"/>
        <w:ind w:left="573"/>
      </w:pPr>
      <w:r>
        <w:t>投标人对开标有异议的，应当在开标现场提出，招标人当场作出答复，并制作记录。</w:t>
      </w:r>
    </w:p>
    <w:p>
      <w:pPr>
        <w:pStyle w:val="10"/>
        <w:ind w:left="573"/>
      </w:pPr>
    </w:p>
    <w:p>
      <w:pPr>
        <w:pStyle w:val="3"/>
        <w:numPr>
          <w:ilvl w:val="0"/>
          <w:numId w:val="18"/>
        </w:numPr>
        <w:tabs>
          <w:tab w:val="left" w:pos="641"/>
        </w:tabs>
        <w:spacing w:before="44"/>
        <w:ind w:hanging="429"/>
      </w:pPr>
      <w:bookmarkStart w:id="66" w:name="_bookmark48"/>
      <w:bookmarkEnd w:id="66"/>
      <w:bookmarkStart w:id="67" w:name="_Toc37926028"/>
      <w:r>
        <w:t>评标</w:t>
      </w:r>
      <w:bookmarkEnd w:id="67"/>
    </w:p>
    <w:p>
      <w:pPr>
        <w:pStyle w:val="10"/>
        <w:spacing w:before="5"/>
        <w:rPr>
          <w:rFonts w:ascii="黑体"/>
          <w:b/>
          <w:sz w:val="39"/>
        </w:rPr>
      </w:pPr>
    </w:p>
    <w:p>
      <w:pPr>
        <w:rPr>
          <w:rFonts w:ascii="Times New Roman" w:eastAsia="Times New Roman"/>
        </w:rPr>
      </w:pPr>
      <w:bookmarkStart w:id="68" w:name="_bookmark49"/>
      <w:bookmarkEnd w:id="68"/>
      <w:r>
        <w:rPr>
          <w:rFonts w:hint="eastAsia"/>
        </w:rPr>
        <w:t>6</w:t>
      </w:r>
      <w:r>
        <w:t>.1评标委员会</w:t>
      </w:r>
    </w:p>
    <w:p>
      <w:pPr>
        <w:pStyle w:val="10"/>
        <w:spacing w:before="11"/>
        <w:rPr>
          <w:rFonts w:ascii="黑体"/>
          <w:sz w:val="38"/>
        </w:rPr>
      </w:pPr>
    </w:p>
    <w:p>
      <w:pPr>
        <w:adjustRightInd w:val="0"/>
        <w:rPr>
          <w:rFonts w:ascii="Times New Roman" w:eastAsia="Times New Roman"/>
          <w:sz w:val="21"/>
        </w:rPr>
      </w:pPr>
      <w:r>
        <w:rPr>
          <w:rFonts w:hint="eastAsia"/>
          <w:spacing w:val="-1"/>
          <w:sz w:val="21"/>
        </w:rPr>
        <w:t>6</w:t>
      </w:r>
      <w:r>
        <w:rPr>
          <w:spacing w:val="-1"/>
          <w:sz w:val="21"/>
        </w:rPr>
        <w:t>.1.1 评标由招标人依法组建的评标委员会负责。</w:t>
      </w:r>
      <w:r>
        <w:rPr>
          <w:rFonts w:hint="eastAsia" w:hAnsiTheme="minorHAnsi"/>
          <w:sz w:val="21"/>
          <w:szCs w:val="21"/>
          <w:lang w:val="en-US" w:bidi="ar-SA"/>
        </w:rPr>
        <w:t>评标委员会由招标人在职人员，且应当具备评标专家相应的资格条件，以及有关技术、经济等方面的专家组成。评标委员会成员人数以及技术、经济等方面专家的确定方式见投标人须知前附表</w:t>
      </w:r>
      <w:r>
        <w:rPr>
          <w:spacing w:val="-4"/>
          <w:sz w:val="21"/>
        </w:rPr>
        <w:t>。</w:t>
      </w:r>
    </w:p>
    <w:p>
      <w:pPr>
        <w:pStyle w:val="35"/>
        <w:numPr>
          <w:ilvl w:val="2"/>
          <w:numId w:val="20"/>
        </w:numPr>
        <w:tabs>
          <w:tab w:val="left" w:pos="1159"/>
        </w:tabs>
        <w:spacing w:line="266" w:lineRule="exact"/>
        <w:jc w:val="both"/>
        <w:rPr>
          <w:rFonts w:ascii="Times New Roman" w:eastAsia="Times New Roman"/>
          <w:sz w:val="21"/>
        </w:rPr>
      </w:pPr>
      <w:r>
        <w:rPr>
          <w:spacing w:val="-3"/>
          <w:sz w:val="21"/>
        </w:rPr>
        <w:t>评标委员会成员有下列情形之一的，应当回避：</w:t>
      </w:r>
    </w:p>
    <w:p>
      <w:pPr>
        <w:tabs>
          <w:tab w:val="left" w:pos="1460"/>
        </w:tabs>
        <w:spacing w:before="132"/>
        <w:rPr>
          <w:sz w:val="21"/>
        </w:rPr>
      </w:pPr>
      <w:r>
        <w:rPr>
          <w:rFonts w:hint="eastAsia"/>
          <w:spacing w:val="-3"/>
          <w:sz w:val="21"/>
        </w:rPr>
        <w:t>(</w:t>
      </w:r>
      <w:r>
        <w:rPr>
          <w:spacing w:val="-3"/>
          <w:sz w:val="21"/>
        </w:rPr>
        <w:t>1)投标人或投标人主要负责人的近亲属；</w:t>
      </w:r>
    </w:p>
    <w:p>
      <w:pPr>
        <w:tabs>
          <w:tab w:val="left" w:pos="1460"/>
        </w:tabs>
        <w:spacing w:before="132"/>
        <w:rPr>
          <w:sz w:val="21"/>
        </w:rPr>
      </w:pPr>
      <w:r>
        <w:rPr>
          <w:rFonts w:hint="eastAsia"/>
          <w:spacing w:val="-3"/>
          <w:sz w:val="21"/>
        </w:rPr>
        <w:t>(</w:t>
      </w:r>
      <w:r>
        <w:rPr>
          <w:spacing w:val="-3"/>
          <w:sz w:val="21"/>
        </w:rPr>
        <w:t>2)项目主管部门或者行政监督部门的人员；</w:t>
      </w:r>
    </w:p>
    <w:p>
      <w:pPr>
        <w:tabs>
          <w:tab w:val="left" w:pos="1460"/>
        </w:tabs>
        <w:spacing w:before="130"/>
        <w:rPr>
          <w:sz w:val="21"/>
        </w:rPr>
      </w:pPr>
      <w:r>
        <w:rPr>
          <w:rFonts w:hint="eastAsia"/>
          <w:spacing w:val="-3"/>
          <w:sz w:val="21"/>
        </w:rPr>
        <w:t>(</w:t>
      </w:r>
      <w:r>
        <w:rPr>
          <w:spacing w:val="-3"/>
          <w:sz w:val="21"/>
        </w:rPr>
        <w:t>3)与投标人有经济利益关系，可能影响对投标公正评审的；</w:t>
      </w:r>
    </w:p>
    <w:p>
      <w:pPr>
        <w:tabs>
          <w:tab w:val="left" w:pos="1460"/>
        </w:tabs>
        <w:spacing w:before="132"/>
        <w:rPr>
          <w:sz w:val="21"/>
        </w:rPr>
      </w:pPr>
      <w:r>
        <w:rPr>
          <w:rFonts w:hint="eastAsia"/>
          <w:spacing w:val="-4"/>
          <w:sz w:val="21"/>
        </w:rPr>
        <w:t>(</w:t>
      </w:r>
      <w:r>
        <w:rPr>
          <w:spacing w:val="-4"/>
          <w:sz w:val="21"/>
        </w:rPr>
        <w:t>4)曾因在招标、评标以及其他与招标投标有关活动中从事违法行为而受过行政处罚或刑事处罚</w:t>
      </w:r>
    </w:p>
    <w:p>
      <w:pPr>
        <w:pStyle w:val="10"/>
        <w:spacing w:before="131"/>
        <w:ind w:left="212"/>
      </w:pPr>
      <w:r>
        <w:t>的；</w:t>
      </w:r>
    </w:p>
    <w:p>
      <w:pPr>
        <w:tabs>
          <w:tab w:val="left" w:pos="1460"/>
        </w:tabs>
        <w:spacing w:before="130"/>
        <w:rPr>
          <w:sz w:val="21"/>
        </w:rPr>
      </w:pPr>
      <w:r>
        <w:rPr>
          <w:rFonts w:hint="eastAsia"/>
          <w:spacing w:val="-3"/>
          <w:sz w:val="21"/>
        </w:rPr>
        <w:t>(</w:t>
      </w:r>
      <w:r>
        <w:rPr>
          <w:spacing w:val="-3"/>
          <w:sz w:val="21"/>
        </w:rPr>
        <w:t>5)与投标人有其他利害关系。</w:t>
      </w:r>
    </w:p>
    <w:p>
      <w:pPr>
        <w:pStyle w:val="10"/>
        <w:rPr>
          <w:sz w:val="27"/>
        </w:rPr>
      </w:pPr>
    </w:p>
    <w:p>
      <w:pPr>
        <w:rPr>
          <w:rFonts w:ascii="Times New Roman" w:eastAsia="Times New Roman"/>
        </w:rPr>
      </w:pPr>
      <w:bookmarkStart w:id="69" w:name="_bookmark50"/>
      <w:bookmarkEnd w:id="69"/>
      <w:r>
        <w:rPr>
          <w:rFonts w:hint="eastAsia"/>
        </w:rPr>
        <w:t>6</w:t>
      </w:r>
      <w:r>
        <w:t>.2评标原则</w:t>
      </w:r>
    </w:p>
    <w:p>
      <w:pPr>
        <w:pStyle w:val="10"/>
        <w:spacing w:before="1"/>
        <w:rPr>
          <w:rFonts w:ascii="黑体"/>
          <w:sz w:val="39"/>
        </w:rPr>
      </w:pPr>
    </w:p>
    <w:p>
      <w:pPr>
        <w:pStyle w:val="10"/>
        <w:ind w:left="633"/>
      </w:pPr>
      <w:r>
        <w:t>评标活动遵循公平、公正、科学和择优的原则。</w:t>
      </w:r>
    </w:p>
    <w:p>
      <w:pPr>
        <w:pStyle w:val="10"/>
        <w:rPr>
          <w:sz w:val="20"/>
        </w:rPr>
      </w:pPr>
    </w:p>
    <w:p>
      <w:pPr>
        <w:rPr>
          <w:rFonts w:ascii="Times New Roman" w:eastAsia="Times New Roman"/>
        </w:rPr>
      </w:pPr>
      <w:bookmarkStart w:id="70" w:name="_bookmark51"/>
      <w:bookmarkEnd w:id="70"/>
      <w:r>
        <w:rPr>
          <w:rFonts w:hint="eastAsia"/>
        </w:rPr>
        <w:t>6</w:t>
      </w:r>
      <w:r>
        <w:t>.3评标</w:t>
      </w:r>
    </w:p>
    <w:p>
      <w:pPr>
        <w:pStyle w:val="10"/>
        <w:spacing w:before="1"/>
        <w:rPr>
          <w:rFonts w:ascii="黑体"/>
          <w:sz w:val="39"/>
        </w:rPr>
      </w:pPr>
    </w:p>
    <w:p>
      <w:pPr>
        <w:pStyle w:val="10"/>
        <w:spacing w:before="1" w:line="357" w:lineRule="auto"/>
        <w:ind w:left="212" w:right="546" w:firstLine="420"/>
      </w:pPr>
      <w:r>
        <w:rPr>
          <w:spacing w:val="-8"/>
        </w:rPr>
        <w:t>评标委员会按照第三章“评标办法”规定的方法、评审因素、标准和程序对投标文件进行评审。第三</w:t>
      </w:r>
      <w:r>
        <w:rPr>
          <w:spacing w:val="-5"/>
        </w:rPr>
        <w:t>章“评标办法”没有规定的方法、评审因素和标准，不作为评标依据。</w:t>
      </w:r>
    </w:p>
    <w:p>
      <w:pPr>
        <w:pStyle w:val="10"/>
        <w:spacing w:before="11"/>
        <w:rPr>
          <w:sz w:val="19"/>
        </w:rPr>
      </w:pPr>
    </w:p>
    <w:p>
      <w:pPr>
        <w:pStyle w:val="3"/>
        <w:numPr>
          <w:ilvl w:val="0"/>
          <w:numId w:val="20"/>
        </w:numPr>
        <w:tabs>
          <w:tab w:val="left" w:pos="641"/>
        </w:tabs>
        <w:ind w:hanging="429"/>
      </w:pPr>
      <w:bookmarkStart w:id="71" w:name="_bookmark52"/>
      <w:bookmarkEnd w:id="71"/>
      <w:bookmarkStart w:id="72" w:name="_Toc37926029"/>
      <w:r>
        <w:t>合同授予</w:t>
      </w:r>
      <w:bookmarkEnd w:id="72"/>
    </w:p>
    <w:p>
      <w:pPr>
        <w:pStyle w:val="10"/>
        <w:spacing w:before="4"/>
        <w:rPr>
          <w:rFonts w:ascii="黑体"/>
          <w:b/>
          <w:sz w:val="39"/>
        </w:rPr>
      </w:pPr>
    </w:p>
    <w:p>
      <w:pPr>
        <w:ind w:firstLine="220" w:firstLineChars="100"/>
        <w:rPr>
          <w:rFonts w:ascii="Times New Roman" w:eastAsia="Times New Roman"/>
        </w:rPr>
      </w:pPr>
      <w:bookmarkStart w:id="73" w:name="_bookmark53"/>
      <w:bookmarkEnd w:id="73"/>
      <w:r>
        <w:rPr>
          <w:rFonts w:hint="eastAsia"/>
        </w:rPr>
        <w:t>7</w:t>
      </w:r>
      <w:r>
        <w:t>.1定标方式</w:t>
      </w:r>
    </w:p>
    <w:p>
      <w:pPr>
        <w:pStyle w:val="10"/>
        <w:spacing w:before="11"/>
        <w:rPr>
          <w:rFonts w:ascii="黑体"/>
          <w:sz w:val="38"/>
        </w:rPr>
      </w:pPr>
    </w:p>
    <w:p>
      <w:pPr>
        <w:pStyle w:val="10"/>
        <w:spacing w:line="357" w:lineRule="auto"/>
        <w:ind w:left="212" w:right="522" w:firstLine="420"/>
      </w:pPr>
      <w:r>
        <w:t>除投标人须知前附表规定评标委员会直接确定中标人外，招标人依据评标委员会推荐的中标候选人确定中标人，评标委员会推荐中标候选人的人数见投标人须知前附表。</w:t>
      </w:r>
    </w:p>
    <w:p>
      <w:pPr>
        <w:pStyle w:val="10"/>
        <w:spacing w:before="4"/>
        <w:rPr>
          <w:sz w:val="22"/>
        </w:rPr>
      </w:pPr>
    </w:p>
    <w:p>
      <w:pPr>
        <w:ind w:firstLine="218" w:firstLineChars="100"/>
        <w:rPr>
          <w:rFonts w:ascii="Times New Roman" w:eastAsia="Times New Roman"/>
        </w:rPr>
      </w:pPr>
      <w:bookmarkStart w:id="74" w:name="_bookmark54"/>
      <w:bookmarkEnd w:id="74"/>
      <w:r>
        <w:rPr>
          <w:rFonts w:hint="eastAsia"/>
          <w:spacing w:val="-1"/>
        </w:rPr>
        <w:t>7</w:t>
      </w:r>
      <w:r>
        <w:rPr>
          <w:spacing w:val="-1"/>
        </w:rPr>
        <w:t>.2中标候选人公示</w:t>
      </w:r>
    </w:p>
    <w:p>
      <w:pPr>
        <w:pStyle w:val="10"/>
        <w:spacing w:before="11"/>
        <w:rPr>
          <w:rFonts w:ascii="黑体"/>
          <w:sz w:val="38"/>
        </w:rPr>
      </w:pPr>
    </w:p>
    <w:p>
      <w:pPr>
        <w:pStyle w:val="10"/>
        <w:ind w:left="633"/>
      </w:pPr>
      <w:r>
        <w:t>招标人在投标人须知前附表规定的媒介公示中标候选人。</w:t>
      </w:r>
      <w:bookmarkStart w:id="75" w:name="_bookmark55"/>
      <w:bookmarkEnd w:id="75"/>
    </w:p>
    <w:p>
      <w:pPr>
        <w:pStyle w:val="10"/>
        <w:ind w:left="633"/>
      </w:pPr>
    </w:p>
    <w:p>
      <w:pPr>
        <w:pStyle w:val="10"/>
        <w:ind w:firstLine="210" w:firstLineChars="100"/>
        <w:rPr>
          <w:rFonts w:ascii="Times New Roman" w:eastAsia="Times New Roman"/>
        </w:rPr>
      </w:pPr>
      <w:r>
        <w:rPr>
          <w:rFonts w:hint="eastAsia"/>
        </w:rPr>
        <w:t>7</w:t>
      </w:r>
      <w:r>
        <w:t>.3中标通知</w:t>
      </w:r>
    </w:p>
    <w:p>
      <w:pPr>
        <w:pStyle w:val="10"/>
        <w:spacing w:before="1"/>
        <w:rPr>
          <w:rFonts w:ascii="黑体"/>
          <w:sz w:val="39"/>
        </w:rPr>
      </w:pPr>
    </w:p>
    <w:p>
      <w:pPr>
        <w:pStyle w:val="10"/>
        <w:spacing w:line="357" w:lineRule="auto"/>
        <w:ind w:left="212" w:right="502" w:firstLine="420"/>
      </w:pPr>
      <w:r>
        <w:t xml:space="preserve">在本章第 </w:t>
      </w:r>
      <w:r>
        <w:rPr>
          <w:rFonts w:ascii="Times New Roman" w:eastAsia="Times New Roman"/>
        </w:rPr>
        <w:t xml:space="preserve">3.3 </w:t>
      </w:r>
      <w:r>
        <w:t>款规定的投标有效期内，招标人以书面形式向中标人发出中标通知书，同时将中标结果通知未中标的投标人。</w:t>
      </w:r>
    </w:p>
    <w:p>
      <w:pPr>
        <w:pStyle w:val="10"/>
        <w:spacing w:before="1"/>
        <w:rPr>
          <w:sz w:val="22"/>
        </w:rPr>
      </w:pPr>
    </w:p>
    <w:p>
      <w:pPr>
        <w:ind w:firstLine="110" w:firstLineChars="50"/>
        <w:rPr>
          <w:rFonts w:ascii="Times New Roman" w:eastAsia="Times New Roman"/>
        </w:rPr>
      </w:pPr>
      <w:bookmarkStart w:id="76" w:name="_bookmark56"/>
      <w:bookmarkEnd w:id="76"/>
      <w:r>
        <w:rPr>
          <w:rFonts w:hint="eastAsia"/>
        </w:rPr>
        <w:t>7</w:t>
      </w:r>
      <w:r>
        <w:t>.4 履约担保</w:t>
      </w:r>
    </w:p>
    <w:p>
      <w:pPr>
        <w:pStyle w:val="10"/>
        <w:spacing w:before="1"/>
        <w:rPr>
          <w:rFonts w:ascii="黑体"/>
          <w:sz w:val="39"/>
        </w:rPr>
      </w:pPr>
    </w:p>
    <w:p>
      <w:pPr>
        <w:tabs>
          <w:tab w:val="left" w:pos="1162"/>
        </w:tabs>
        <w:spacing w:line="357" w:lineRule="auto"/>
        <w:ind w:right="546" w:firstLine="210" w:firstLineChars="100"/>
        <w:jc w:val="both"/>
        <w:rPr>
          <w:rFonts w:ascii="Times New Roman" w:hAnsi="Times New Roman" w:eastAsia="Times New Roman"/>
          <w:sz w:val="21"/>
        </w:rPr>
      </w:pPr>
      <w:r>
        <w:rPr>
          <w:sz w:val="21"/>
        </w:rPr>
        <w:t>7.4.1 在签订合同前，中标人应按投标人须知前附表规定的担保形式和招标文件第四章“合同条款及</w:t>
      </w:r>
      <w:r>
        <w:rPr>
          <w:spacing w:val="-5"/>
          <w:sz w:val="21"/>
        </w:rPr>
        <w:t>格式”规定的或者事先经过招标人书面认可的履约担保格式向招标人提交履约担保。除投标人须知前附表</w:t>
      </w:r>
      <w:r>
        <w:rPr>
          <w:spacing w:val="-7"/>
          <w:sz w:val="21"/>
        </w:rPr>
        <w:t xml:space="preserve">另有规定外，履约担保金额为中标合同金额的 </w:t>
      </w:r>
      <w:r>
        <w:rPr>
          <w:rFonts w:hint="eastAsia" w:ascii="Times New Roman" w:hAnsi="Times New Roman" w:eastAsiaTheme="minorEastAsia"/>
          <w:sz w:val="21"/>
        </w:rPr>
        <w:t>5</w:t>
      </w:r>
      <w:r>
        <w:rPr>
          <w:rFonts w:ascii="Times New Roman" w:hAnsi="Times New Roman" w:eastAsia="Times New Roman"/>
          <w:sz w:val="21"/>
        </w:rPr>
        <w:t>%</w:t>
      </w:r>
      <w:r>
        <w:rPr>
          <w:spacing w:val="-6"/>
          <w:sz w:val="21"/>
        </w:rPr>
        <w:t>。联合体中标的，其履约担保由联合体各方或者联合体</w:t>
      </w:r>
      <w:r>
        <w:rPr>
          <w:spacing w:val="-4"/>
          <w:sz w:val="21"/>
        </w:rPr>
        <w:t>中牵头人的名义提交。</w:t>
      </w:r>
    </w:p>
    <w:p>
      <w:pPr>
        <w:tabs>
          <w:tab w:val="left" w:pos="1159"/>
        </w:tabs>
        <w:spacing w:line="355" w:lineRule="auto"/>
        <w:ind w:right="548" w:firstLine="198" w:firstLineChars="100"/>
        <w:jc w:val="both"/>
        <w:rPr>
          <w:rFonts w:ascii="Times New Roman" w:eastAsia="Times New Roman"/>
          <w:sz w:val="21"/>
        </w:rPr>
      </w:pPr>
      <w:r>
        <w:rPr>
          <w:rFonts w:hint="eastAsia"/>
          <w:spacing w:val="-6"/>
          <w:sz w:val="21"/>
        </w:rPr>
        <w:t>7</w:t>
      </w:r>
      <w:r>
        <w:rPr>
          <w:spacing w:val="-6"/>
          <w:sz w:val="21"/>
        </w:rPr>
        <w:t xml:space="preserve">.4.2 中标人不能按本章第 </w:t>
      </w:r>
      <w:r>
        <w:rPr>
          <w:rFonts w:ascii="Times New Roman" w:eastAsia="Times New Roman"/>
          <w:sz w:val="21"/>
        </w:rPr>
        <w:t>7.4.1</w:t>
      </w:r>
      <w:r>
        <w:rPr>
          <w:rFonts w:ascii="Times New Roman" w:eastAsia="Times New Roman"/>
          <w:spacing w:val="19"/>
          <w:sz w:val="21"/>
        </w:rPr>
        <w:t xml:space="preserve"> </w:t>
      </w:r>
      <w:r>
        <w:rPr>
          <w:spacing w:val="-6"/>
          <w:sz w:val="21"/>
        </w:rPr>
        <w:t>项要求提交履约担保的，视为放弃中标，其投标保证金不予退还，给</w:t>
      </w:r>
      <w:r>
        <w:rPr>
          <w:spacing w:val="-4"/>
          <w:sz w:val="21"/>
        </w:rPr>
        <w:t>招标人造成的损失超过投标保证金数额的，中标人还应当对超过部分予以赔偿。</w:t>
      </w:r>
    </w:p>
    <w:p>
      <w:pPr>
        <w:pStyle w:val="10"/>
        <w:spacing w:before="4"/>
        <w:rPr>
          <w:sz w:val="22"/>
        </w:rPr>
      </w:pPr>
    </w:p>
    <w:p>
      <w:pPr>
        <w:pStyle w:val="35"/>
        <w:numPr>
          <w:ilvl w:val="1"/>
          <w:numId w:val="21"/>
        </w:numPr>
        <w:rPr>
          <w:rFonts w:ascii="Times New Roman" w:eastAsia="Times New Roman"/>
        </w:rPr>
      </w:pPr>
      <w:bookmarkStart w:id="77" w:name="_bookmark57"/>
      <w:bookmarkEnd w:id="77"/>
      <w:r>
        <w:t>签订合同</w:t>
      </w:r>
    </w:p>
    <w:p>
      <w:pPr>
        <w:pStyle w:val="10"/>
        <w:spacing w:before="1"/>
        <w:rPr>
          <w:rFonts w:ascii="黑体"/>
          <w:sz w:val="39"/>
        </w:rPr>
      </w:pPr>
    </w:p>
    <w:p>
      <w:pPr>
        <w:tabs>
          <w:tab w:val="left" w:pos="1159"/>
        </w:tabs>
        <w:spacing w:line="357" w:lineRule="auto"/>
        <w:ind w:right="551" w:firstLine="100" w:firstLineChars="50"/>
        <w:jc w:val="both"/>
        <w:rPr>
          <w:rFonts w:ascii="Times New Roman" w:eastAsia="Times New Roman"/>
          <w:sz w:val="21"/>
        </w:rPr>
      </w:pPr>
      <w:r>
        <w:rPr>
          <w:rFonts w:hint="eastAsia"/>
          <w:spacing w:val="-5"/>
          <w:sz w:val="21"/>
        </w:rPr>
        <w:t>7</w:t>
      </w:r>
      <w:r>
        <w:rPr>
          <w:spacing w:val="-5"/>
          <w:sz w:val="21"/>
        </w:rPr>
        <w:t xml:space="preserve">.5.1 招标人和中标人应当自中标通知书发出之日起 </w:t>
      </w:r>
      <w:r>
        <w:rPr>
          <w:rFonts w:ascii="Times New Roman" w:eastAsia="Times New Roman"/>
          <w:sz w:val="21"/>
        </w:rPr>
        <w:t>30</w:t>
      </w:r>
      <w:r>
        <w:rPr>
          <w:rFonts w:ascii="Times New Roman" w:eastAsia="Times New Roman"/>
          <w:spacing w:val="21"/>
          <w:sz w:val="21"/>
        </w:rPr>
        <w:t xml:space="preserve"> </w:t>
      </w:r>
      <w:r>
        <w:rPr>
          <w:spacing w:val="-6"/>
          <w:sz w:val="21"/>
        </w:rPr>
        <w:t>天内，根据招标文件和中标人的投标文件订立</w:t>
      </w:r>
      <w:r>
        <w:rPr>
          <w:spacing w:val="-8"/>
          <w:sz w:val="21"/>
        </w:rPr>
        <w:t>书面合同。中标人无正当理由拒签合同的，招标人取消其中标资格，其投标保证金不予退还；给招标人造</w:t>
      </w:r>
      <w:r>
        <w:rPr>
          <w:spacing w:val="-5"/>
          <w:sz w:val="21"/>
        </w:rPr>
        <w:t>成的损失超过投标保证金数额的，中标人还应当对超过部分予以赔偿。</w:t>
      </w:r>
    </w:p>
    <w:p>
      <w:pPr>
        <w:tabs>
          <w:tab w:val="left" w:pos="1162"/>
        </w:tabs>
        <w:spacing w:line="355" w:lineRule="auto"/>
        <w:ind w:right="552" w:firstLine="104" w:firstLineChars="50"/>
        <w:jc w:val="both"/>
        <w:rPr>
          <w:rFonts w:ascii="Times New Roman" w:eastAsia="Times New Roman"/>
          <w:sz w:val="21"/>
        </w:rPr>
      </w:pPr>
      <w:r>
        <w:rPr>
          <w:rFonts w:hint="eastAsia"/>
          <w:spacing w:val="-1"/>
          <w:sz w:val="21"/>
        </w:rPr>
        <w:t>7</w:t>
      </w:r>
      <w:r>
        <w:rPr>
          <w:spacing w:val="-1"/>
          <w:sz w:val="21"/>
        </w:rPr>
        <w:t>.5.2 发出中标通知书后，招标人无正当理由拒签合同的，招标人向中标人退还投标保证金；给中标</w:t>
      </w:r>
      <w:r>
        <w:rPr>
          <w:spacing w:val="-3"/>
          <w:sz w:val="21"/>
        </w:rPr>
        <w:t>人造成损失的，还应当赔偿损失。</w:t>
      </w:r>
    </w:p>
    <w:p>
      <w:pPr>
        <w:pStyle w:val="10"/>
        <w:spacing w:before="1"/>
        <w:rPr>
          <w:sz w:val="20"/>
        </w:rPr>
      </w:pPr>
    </w:p>
    <w:p>
      <w:pPr>
        <w:pStyle w:val="3"/>
        <w:numPr>
          <w:ilvl w:val="0"/>
          <w:numId w:val="21"/>
        </w:numPr>
        <w:tabs>
          <w:tab w:val="left" w:pos="641"/>
        </w:tabs>
        <w:ind w:hanging="429"/>
      </w:pPr>
      <w:bookmarkStart w:id="78" w:name="_bookmark58"/>
      <w:bookmarkEnd w:id="78"/>
      <w:bookmarkStart w:id="79" w:name="_Toc37926030"/>
      <w:r>
        <w:t>纪律和监督</w:t>
      </w:r>
      <w:bookmarkEnd w:id="79"/>
    </w:p>
    <w:p>
      <w:pPr>
        <w:pStyle w:val="10"/>
        <w:spacing w:before="4"/>
        <w:rPr>
          <w:rFonts w:ascii="黑体"/>
          <w:b/>
          <w:sz w:val="39"/>
        </w:rPr>
      </w:pPr>
    </w:p>
    <w:p>
      <w:pPr>
        <w:ind w:firstLine="108" w:firstLineChars="50"/>
        <w:rPr>
          <w:rFonts w:ascii="Times New Roman" w:eastAsia="Times New Roman"/>
        </w:rPr>
      </w:pPr>
      <w:bookmarkStart w:id="80" w:name="_bookmark59"/>
      <w:bookmarkEnd w:id="80"/>
      <w:r>
        <w:rPr>
          <w:rFonts w:hint="eastAsia"/>
          <w:spacing w:val="-2"/>
        </w:rPr>
        <w:t>8</w:t>
      </w:r>
      <w:r>
        <w:rPr>
          <w:spacing w:val="-2"/>
        </w:rPr>
        <w:t>.1 对招标人的纪律要求</w:t>
      </w:r>
    </w:p>
    <w:p>
      <w:pPr>
        <w:pStyle w:val="10"/>
        <w:spacing w:before="12"/>
        <w:rPr>
          <w:rFonts w:ascii="黑体"/>
          <w:sz w:val="38"/>
        </w:rPr>
      </w:pPr>
    </w:p>
    <w:p>
      <w:pPr>
        <w:pStyle w:val="10"/>
        <w:spacing w:line="357" w:lineRule="auto"/>
        <w:ind w:left="212" w:right="546" w:firstLine="420"/>
      </w:pPr>
      <w:r>
        <w:rPr>
          <w:spacing w:val="-5"/>
        </w:rPr>
        <w:t>招标人不得泄漏招标投标活动中应当保密的情况和资料，不得与投标人串通损害国家利益、社会公共</w:t>
      </w:r>
      <w:r>
        <w:rPr>
          <w:spacing w:val="-4"/>
        </w:rPr>
        <w:t>利益或者他人合法权益。</w:t>
      </w:r>
    </w:p>
    <w:p>
      <w:pPr>
        <w:pStyle w:val="10"/>
        <w:spacing w:before="1"/>
        <w:rPr>
          <w:sz w:val="22"/>
        </w:rPr>
      </w:pPr>
    </w:p>
    <w:p>
      <w:pPr>
        <w:ind w:firstLine="108" w:firstLineChars="50"/>
        <w:rPr>
          <w:rFonts w:ascii="Times New Roman" w:eastAsia="Times New Roman"/>
        </w:rPr>
      </w:pPr>
      <w:bookmarkStart w:id="81" w:name="_bookmark60"/>
      <w:bookmarkEnd w:id="81"/>
      <w:r>
        <w:rPr>
          <w:rFonts w:hint="eastAsia"/>
          <w:spacing w:val="-2"/>
        </w:rPr>
        <w:t>8</w:t>
      </w:r>
      <w:r>
        <w:rPr>
          <w:spacing w:val="-2"/>
        </w:rPr>
        <w:t>.2 对投标人的纪律要求</w:t>
      </w:r>
    </w:p>
    <w:p>
      <w:pPr>
        <w:pStyle w:val="10"/>
        <w:spacing w:before="1"/>
        <w:rPr>
          <w:rFonts w:ascii="黑体"/>
          <w:sz w:val="39"/>
        </w:rPr>
      </w:pPr>
      <w:r>
        <w:rPr>
          <w:rFonts w:hint="eastAsia" w:ascii="黑体"/>
          <w:sz w:val="39"/>
        </w:rPr>
        <w:t xml:space="preserve"> </w:t>
      </w:r>
    </w:p>
    <w:p>
      <w:pPr>
        <w:pStyle w:val="10"/>
        <w:spacing w:line="357" w:lineRule="auto"/>
        <w:ind w:left="212" w:right="525" w:firstLine="420"/>
      </w:pPr>
      <w:r>
        <w:t>投标人不得相互串通投标或者与招标人串通投标，不得向招标人或者评标委员会成员行贿谋取中标， 不得以他人名义投标或者以其他方式弄虚作假骗取中标；投标人不得以任何方式干扰、影响评标工作。</w:t>
      </w:r>
      <w:bookmarkStart w:id="82" w:name="_bookmark61"/>
      <w:bookmarkEnd w:id="82"/>
    </w:p>
    <w:p>
      <w:pPr>
        <w:pStyle w:val="10"/>
        <w:spacing w:line="357" w:lineRule="auto"/>
        <w:ind w:right="525" w:firstLine="105" w:firstLineChars="50"/>
      </w:pPr>
    </w:p>
    <w:p>
      <w:pPr>
        <w:pStyle w:val="10"/>
        <w:spacing w:line="357" w:lineRule="auto"/>
        <w:ind w:right="525" w:firstLine="105" w:firstLineChars="50"/>
        <w:rPr>
          <w:rFonts w:ascii="Times New Roman" w:eastAsia="Times New Roman"/>
        </w:rPr>
      </w:pPr>
      <w:r>
        <w:t xml:space="preserve">8.3 </w:t>
      </w:r>
      <w:r>
        <w:rPr>
          <w:spacing w:val="-3"/>
        </w:rPr>
        <w:t>对评标委员会成员的纪律要求</w:t>
      </w:r>
    </w:p>
    <w:p>
      <w:pPr>
        <w:pStyle w:val="10"/>
        <w:spacing w:before="1"/>
        <w:rPr>
          <w:rFonts w:ascii="黑体"/>
          <w:sz w:val="39"/>
        </w:rPr>
      </w:pPr>
    </w:p>
    <w:p>
      <w:pPr>
        <w:pStyle w:val="10"/>
        <w:spacing w:line="357" w:lineRule="auto"/>
        <w:ind w:left="212" w:right="441" w:firstLine="420"/>
      </w:pPr>
      <w:r>
        <w:rPr>
          <w:spacing w:val="-5"/>
        </w:rPr>
        <w:t>评标委员会成员不得收受他人的财物或者其他好处，不得向他人透漏对投标文件的评审和比较、中标</w:t>
      </w:r>
      <w:r>
        <w:rPr>
          <w:spacing w:val="-10"/>
        </w:rPr>
        <w:t xml:space="preserve">候选人的推荐情况以及评标有关的其他情况。在评标活动中，评标委员会成员应当客观、公正地履行职责， </w:t>
      </w:r>
      <w:r>
        <w:rPr>
          <w:spacing w:val="-8"/>
        </w:rPr>
        <w:t>遵守职业道德，不得擅离职守，影响评标程序正常进行，不得使用第三章“评标办法”没有规定的评审因</w:t>
      </w:r>
      <w:r>
        <w:rPr>
          <w:spacing w:val="-5"/>
        </w:rPr>
        <w:t>素和标准进行评标。</w:t>
      </w:r>
    </w:p>
    <w:p>
      <w:pPr>
        <w:pStyle w:val="10"/>
        <w:rPr>
          <w:sz w:val="22"/>
        </w:rPr>
      </w:pPr>
    </w:p>
    <w:p>
      <w:pPr>
        <w:rPr>
          <w:rFonts w:ascii="Times New Roman" w:eastAsia="Times New Roman"/>
        </w:rPr>
      </w:pPr>
      <w:bookmarkStart w:id="83" w:name="_bookmark62"/>
      <w:bookmarkEnd w:id="83"/>
      <w:r>
        <w:rPr>
          <w:rFonts w:hint="eastAsia"/>
          <w:spacing w:val="-3"/>
        </w:rPr>
        <w:t>8</w:t>
      </w:r>
      <w:r>
        <w:rPr>
          <w:spacing w:val="-3"/>
        </w:rPr>
        <w:t>.4 对与评标活动有关的工作人员的纪律要求</w:t>
      </w:r>
    </w:p>
    <w:p>
      <w:pPr>
        <w:pStyle w:val="10"/>
        <w:spacing w:before="11"/>
        <w:rPr>
          <w:rFonts w:ascii="黑体"/>
          <w:sz w:val="38"/>
        </w:rPr>
      </w:pPr>
    </w:p>
    <w:p>
      <w:pPr>
        <w:pStyle w:val="10"/>
        <w:spacing w:line="357" w:lineRule="auto"/>
        <w:ind w:left="212" w:right="546" w:firstLine="420"/>
        <w:jc w:val="both"/>
      </w:pPr>
      <w:r>
        <w:rPr>
          <w:spacing w:val="-4"/>
        </w:rPr>
        <w:t>与评标活动有关的工作人员不得收受他人的财物或者其他好处，不得向他人透漏对投标文件的评审和</w:t>
      </w:r>
      <w:r>
        <w:rPr>
          <w:spacing w:val="-7"/>
        </w:rPr>
        <w:t>比较、中标候选人的推荐情况以及评标有关的其他情况。在评标活动中，与评标活动有关的工作人员不得</w:t>
      </w:r>
      <w:r>
        <w:rPr>
          <w:spacing w:val="-5"/>
        </w:rPr>
        <w:t>擅离职守，影响评标程序正常进行。</w:t>
      </w:r>
    </w:p>
    <w:p>
      <w:pPr>
        <w:pStyle w:val="10"/>
        <w:spacing w:before="1"/>
        <w:rPr>
          <w:sz w:val="22"/>
        </w:rPr>
      </w:pPr>
    </w:p>
    <w:p>
      <w:pPr>
        <w:rPr>
          <w:rFonts w:ascii="Times New Roman" w:eastAsia="Times New Roman"/>
        </w:rPr>
      </w:pPr>
      <w:bookmarkStart w:id="84" w:name="_bookmark63"/>
      <w:bookmarkEnd w:id="84"/>
      <w:r>
        <w:rPr>
          <w:rFonts w:hint="eastAsia"/>
        </w:rPr>
        <w:t>8</w:t>
      </w:r>
      <w:r>
        <w:t>.5 投诉</w:t>
      </w:r>
    </w:p>
    <w:p>
      <w:pPr>
        <w:pStyle w:val="10"/>
        <w:spacing w:before="1"/>
        <w:rPr>
          <w:rFonts w:ascii="黑体"/>
          <w:sz w:val="39"/>
        </w:rPr>
      </w:pPr>
    </w:p>
    <w:p>
      <w:pPr>
        <w:pStyle w:val="10"/>
        <w:spacing w:before="1" w:line="357" w:lineRule="auto"/>
        <w:ind w:left="212" w:right="546" w:firstLine="420"/>
      </w:pPr>
      <w:r>
        <w:rPr>
          <w:spacing w:val="-5"/>
        </w:rPr>
        <w:t>投标人和其他利害关系人认为本次招标活动违反法律、法规和规章规定的，有权向有关行政监督部门投诉。</w:t>
      </w:r>
    </w:p>
    <w:p>
      <w:pPr>
        <w:pStyle w:val="10"/>
        <w:spacing w:before="10"/>
        <w:rPr>
          <w:sz w:val="19"/>
        </w:rPr>
      </w:pPr>
    </w:p>
    <w:p>
      <w:pPr>
        <w:pStyle w:val="3"/>
        <w:numPr>
          <w:ilvl w:val="0"/>
          <w:numId w:val="21"/>
        </w:numPr>
        <w:tabs>
          <w:tab w:val="left" w:pos="641"/>
        </w:tabs>
        <w:spacing w:before="1"/>
        <w:ind w:hanging="429"/>
      </w:pPr>
      <w:bookmarkStart w:id="85" w:name="_bookmark64"/>
      <w:bookmarkEnd w:id="85"/>
      <w:bookmarkStart w:id="86" w:name="_Toc37926031"/>
      <w:r>
        <w:t>需要补充的其他内容</w:t>
      </w:r>
      <w:bookmarkEnd w:id="86"/>
    </w:p>
    <w:p>
      <w:pPr>
        <w:pStyle w:val="10"/>
        <w:spacing w:before="3"/>
        <w:rPr>
          <w:rFonts w:ascii="黑体"/>
          <w:b/>
          <w:sz w:val="37"/>
        </w:rPr>
      </w:pPr>
    </w:p>
    <w:p>
      <w:pPr>
        <w:pStyle w:val="10"/>
        <w:spacing w:before="1"/>
        <w:ind w:left="633"/>
      </w:pPr>
      <w:r>
        <w:t>需要补充的其他内容：见投标人须知前附表。</w:t>
      </w:r>
    </w:p>
    <w:p>
      <w:pPr>
        <w:pStyle w:val="10"/>
        <w:rPr>
          <w:sz w:val="20"/>
        </w:rPr>
      </w:pPr>
    </w:p>
    <w:p>
      <w:pPr>
        <w:pStyle w:val="3"/>
        <w:numPr>
          <w:ilvl w:val="0"/>
          <w:numId w:val="21"/>
        </w:numPr>
        <w:tabs>
          <w:tab w:val="left" w:pos="819"/>
        </w:tabs>
        <w:spacing w:before="132"/>
        <w:ind w:left="818" w:hanging="607"/>
      </w:pPr>
      <w:bookmarkStart w:id="87" w:name="_bookmark65"/>
      <w:bookmarkEnd w:id="87"/>
      <w:bookmarkStart w:id="88" w:name="_Toc37926032"/>
      <w:r>
        <w:t>电子招标投标</w:t>
      </w:r>
      <w:bookmarkEnd w:id="88"/>
    </w:p>
    <w:p>
      <w:pPr>
        <w:pStyle w:val="10"/>
        <w:spacing w:before="4"/>
        <w:rPr>
          <w:rFonts w:ascii="黑体"/>
          <w:b/>
          <w:sz w:val="36"/>
        </w:rPr>
      </w:pPr>
    </w:p>
    <w:p>
      <w:pPr>
        <w:pStyle w:val="10"/>
        <w:spacing w:before="1" w:line="417" w:lineRule="auto"/>
        <w:ind w:left="212" w:right="549" w:firstLine="420"/>
        <w:rPr>
          <w:spacing w:val="-4"/>
        </w:rPr>
      </w:pPr>
      <w:r>
        <w:rPr>
          <w:spacing w:val="-5"/>
        </w:rPr>
        <w:t>采用电子招标投标，对投标文件的编制、密封和标记、递交、开标、评标等具体要求，见投标人须知</w:t>
      </w:r>
      <w:r>
        <w:rPr>
          <w:spacing w:val="-4"/>
        </w:rPr>
        <w:t>前附表。</w:t>
      </w:r>
    </w:p>
    <w:p>
      <w:pPr>
        <w:widowControl/>
        <w:autoSpaceDE/>
        <w:autoSpaceDN/>
        <w:rPr>
          <w:spacing w:val="-4"/>
          <w:sz w:val="21"/>
          <w:szCs w:val="21"/>
        </w:rPr>
      </w:pPr>
      <w:r>
        <w:rPr>
          <w:spacing w:val="-4"/>
        </w:rPr>
        <w:br w:type="page"/>
      </w:r>
    </w:p>
    <w:p>
      <w:pPr>
        <w:pStyle w:val="10"/>
        <w:spacing w:before="1" w:line="417" w:lineRule="auto"/>
        <w:ind w:left="212" w:right="549" w:firstLine="420"/>
      </w:pPr>
      <w:r>
        <w:rPr>
          <w:rFonts w:hint="eastAsia"/>
        </w:rPr>
        <w:t>附表一：开标记录表</w:t>
      </w:r>
    </w:p>
    <w:p>
      <w:pPr>
        <w:pStyle w:val="10"/>
        <w:spacing w:before="1" w:line="417" w:lineRule="auto"/>
        <w:ind w:left="212" w:right="549" w:firstLine="420"/>
      </w:pPr>
    </w:p>
    <w:p>
      <w:pPr>
        <w:pStyle w:val="10"/>
        <w:spacing w:before="1" w:line="417" w:lineRule="auto"/>
        <w:ind w:left="212" w:right="549" w:firstLine="420"/>
        <w:jc w:val="center"/>
        <w:rPr>
          <w:sz w:val="28"/>
          <w:szCs w:val="28"/>
        </w:rPr>
      </w:pPr>
      <w:r>
        <w:rPr>
          <w:rFonts w:hint="eastAsia"/>
          <w:sz w:val="28"/>
          <w:szCs w:val="28"/>
          <w:u w:val="single"/>
        </w:rPr>
        <w:t xml:space="preserve">        </w:t>
      </w:r>
      <w:r>
        <w:rPr>
          <w:sz w:val="28"/>
          <w:szCs w:val="28"/>
          <w:u w:val="single"/>
        </w:rPr>
        <w:t>（项目名称）</w:t>
      </w:r>
      <w:r>
        <w:rPr>
          <w:rFonts w:hint="eastAsia"/>
          <w:sz w:val="28"/>
          <w:szCs w:val="28"/>
          <w:u w:val="single"/>
        </w:rPr>
        <w:t xml:space="preserve">    </w:t>
      </w:r>
      <w:r>
        <w:rPr>
          <w:sz w:val="28"/>
          <w:szCs w:val="28"/>
          <w:u w:val="single"/>
        </w:rPr>
        <w:t xml:space="preserve"> </w:t>
      </w:r>
      <w:r>
        <w:rPr>
          <w:sz w:val="28"/>
          <w:szCs w:val="28"/>
        </w:rPr>
        <w:t>标段开标记录表</w:t>
      </w:r>
    </w:p>
    <w:p>
      <w:pPr>
        <w:pStyle w:val="10"/>
        <w:spacing w:before="1" w:line="417" w:lineRule="auto"/>
        <w:ind w:left="212" w:right="549" w:firstLine="420"/>
        <w:jc w:val="center"/>
        <w:rPr>
          <w:sz w:val="28"/>
          <w:szCs w:val="28"/>
        </w:rPr>
      </w:pPr>
      <w:r>
        <w:rPr>
          <w:sz w:val="28"/>
          <w:szCs w:val="28"/>
        </w:rPr>
        <w:t>开 标 时 间 ：</w:t>
      </w:r>
      <w:r>
        <w:rPr>
          <w:sz w:val="28"/>
          <w:szCs w:val="28"/>
          <w:u w:val="single"/>
        </w:rPr>
        <w:t xml:space="preserve"> </w:t>
      </w:r>
      <w:r>
        <w:rPr>
          <w:rFonts w:hint="eastAsia"/>
          <w:sz w:val="28"/>
          <w:szCs w:val="28"/>
          <w:u w:val="single"/>
        </w:rPr>
        <w:t xml:space="preserve">   </w:t>
      </w:r>
      <w:r>
        <w:rPr>
          <w:sz w:val="28"/>
          <w:szCs w:val="28"/>
        </w:rPr>
        <w:t>年</w:t>
      </w:r>
      <w:r>
        <w:rPr>
          <w:rFonts w:hint="eastAsia"/>
          <w:i/>
          <w:sz w:val="28"/>
          <w:szCs w:val="28"/>
          <w:u w:val="single"/>
        </w:rPr>
        <w:t xml:space="preserve">   </w:t>
      </w:r>
      <w:r>
        <w:rPr>
          <w:i/>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sz w:val="28"/>
          <w:szCs w:val="28"/>
        </w:rPr>
        <w:t>日</w:t>
      </w:r>
      <w:r>
        <w:rPr>
          <w:rFonts w:hint="eastAsia"/>
          <w:sz w:val="28"/>
          <w:szCs w:val="28"/>
          <w:u w:val="single"/>
        </w:rPr>
        <w:t xml:space="preserve">  </w:t>
      </w:r>
      <w:r>
        <w:rPr>
          <w:sz w:val="28"/>
          <w:szCs w:val="28"/>
          <w:u w:val="single"/>
        </w:rPr>
        <w:t xml:space="preserve"> </w:t>
      </w:r>
      <w:r>
        <w:rPr>
          <w:sz w:val="28"/>
          <w:szCs w:val="28"/>
        </w:rPr>
        <w:t>时</w:t>
      </w:r>
      <w:r>
        <w:rPr>
          <w:sz w:val="28"/>
          <w:szCs w:val="28"/>
          <w:u w:val="single"/>
        </w:rPr>
        <w:t xml:space="preserve"> </w:t>
      </w:r>
      <w:r>
        <w:rPr>
          <w:rFonts w:hint="eastAsia"/>
          <w:sz w:val="28"/>
          <w:szCs w:val="28"/>
          <w:u w:val="single"/>
        </w:rPr>
        <w:t xml:space="preserve">  </w:t>
      </w:r>
      <w:r>
        <w:rPr>
          <w:sz w:val="28"/>
          <w:szCs w:val="28"/>
        </w:rPr>
        <w:t>分</w:t>
      </w:r>
    </w:p>
    <w:p>
      <w:pPr>
        <w:pStyle w:val="10"/>
        <w:spacing w:before="1" w:line="417" w:lineRule="auto"/>
        <w:ind w:left="211" w:leftChars="96" w:right="549" w:firstLine="2100" w:firstLineChars="750"/>
        <w:rPr>
          <w:sz w:val="28"/>
          <w:szCs w:val="28"/>
          <w:u w:val="single"/>
        </w:rPr>
      </w:pPr>
      <w:r>
        <w:rPr>
          <w:sz w:val="28"/>
          <w:szCs w:val="28"/>
        </w:rPr>
        <w:t>开</w:t>
      </w:r>
      <w:r>
        <w:rPr>
          <w:rFonts w:hint="eastAsia"/>
          <w:sz w:val="28"/>
          <w:szCs w:val="28"/>
        </w:rPr>
        <w:t xml:space="preserve"> </w:t>
      </w:r>
      <w:r>
        <w:rPr>
          <w:sz w:val="28"/>
          <w:szCs w:val="28"/>
        </w:rPr>
        <w:t>标</w:t>
      </w:r>
      <w:r>
        <w:rPr>
          <w:rFonts w:hint="eastAsia"/>
          <w:sz w:val="28"/>
          <w:szCs w:val="28"/>
        </w:rPr>
        <w:t xml:space="preserve"> </w:t>
      </w:r>
      <w:r>
        <w:rPr>
          <w:sz w:val="28"/>
          <w:szCs w:val="28"/>
        </w:rPr>
        <w:t>地</w:t>
      </w:r>
      <w:r>
        <w:rPr>
          <w:rFonts w:hint="eastAsia"/>
          <w:sz w:val="28"/>
          <w:szCs w:val="28"/>
        </w:rPr>
        <w:t xml:space="preserve"> </w:t>
      </w:r>
      <w:r>
        <w:rPr>
          <w:sz w:val="28"/>
          <w:szCs w:val="28"/>
        </w:rPr>
        <w:t>点：</w:t>
      </w:r>
      <w:r>
        <w:rPr>
          <w:rFonts w:hint="eastAsia"/>
          <w:sz w:val="28"/>
          <w:szCs w:val="28"/>
        </w:rPr>
        <w:t xml:space="preserve"> </w:t>
      </w:r>
      <w:r>
        <w:rPr>
          <w:rFonts w:hint="eastAsia"/>
          <w:sz w:val="28"/>
          <w:szCs w:val="28"/>
          <w:u w:val="single"/>
        </w:rPr>
        <w:t xml:space="preserve">                     </w:t>
      </w:r>
    </w:p>
    <w:p>
      <w:pPr>
        <w:pStyle w:val="10"/>
        <w:spacing w:before="1" w:line="417" w:lineRule="auto"/>
        <w:ind w:right="549"/>
        <w:jc w:val="both"/>
        <w:rPr>
          <w:sz w:val="28"/>
          <w:szCs w:val="28"/>
          <w:u w:val="single"/>
        </w:rPr>
      </w:pPr>
    </w:p>
    <w:tbl>
      <w:tblPr>
        <w:tblStyle w:val="24"/>
        <w:tblW w:w="10740" w:type="dxa"/>
        <w:tblInd w:w="0" w:type="dxa"/>
        <w:tblLayout w:type="fixed"/>
        <w:tblCellMar>
          <w:top w:w="0" w:type="dxa"/>
          <w:left w:w="108" w:type="dxa"/>
          <w:bottom w:w="0" w:type="dxa"/>
          <w:right w:w="108" w:type="dxa"/>
        </w:tblCellMar>
      </w:tblPr>
      <w:tblGrid>
        <w:gridCol w:w="2125"/>
        <w:gridCol w:w="560"/>
        <w:gridCol w:w="1565"/>
        <w:gridCol w:w="1120"/>
        <w:gridCol w:w="1005"/>
        <w:gridCol w:w="1680"/>
        <w:gridCol w:w="417"/>
        <w:gridCol w:w="2268"/>
      </w:tblGrid>
      <w:tr>
        <w:tblPrEx>
          <w:tblLayout w:type="fixed"/>
          <w:tblCellMar>
            <w:top w:w="0" w:type="dxa"/>
            <w:left w:w="108" w:type="dxa"/>
            <w:bottom w:w="0" w:type="dxa"/>
            <w:right w:w="108" w:type="dxa"/>
          </w:tblCellMar>
        </w:tblPrEx>
        <w:tc>
          <w:tcPr>
            <w:tcW w:w="2125" w:type="dxa"/>
            <w:vAlign w:val="center"/>
          </w:tcPr>
          <w:p>
            <w:pPr>
              <w:pStyle w:val="10"/>
              <w:spacing w:before="1" w:line="417" w:lineRule="auto"/>
              <w:ind w:right="66"/>
              <w:jc w:val="center"/>
              <w:rPr>
                <w:sz w:val="28"/>
                <w:szCs w:val="28"/>
              </w:rPr>
            </w:pPr>
            <w:r>
              <w:rPr>
                <w:rFonts w:hint="eastAsia"/>
                <w:sz w:val="28"/>
                <w:szCs w:val="28"/>
              </w:rPr>
              <w:t>投标人名称</w:t>
            </w:r>
          </w:p>
        </w:tc>
        <w:tc>
          <w:tcPr>
            <w:tcW w:w="2125" w:type="dxa"/>
            <w:gridSpan w:val="2"/>
            <w:vAlign w:val="center"/>
          </w:tcPr>
          <w:p>
            <w:pPr>
              <w:pStyle w:val="10"/>
              <w:spacing w:before="1" w:line="417" w:lineRule="auto"/>
              <w:ind w:right="-77"/>
              <w:jc w:val="center"/>
              <w:rPr>
                <w:sz w:val="28"/>
                <w:szCs w:val="28"/>
              </w:rPr>
            </w:pPr>
            <w:r>
              <w:rPr>
                <w:rFonts w:hint="eastAsia"/>
                <w:sz w:val="28"/>
                <w:szCs w:val="28"/>
              </w:rPr>
              <w:t>投标报价（元）</w:t>
            </w:r>
          </w:p>
        </w:tc>
        <w:tc>
          <w:tcPr>
            <w:tcW w:w="2125" w:type="dxa"/>
            <w:gridSpan w:val="2"/>
            <w:vAlign w:val="center"/>
          </w:tcPr>
          <w:p>
            <w:pPr>
              <w:pStyle w:val="10"/>
              <w:spacing w:before="1" w:line="417" w:lineRule="auto"/>
              <w:ind w:right="-78" w:firstLine="420" w:firstLineChars="150"/>
              <w:jc w:val="center"/>
              <w:rPr>
                <w:sz w:val="28"/>
                <w:szCs w:val="28"/>
              </w:rPr>
            </w:pPr>
            <w:r>
              <w:rPr>
                <w:rFonts w:hint="eastAsia"/>
                <w:sz w:val="28"/>
                <w:szCs w:val="28"/>
              </w:rPr>
              <w:t>总工期</w:t>
            </w:r>
          </w:p>
          <w:p>
            <w:pPr>
              <w:pStyle w:val="10"/>
              <w:spacing w:before="1" w:line="417" w:lineRule="auto"/>
              <w:ind w:right="-78" w:firstLine="140" w:firstLineChars="50"/>
              <w:jc w:val="center"/>
              <w:rPr>
                <w:sz w:val="28"/>
                <w:szCs w:val="28"/>
              </w:rPr>
            </w:pPr>
            <w:r>
              <w:rPr>
                <w:rFonts w:hint="eastAsia"/>
                <w:sz w:val="28"/>
                <w:szCs w:val="28"/>
              </w:rPr>
              <w:t>（日历天）</w:t>
            </w:r>
          </w:p>
        </w:tc>
        <w:tc>
          <w:tcPr>
            <w:tcW w:w="2097" w:type="dxa"/>
            <w:gridSpan w:val="2"/>
            <w:vAlign w:val="center"/>
          </w:tcPr>
          <w:p>
            <w:pPr>
              <w:pStyle w:val="10"/>
              <w:spacing w:before="1" w:line="417" w:lineRule="auto"/>
              <w:ind w:right="-80"/>
              <w:jc w:val="center"/>
              <w:rPr>
                <w:sz w:val="28"/>
                <w:szCs w:val="28"/>
              </w:rPr>
            </w:pPr>
            <w:r>
              <w:rPr>
                <w:rFonts w:hint="eastAsia"/>
                <w:sz w:val="28"/>
                <w:szCs w:val="28"/>
              </w:rPr>
              <w:t>自报质量等级</w:t>
            </w:r>
          </w:p>
        </w:tc>
        <w:tc>
          <w:tcPr>
            <w:tcW w:w="2268" w:type="dxa"/>
            <w:vAlign w:val="center"/>
          </w:tcPr>
          <w:p>
            <w:pPr>
              <w:pStyle w:val="10"/>
              <w:spacing w:before="1" w:line="417" w:lineRule="auto"/>
              <w:jc w:val="center"/>
              <w:rPr>
                <w:sz w:val="28"/>
                <w:szCs w:val="28"/>
              </w:rPr>
            </w:pPr>
            <w:r>
              <w:rPr>
                <w:rFonts w:hint="eastAsia"/>
                <w:sz w:val="28"/>
                <w:szCs w:val="28"/>
              </w:rPr>
              <w:t>投标人代表签名</w:t>
            </w:r>
          </w:p>
        </w:tc>
      </w:tr>
      <w:tr>
        <w:tblPrEx>
          <w:tblLayout w:type="fixed"/>
          <w:tblCellMar>
            <w:top w:w="0" w:type="dxa"/>
            <w:left w:w="108" w:type="dxa"/>
            <w:bottom w:w="0" w:type="dxa"/>
            <w:right w:w="108" w:type="dxa"/>
          </w:tblCellMar>
        </w:tblPrEx>
        <w:tc>
          <w:tcPr>
            <w:tcW w:w="2125" w:type="dxa"/>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097" w:type="dxa"/>
            <w:gridSpan w:val="2"/>
          </w:tcPr>
          <w:p>
            <w:pPr>
              <w:pStyle w:val="10"/>
              <w:spacing w:before="1" w:line="417" w:lineRule="auto"/>
              <w:ind w:right="549"/>
              <w:rPr>
                <w:sz w:val="28"/>
                <w:szCs w:val="28"/>
                <w:u w:val="single"/>
              </w:rPr>
            </w:pPr>
          </w:p>
        </w:tc>
        <w:tc>
          <w:tcPr>
            <w:tcW w:w="2268" w:type="dxa"/>
          </w:tcPr>
          <w:p>
            <w:pPr>
              <w:pStyle w:val="10"/>
              <w:spacing w:before="1" w:line="417" w:lineRule="auto"/>
              <w:ind w:right="549"/>
              <w:rPr>
                <w:sz w:val="28"/>
                <w:szCs w:val="28"/>
                <w:u w:val="single"/>
              </w:rPr>
            </w:pPr>
          </w:p>
        </w:tc>
      </w:tr>
      <w:tr>
        <w:tblPrEx>
          <w:tblLayout w:type="fixed"/>
          <w:tblCellMar>
            <w:top w:w="0" w:type="dxa"/>
            <w:left w:w="108" w:type="dxa"/>
            <w:bottom w:w="0" w:type="dxa"/>
            <w:right w:w="108" w:type="dxa"/>
          </w:tblCellMar>
        </w:tblPrEx>
        <w:tc>
          <w:tcPr>
            <w:tcW w:w="2125" w:type="dxa"/>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097" w:type="dxa"/>
            <w:gridSpan w:val="2"/>
          </w:tcPr>
          <w:p>
            <w:pPr>
              <w:pStyle w:val="10"/>
              <w:spacing w:before="1" w:line="417" w:lineRule="auto"/>
              <w:ind w:right="549"/>
              <w:rPr>
                <w:sz w:val="28"/>
                <w:szCs w:val="28"/>
                <w:u w:val="single"/>
              </w:rPr>
            </w:pPr>
          </w:p>
        </w:tc>
        <w:tc>
          <w:tcPr>
            <w:tcW w:w="2268" w:type="dxa"/>
          </w:tcPr>
          <w:p>
            <w:pPr>
              <w:pStyle w:val="10"/>
              <w:spacing w:before="1" w:line="417" w:lineRule="auto"/>
              <w:ind w:right="549"/>
              <w:rPr>
                <w:sz w:val="28"/>
                <w:szCs w:val="28"/>
                <w:u w:val="single"/>
              </w:rPr>
            </w:pPr>
          </w:p>
        </w:tc>
      </w:tr>
      <w:tr>
        <w:tblPrEx>
          <w:tblLayout w:type="fixed"/>
          <w:tblCellMar>
            <w:top w:w="0" w:type="dxa"/>
            <w:left w:w="108" w:type="dxa"/>
            <w:bottom w:w="0" w:type="dxa"/>
            <w:right w:w="108" w:type="dxa"/>
          </w:tblCellMar>
        </w:tblPrEx>
        <w:tc>
          <w:tcPr>
            <w:tcW w:w="2125" w:type="dxa"/>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097" w:type="dxa"/>
            <w:gridSpan w:val="2"/>
          </w:tcPr>
          <w:p>
            <w:pPr>
              <w:pStyle w:val="10"/>
              <w:spacing w:before="1" w:line="417" w:lineRule="auto"/>
              <w:ind w:right="549"/>
              <w:rPr>
                <w:sz w:val="28"/>
                <w:szCs w:val="28"/>
                <w:u w:val="single"/>
              </w:rPr>
            </w:pPr>
          </w:p>
        </w:tc>
        <w:tc>
          <w:tcPr>
            <w:tcW w:w="2268" w:type="dxa"/>
          </w:tcPr>
          <w:p>
            <w:pPr>
              <w:pStyle w:val="10"/>
              <w:spacing w:before="1" w:line="417" w:lineRule="auto"/>
              <w:ind w:right="549"/>
              <w:rPr>
                <w:sz w:val="28"/>
                <w:szCs w:val="28"/>
                <w:u w:val="single"/>
              </w:rPr>
            </w:pPr>
          </w:p>
        </w:tc>
      </w:tr>
      <w:tr>
        <w:tblPrEx>
          <w:tblLayout w:type="fixed"/>
          <w:tblCellMar>
            <w:top w:w="0" w:type="dxa"/>
            <w:left w:w="108" w:type="dxa"/>
            <w:bottom w:w="0" w:type="dxa"/>
            <w:right w:w="108" w:type="dxa"/>
          </w:tblCellMar>
        </w:tblPrEx>
        <w:tc>
          <w:tcPr>
            <w:tcW w:w="2125" w:type="dxa"/>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097" w:type="dxa"/>
            <w:gridSpan w:val="2"/>
          </w:tcPr>
          <w:p>
            <w:pPr>
              <w:pStyle w:val="10"/>
              <w:spacing w:before="1" w:line="417" w:lineRule="auto"/>
              <w:ind w:right="549"/>
              <w:rPr>
                <w:sz w:val="28"/>
                <w:szCs w:val="28"/>
                <w:u w:val="single"/>
              </w:rPr>
            </w:pPr>
          </w:p>
        </w:tc>
        <w:tc>
          <w:tcPr>
            <w:tcW w:w="2268" w:type="dxa"/>
          </w:tcPr>
          <w:p>
            <w:pPr>
              <w:pStyle w:val="10"/>
              <w:spacing w:before="1" w:line="417" w:lineRule="auto"/>
              <w:ind w:right="549"/>
              <w:rPr>
                <w:sz w:val="28"/>
                <w:szCs w:val="28"/>
                <w:u w:val="single"/>
              </w:rPr>
            </w:pPr>
          </w:p>
        </w:tc>
      </w:tr>
      <w:tr>
        <w:tblPrEx>
          <w:tblLayout w:type="fixed"/>
          <w:tblCellMar>
            <w:top w:w="0" w:type="dxa"/>
            <w:left w:w="108" w:type="dxa"/>
            <w:bottom w:w="0" w:type="dxa"/>
            <w:right w:w="108" w:type="dxa"/>
          </w:tblCellMar>
        </w:tblPrEx>
        <w:tc>
          <w:tcPr>
            <w:tcW w:w="2125" w:type="dxa"/>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125" w:type="dxa"/>
            <w:gridSpan w:val="2"/>
          </w:tcPr>
          <w:p>
            <w:pPr>
              <w:pStyle w:val="10"/>
              <w:spacing w:before="1" w:line="417" w:lineRule="auto"/>
              <w:ind w:right="549"/>
              <w:rPr>
                <w:sz w:val="28"/>
                <w:szCs w:val="28"/>
                <w:u w:val="single"/>
              </w:rPr>
            </w:pPr>
          </w:p>
        </w:tc>
        <w:tc>
          <w:tcPr>
            <w:tcW w:w="2097" w:type="dxa"/>
            <w:gridSpan w:val="2"/>
          </w:tcPr>
          <w:p>
            <w:pPr>
              <w:pStyle w:val="10"/>
              <w:spacing w:before="1" w:line="417" w:lineRule="auto"/>
              <w:ind w:right="549"/>
              <w:rPr>
                <w:sz w:val="28"/>
                <w:szCs w:val="28"/>
                <w:u w:val="single"/>
              </w:rPr>
            </w:pPr>
          </w:p>
        </w:tc>
        <w:tc>
          <w:tcPr>
            <w:tcW w:w="2268" w:type="dxa"/>
          </w:tcPr>
          <w:p>
            <w:pPr>
              <w:pStyle w:val="10"/>
              <w:spacing w:before="1" w:line="417" w:lineRule="auto"/>
              <w:ind w:right="549"/>
              <w:rPr>
                <w:sz w:val="28"/>
                <w:szCs w:val="28"/>
                <w:u w:val="single"/>
              </w:rPr>
            </w:pPr>
          </w:p>
        </w:tc>
      </w:tr>
      <w:tr>
        <w:tblPrEx>
          <w:tblLayout w:type="fixed"/>
          <w:tblCellMar>
            <w:top w:w="0" w:type="dxa"/>
            <w:left w:w="108" w:type="dxa"/>
            <w:bottom w:w="0" w:type="dxa"/>
            <w:right w:w="108" w:type="dxa"/>
          </w:tblCellMar>
        </w:tblPrEx>
        <w:trPr>
          <w:trHeight w:val="686" w:hRule="atLeast"/>
        </w:trPr>
        <w:tc>
          <w:tcPr>
            <w:tcW w:w="2685" w:type="dxa"/>
            <w:gridSpan w:val="2"/>
            <w:vAlign w:val="center"/>
          </w:tcPr>
          <w:p>
            <w:pPr>
              <w:pStyle w:val="10"/>
              <w:spacing w:before="1" w:line="417" w:lineRule="auto"/>
              <w:ind w:right="549"/>
              <w:jc w:val="center"/>
              <w:rPr>
                <w:sz w:val="28"/>
                <w:szCs w:val="28"/>
                <w:u w:val="single"/>
              </w:rPr>
            </w:pPr>
            <w:r>
              <w:t>招标人代表签名</w:t>
            </w:r>
          </w:p>
        </w:tc>
        <w:tc>
          <w:tcPr>
            <w:tcW w:w="2685" w:type="dxa"/>
            <w:gridSpan w:val="2"/>
            <w:vAlign w:val="center"/>
          </w:tcPr>
          <w:p>
            <w:pPr>
              <w:pStyle w:val="10"/>
              <w:spacing w:before="1" w:line="417" w:lineRule="auto"/>
              <w:ind w:right="51"/>
              <w:jc w:val="center"/>
              <w:rPr>
                <w:sz w:val="28"/>
                <w:szCs w:val="28"/>
                <w:u w:val="single"/>
              </w:rPr>
            </w:pPr>
            <w:r>
              <w:t>行政主管部门代表签名</w:t>
            </w:r>
          </w:p>
        </w:tc>
        <w:tc>
          <w:tcPr>
            <w:tcW w:w="2685" w:type="dxa"/>
            <w:gridSpan w:val="2"/>
            <w:vAlign w:val="center"/>
          </w:tcPr>
          <w:p>
            <w:pPr>
              <w:pStyle w:val="10"/>
              <w:spacing w:before="1" w:line="417" w:lineRule="auto"/>
              <w:ind w:right="549"/>
              <w:jc w:val="center"/>
              <w:rPr>
                <w:sz w:val="28"/>
                <w:szCs w:val="28"/>
                <w:u w:val="single"/>
              </w:rPr>
            </w:pPr>
            <w:r>
              <w:t>监督部门代表签名</w:t>
            </w:r>
          </w:p>
        </w:tc>
        <w:tc>
          <w:tcPr>
            <w:tcW w:w="2685" w:type="dxa"/>
            <w:gridSpan w:val="2"/>
            <w:vAlign w:val="center"/>
          </w:tcPr>
          <w:p>
            <w:pPr>
              <w:pStyle w:val="10"/>
              <w:spacing w:before="1" w:line="417" w:lineRule="auto"/>
              <w:ind w:right="549"/>
              <w:jc w:val="center"/>
              <w:rPr>
                <w:sz w:val="28"/>
                <w:szCs w:val="28"/>
                <w:u w:val="single"/>
              </w:rPr>
            </w:pPr>
            <w:r>
              <w:t>交易中心见证人签名</w:t>
            </w:r>
          </w:p>
        </w:tc>
      </w:tr>
      <w:tr>
        <w:tblPrEx>
          <w:tblLayout w:type="fixed"/>
          <w:tblCellMar>
            <w:top w:w="0" w:type="dxa"/>
            <w:left w:w="108" w:type="dxa"/>
            <w:bottom w:w="0" w:type="dxa"/>
            <w:right w:w="108" w:type="dxa"/>
          </w:tblCellMar>
        </w:tblPrEx>
        <w:trPr>
          <w:trHeight w:val="965" w:hRule="atLeast"/>
        </w:trPr>
        <w:tc>
          <w:tcPr>
            <w:tcW w:w="2685" w:type="dxa"/>
            <w:gridSpan w:val="2"/>
          </w:tcPr>
          <w:p>
            <w:pPr>
              <w:pStyle w:val="10"/>
              <w:spacing w:before="1" w:line="417" w:lineRule="auto"/>
              <w:ind w:right="549"/>
            </w:pPr>
          </w:p>
        </w:tc>
        <w:tc>
          <w:tcPr>
            <w:tcW w:w="2685" w:type="dxa"/>
            <w:gridSpan w:val="2"/>
          </w:tcPr>
          <w:p>
            <w:pPr>
              <w:pStyle w:val="10"/>
              <w:spacing w:before="1" w:line="417" w:lineRule="auto"/>
              <w:ind w:right="51"/>
            </w:pPr>
          </w:p>
        </w:tc>
        <w:tc>
          <w:tcPr>
            <w:tcW w:w="2685" w:type="dxa"/>
            <w:gridSpan w:val="2"/>
          </w:tcPr>
          <w:p>
            <w:pPr>
              <w:pStyle w:val="10"/>
              <w:spacing w:before="1" w:line="417" w:lineRule="auto"/>
              <w:ind w:right="549"/>
            </w:pPr>
          </w:p>
        </w:tc>
        <w:tc>
          <w:tcPr>
            <w:tcW w:w="2685" w:type="dxa"/>
            <w:gridSpan w:val="2"/>
          </w:tcPr>
          <w:p>
            <w:pPr>
              <w:pStyle w:val="10"/>
              <w:spacing w:before="1" w:line="417" w:lineRule="auto"/>
              <w:ind w:right="549"/>
            </w:pPr>
          </w:p>
        </w:tc>
      </w:tr>
    </w:tbl>
    <w:p>
      <w:pPr>
        <w:pStyle w:val="10"/>
        <w:spacing w:before="1" w:line="417" w:lineRule="auto"/>
        <w:ind w:right="549"/>
        <w:jc w:val="both"/>
        <w:rPr>
          <w:sz w:val="28"/>
          <w:szCs w:val="28"/>
          <w:u w:val="single"/>
        </w:rPr>
      </w:pPr>
    </w:p>
    <w:p>
      <w:pPr>
        <w:pStyle w:val="10"/>
        <w:spacing w:before="1" w:line="417" w:lineRule="auto"/>
        <w:ind w:left="211" w:leftChars="96" w:right="549" w:firstLine="2100" w:firstLineChars="750"/>
        <w:rPr>
          <w:sz w:val="28"/>
          <w:szCs w:val="28"/>
        </w:rPr>
      </w:pPr>
    </w:p>
    <w:p>
      <w:pPr>
        <w:widowControl/>
        <w:autoSpaceDE/>
        <w:autoSpaceDN/>
      </w:pPr>
      <w:r>
        <w:br w:type="page"/>
      </w:r>
    </w:p>
    <w:p>
      <w:pPr>
        <w:widowControl/>
        <w:autoSpaceDE/>
        <w:autoSpaceDN/>
      </w:pPr>
      <w:r>
        <w:rPr>
          <w:rFonts w:hint="eastAsia"/>
        </w:rPr>
        <w:t>附表二： 问题澄清通知</w:t>
      </w:r>
    </w:p>
    <w:p>
      <w:pPr>
        <w:widowControl/>
        <w:autoSpaceDE/>
        <w:autoSpaceDN/>
      </w:pPr>
    </w:p>
    <w:p>
      <w:pPr>
        <w:widowControl/>
        <w:autoSpaceDE/>
        <w:autoSpaceDN/>
      </w:pPr>
    </w:p>
    <w:p>
      <w:pPr>
        <w:widowControl/>
        <w:autoSpaceDE/>
        <w:autoSpaceDN/>
        <w:jc w:val="center"/>
        <w:rPr>
          <w:sz w:val="28"/>
          <w:szCs w:val="28"/>
        </w:rPr>
      </w:pPr>
      <w:r>
        <w:rPr>
          <w:rFonts w:hint="eastAsia"/>
          <w:sz w:val="28"/>
          <w:szCs w:val="28"/>
        </w:rPr>
        <w:t>问题澄清通知</w:t>
      </w:r>
    </w:p>
    <w:p>
      <w:pPr>
        <w:widowControl/>
        <w:autoSpaceDE/>
        <w:autoSpaceDN/>
        <w:ind w:right="440" w:firstLine="8360" w:firstLineChars="3800"/>
      </w:pPr>
      <w:r>
        <w:rPr>
          <w:rFonts w:hint="eastAsia"/>
        </w:rPr>
        <w:t>编号：</w:t>
      </w:r>
    </w:p>
    <w:p>
      <w:pPr>
        <w:widowControl/>
        <w:autoSpaceDE/>
        <w:autoSpaceDN/>
        <w:rPr>
          <w:sz w:val="21"/>
          <w:szCs w:val="21"/>
        </w:rPr>
      </w:pPr>
    </w:p>
    <w:p>
      <w:pPr>
        <w:widowControl/>
        <w:autoSpaceDE/>
        <w:autoSpaceDN/>
        <w:rPr>
          <w:sz w:val="21"/>
          <w:szCs w:val="21"/>
          <w:u w:val="single"/>
        </w:rPr>
      </w:pPr>
      <w:r>
        <w:rPr>
          <w:rFonts w:hint="eastAsia"/>
          <w:sz w:val="21"/>
          <w:szCs w:val="21"/>
        </w:rPr>
        <w:t xml:space="preserve"> </w:t>
      </w:r>
      <w:r>
        <w:rPr>
          <w:rFonts w:hint="eastAsia"/>
          <w:sz w:val="21"/>
          <w:szCs w:val="21"/>
          <w:u w:val="single"/>
        </w:rPr>
        <w:t xml:space="preserve">                         （投标人名称：）</w:t>
      </w:r>
    </w:p>
    <w:p>
      <w:pPr>
        <w:widowControl/>
        <w:autoSpaceDE/>
        <w:autoSpaceDN/>
        <w:rPr>
          <w:sz w:val="21"/>
          <w:szCs w:val="21"/>
          <w:u w:val="single"/>
        </w:rPr>
      </w:pPr>
    </w:p>
    <w:p>
      <w:pPr>
        <w:widowControl/>
        <w:autoSpaceDE/>
        <w:autoSpaceDN/>
        <w:rPr>
          <w:sz w:val="21"/>
          <w:szCs w:val="21"/>
        </w:rPr>
      </w:pPr>
      <w:r>
        <w:rPr>
          <w:rFonts w:hint="eastAsia"/>
          <w:sz w:val="21"/>
          <w:szCs w:val="21"/>
          <w:u w:val="single"/>
        </w:rPr>
        <w:t xml:space="preserve">           （项目名称：）         </w:t>
      </w:r>
      <w:r>
        <w:rPr>
          <w:rFonts w:hint="eastAsia"/>
          <w:sz w:val="21"/>
          <w:szCs w:val="21"/>
        </w:rPr>
        <w:t>标段招标的评标委员会，对你方的投标文件进行了仔细审查，现需你方对本通知所附质疑问卷中的问题以书面形式予以澄清、说明或者补正。</w:t>
      </w:r>
    </w:p>
    <w:p>
      <w:pPr>
        <w:widowControl/>
        <w:autoSpaceDE/>
        <w:autoSpaceDN/>
        <w:rPr>
          <w:sz w:val="21"/>
          <w:szCs w:val="21"/>
        </w:rPr>
      </w:pPr>
      <w:r>
        <w:rPr>
          <w:rFonts w:hint="eastAsia"/>
          <w:sz w:val="21"/>
          <w:szCs w:val="21"/>
        </w:rPr>
        <w:t xml:space="preserve">   请将上述问题的澄清、说明或者补正于   年    月   日    时前密封递交至         （详细地址）或传真至        （传真号码）。采用传真方式的。应在   年    月   日    时前将原件递交至              （详细地址）。</w:t>
      </w:r>
    </w:p>
    <w:p>
      <w:pPr>
        <w:widowControl/>
        <w:autoSpaceDE/>
        <w:autoSpaceDN/>
        <w:rPr>
          <w:sz w:val="21"/>
          <w:szCs w:val="21"/>
        </w:rPr>
      </w:pPr>
    </w:p>
    <w:p>
      <w:pPr>
        <w:widowControl/>
        <w:autoSpaceDE/>
        <w:autoSpaceDN/>
        <w:rPr>
          <w:sz w:val="21"/>
          <w:szCs w:val="21"/>
        </w:rPr>
      </w:pPr>
    </w:p>
    <w:p>
      <w:pPr>
        <w:widowControl/>
        <w:autoSpaceDE/>
        <w:autoSpaceDN/>
        <w:rPr>
          <w:sz w:val="21"/>
          <w:szCs w:val="21"/>
        </w:rPr>
      </w:pPr>
    </w:p>
    <w:p>
      <w:pPr>
        <w:widowControl/>
        <w:autoSpaceDE/>
        <w:autoSpaceDN/>
        <w:rPr>
          <w:sz w:val="21"/>
          <w:szCs w:val="21"/>
        </w:rPr>
      </w:pPr>
      <w:r>
        <w:rPr>
          <w:rFonts w:hint="eastAsia"/>
          <w:sz w:val="21"/>
          <w:szCs w:val="21"/>
        </w:rPr>
        <w:t>附件： 质疑问卷</w:t>
      </w:r>
    </w:p>
    <w:p>
      <w:pPr>
        <w:widowControl/>
        <w:autoSpaceDE/>
        <w:autoSpaceDN/>
        <w:rPr>
          <w:sz w:val="21"/>
          <w:szCs w:val="21"/>
        </w:rPr>
      </w:pPr>
    </w:p>
    <w:p>
      <w:pPr>
        <w:widowControl/>
        <w:autoSpaceDE/>
        <w:autoSpaceDN/>
        <w:rPr>
          <w:sz w:val="21"/>
          <w:szCs w:val="21"/>
        </w:rPr>
      </w:pPr>
    </w:p>
    <w:p>
      <w:pPr>
        <w:widowControl/>
        <w:autoSpaceDE/>
        <w:autoSpaceDN/>
        <w:jc w:val="right"/>
        <w:rPr>
          <w:sz w:val="21"/>
          <w:szCs w:val="21"/>
        </w:rPr>
      </w:pPr>
      <w:r>
        <w:rPr>
          <w:rFonts w:hint="eastAsia"/>
          <w:sz w:val="21"/>
          <w:szCs w:val="21"/>
          <w:u w:val="single"/>
        </w:rPr>
        <w:t xml:space="preserve">        （项目名称：）              </w:t>
      </w:r>
      <w:r>
        <w:rPr>
          <w:rFonts w:hint="eastAsia"/>
          <w:sz w:val="21"/>
          <w:szCs w:val="21"/>
        </w:rPr>
        <w:t>招标的评标委员会</w:t>
      </w:r>
    </w:p>
    <w:p>
      <w:pPr>
        <w:widowControl/>
        <w:autoSpaceDE/>
        <w:autoSpaceDN/>
        <w:rPr>
          <w:sz w:val="21"/>
          <w:szCs w:val="21"/>
          <w:u w:val="single"/>
        </w:rPr>
      </w:pPr>
    </w:p>
    <w:p>
      <w:pPr>
        <w:pStyle w:val="10"/>
        <w:spacing w:before="1" w:line="417" w:lineRule="auto"/>
        <w:ind w:left="211" w:leftChars="96" w:right="969" w:firstLine="5250" w:firstLineChars="2500"/>
      </w:pPr>
      <w:r>
        <w:rPr>
          <w:rFonts w:hint="eastAsia"/>
        </w:rPr>
        <w:t>评标委员会全体签名：</w:t>
      </w:r>
    </w:p>
    <w:p>
      <w:pPr>
        <w:pStyle w:val="10"/>
        <w:spacing w:before="1" w:line="417" w:lineRule="auto"/>
        <w:ind w:left="211" w:leftChars="96" w:right="969" w:firstLine="5250" w:firstLineChars="2500"/>
      </w:pPr>
      <w:r>
        <w:rPr>
          <w:rFonts w:hint="eastAsia"/>
        </w:rPr>
        <w:t xml:space="preserve">    年    月   日</w:t>
      </w:r>
    </w:p>
    <w:p>
      <w:pPr>
        <w:widowControl/>
        <w:autoSpaceDE/>
        <w:autoSpaceDN/>
      </w:pPr>
      <w:r>
        <w:br w:type="page"/>
      </w:r>
    </w:p>
    <w:p>
      <w:pPr>
        <w:widowControl/>
        <w:autoSpaceDE/>
        <w:autoSpaceDN/>
      </w:pPr>
      <w:r>
        <w:rPr>
          <w:rFonts w:hint="eastAsia"/>
        </w:rPr>
        <w:t>附表三： 问题的澄清</w:t>
      </w:r>
    </w:p>
    <w:p>
      <w:pPr>
        <w:widowControl/>
        <w:autoSpaceDE/>
        <w:autoSpaceDN/>
      </w:pPr>
    </w:p>
    <w:p>
      <w:pPr>
        <w:widowControl/>
        <w:autoSpaceDE/>
        <w:autoSpaceDN/>
        <w:jc w:val="center"/>
        <w:rPr>
          <w:sz w:val="28"/>
          <w:szCs w:val="28"/>
        </w:rPr>
      </w:pPr>
      <w:r>
        <w:rPr>
          <w:rFonts w:hint="eastAsia"/>
          <w:sz w:val="28"/>
          <w:szCs w:val="28"/>
        </w:rPr>
        <w:t>问题的澄清、说明或者补正</w:t>
      </w:r>
    </w:p>
    <w:p>
      <w:pPr>
        <w:widowControl/>
        <w:autoSpaceDE/>
        <w:autoSpaceDN/>
      </w:pPr>
    </w:p>
    <w:p>
      <w:pPr>
        <w:widowControl/>
        <w:autoSpaceDE/>
        <w:autoSpaceDN/>
        <w:ind w:firstLine="7370" w:firstLineChars="3350"/>
      </w:pPr>
      <w:r>
        <w:rPr>
          <w:rFonts w:hint="eastAsia"/>
        </w:rPr>
        <w:t>编号：</w:t>
      </w:r>
    </w:p>
    <w:p>
      <w:pPr>
        <w:widowControl/>
        <w:autoSpaceDE/>
        <w:autoSpaceDN/>
      </w:pPr>
    </w:p>
    <w:p>
      <w:pPr>
        <w:widowControl/>
        <w:autoSpaceDE/>
        <w:autoSpaceDN/>
      </w:pPr>
      <w:r>
        <w:rPr>
          <w:rFonts w:hint="eastAsia"/>
          <w:sz w:val="21"/>
          <w:szCs w:val="21"/>
          <w:u w:val="single"/>
        </w:rPr>
        <w:t xml:space="preserve">     （项目名称：）              </w:t>
      </w:r>
      <w:r>
        <w:rPr>
          <w:rFonts w:hint="eastAsia"/>
          <w:sz w:val="21"/>
          <w:szCs w:val="21"/>
        </w:rPr>
        <w:t>招标的评标委员会：</w:t>
      </w:r>
    </w:p>
    <w:p>
      <w:pPr>
        <w:widowControl/>
        <w:autoSpaceDE/>
        <w:autoSpaceDN/>
        <w:rPr>
          <w:sz w:val="21"/>
          <w:szCs w:val="21"/>
        </w:rPr>
      </w:pPr>
    </w:p>
    <w:p>
      <w:pPr>
        <w:pStyle w:val="10"/>
        <w:spacing w:before="1" w:line="417" w:lineRule="auto"/>
        <w:ind w:right="549"/>
      </w:pPr>
      <w:r>
        <w:rPr>
          <w:rFonts w:hint="eastAsia"/>
        </w:rPr>
        <w:t xml:space="preserve">  问题澄清通知（编号：）已收悉，现澄清、说明或者补正如下：</w:t>
      </w:r>
    </w:p>
    <w:p>
      <w:pPr>
        <w:pStyle w:val="10"/>
        <w:spacing w:before="1" w:line="417" w:lineRule="auto"/>
        <w:ind w:right="549"/>
      </w:pPr>
    </w:p>
    <w:p>
      <w:pPr>
        <w:pStyle w:val="10"/>
        <w:spacing w:before="1" w:line="417" w:lineRule="auto"/>
        <w:ind w:right="549"/>
      </w:pPr>
      <w:r>
        <w:rPr>
          <w:rFonts w:hint="eastAsia"/>
        </w:rPr>
        <w:t>1.</w:t>
      </w:r>
    </w:p>
    <w:p>
      <w:pPr>
        <w:pStyle w:val="10"/>
        <w:spacing w:before="1" w:line="417" w:lineRule="auto"/>
        <w:ind w:right="549"/>
      </w:pPr>
      <w:r>
        <w:rPr>
          <w:rFonts w:hint="eastAsia"/>
        </w:rPr>
        <w:t>2.</w:t>
      </w:r>
    </w:p>
    <w:p>
      <w:pPr>
        <w:pStyle w:val="10"/>
        <w:spacing w:before="1" w:line="417" w:lineRule="auto"/>
        <w:ind w:right="549"/>
      </w:pPr>
      <w:r>
        <w:t>……</w:t>
      </w:r>
    </w:p>
    <w:p>
      <w:pPr>
        <w:pStyle w:val="10"/>
        <w:spacing w:before="1" w:line="417" w:lineRule="auto"/>
        <w:ind w:right="549"/>
      </w:pPr>
    </w:p>
    <w:p>
      <w:pPr>
        <w:pStyle w:val="10"/>
        <w:spacing w:before="1" w:line="417" w:lineRule="auto"/>
        <w:ind w:right="549"/>
      </w:pPr>
    </w:p>
    <w:p>
      <w:pPr>
        <w:pStyle w:val="10"/>
        <w:spacing w:before="1" w:line="417" w:lineRule="auto"/>
        <w:ind w:right="549"/>
      </w:pPr>
    </w:p>
    <w:p>
      <w:pPr>
        <w:pStyle w:val="10"/>
        <w:spacing w:before="1" w:line="417" w:lineRule="auto"/>
        <w:ind w:right="549"/>
        <w:jc w:val="right"/>
      </w:pPr>
      <w:r>
        <w:rPr>
          <w:rFonts w:hint="eastAsia"/>
        </w:rPr>
        <w:t>投标人：</w:t>
      </w:r>
      <w:r>
        <w:rPr>
          <w:rFonts w:hint="eastAsia"/>
          <w:u w:val="single"/>
        </w:rPr>
        <w:t xml:space="preserve">              </w:t>
      </w:r>
      <w:r>
        <w:rPr>
          <w:rFonts w:hint="eastAsia"/>
        </w:rPr>
        <w:t>（盖章单位）</w:t>
      </w:r>
    </w:p>
    <w:p>
      <w:pPr>
        <w:pStyle w:val="10"/>
        <w:wordWrap w:val="0"/>
        <w:spacing w:before="1" w:line="417" w:lineRule="auto"/>
        <w:ind w:right="549"/>
        <w:jc w:val="right"/>
      </w:pPr>
      <w:r>
        <w:rPr>
          <w:rFonts w:hint="eastAsia"/>
        </w:rPr>
        <w:t>法定代表人或其委托代理人：</w:t>
      </w:r>
      <w:r>
        <w:rPr>
          <w:rFonts w:hint="eastAsia"/>
          <w:u w:val="single"/>
        </w:rPr>
        <w:t xml:space="preserve">             </w:t>
      </w:r>
      <w:r>
        <w:rPr>
          <w:rFonts w:hint="eastAsia"/>
        </w:rPr>
        <w:t>（签字）</w:t>
      </w:r>
    </w:p>
    <w:p>
      <w:pPr>
        <w:pStyle w:val="10"/>
        <w:spacing w:before="1" w:line="417" w:lineRule="auto"/>
        <w:ind w:right="969" w:firstLine="6930" w:firstLineChars="3300"/>
      </w:pPr>
      <w:r>
        <w:rPr>
          <w:rFonts w:hint="eastAsia"/>
        </w:rPr>
        <w:t>年    月   日</w:t>
      </w:r>
    </w:p>
    <w:p>
      <w:pPr>
        <w:spacing w:line="417" w:lineRule="auto"/>
      </w:pPr>
    </w:p>
    <w:p>
      <w:pPr>
        <w:widowControl/>
        <w:autoSpaceDE/>
        <w:autoSpaceDN/>
      </w:pPr>
      <w:r>
        <w:br w:type="page"/>
      </w:r>
    </w:p>
    <w:p>
      <w:pPr>
        <w:spacing w:line="417" w:lineRule="auto"/>
      </w:pPr>
      <w:r>
        <w:rPr>
          <w:rFonts w:hint="eastAsia"/>
        </w:rPr>
        <w:t>附表四：中标通知书</w:t>
      </w:r>
    </w:p>
    <w:p>
      <w:pPr>
        <w:jc w:val="center"/>
        <w:rPr>
          <w:sz w:val="36"/>
          <w:szCs w:val="36"/>
        </w:rPr>
      </w:pPr>
      <w:r>
        <w:rPr>
          <w:rFonts w:hint="eastAsia"/>
          <w:sz w:val="36"/>
          <w:szCs w:val="36"/>
        </w:rPr>
        <w:t>中 标 通 知 书</w:t>
      </w:r>
    </w:p>
    <w:p>
      <w:pPr>
        <w:wordWrap w:val="0"/>
        <w:spacing w:line="420" w:lineRule="exact"/>
        <w:jc w:val="right"/>
      </w:pPr>
      <w:r>
        <w:rPr>
          <w:rFonts w:hint="eastAsia"/>
        </w:rPr>
        <w:t>江</w:t>
      </w:r>
      <w:r>
        <w:t>建招中字</w:t>
      </w:r>
      <w:r>
        <w:rPr>
          <w:rFonts w:hint="eastAsia"/>
        </w:rPr>
        <w:t>（    ）第（   ）号</w:t>
      </w:r>
    </w:p>
    <w:p>
      <w:pPr>
        <w:spacing w:line="420" w:lineRule="exact"/>
        <w:rPr>
          <w:sz w:val="24"/>
          <w:szCs w:val="24"/>
        </w:rPr>
      </w:pPr>
      <w:r>
        <w:rPr>
          <w:rFonts w:hint="eastAsia"/>
          <w:sz w:val="24"/>
          <w:szCs w:val="24"/>
          <w:u w:val="single"/>
        </w:rPr>
        <w:t xml:space="preserve">                </w:t>
      </w:r>
      <w:r>
        <w:rPr>
          <w:rFonts w:hint="eastAsia"/>
          <w:sz w:val="24"/>
          <w:szCs w:val="24"/>
        </w:rPr>
        <w:t xml:space="preserve">（中标人）                   </w:t>
      </w:r>
    </w:p>
    <w:p>
      <w:pPr>
        <w:spacing w:line="420" w:lineRule="exact"/>
        <w:rPr>
          <w:color w:val="000000"/>
          <w:sz w:val="24"/>
          <w:szCs w:val="24"/>
        </w:rPr>
      </w:pPr>
      <w:r>
        <w:rPr>
          <w:rFonts w:hint="eastAsia"/>
          <w:sz w:val="24"/>
          <w:szCs w:val="24"/>
        </w:rPr>
        <w:t xml:space="preserve">     </w:t>
      </w:r>
      <w:r>
        <w:rPr>
          <w:rFonts w:hint="eastAsia"/>
          <w:color w:val="000000"/>
          <w:sz w:val="24"/>
          <w:szCs w:val="24"/>
        </w:rPr>
        <w:t>你方于</w:t>
      </w:r>
      <w:r>
        <w:rPr>
          <w:rFonts w:hint="eastAsia"/>
          <w:sz w:val="24"/>
          <w:szCs w:val="24"/>
          <w:u w:val="single"/>
        </w:rPr>
        <w:t xml:space="preserve">              </w:t>
      </w:r>
      <w:r>
        <w:rPr>
          <w:rFonts w:hint="eastAsia"/>
          <w:color w:val="000000"/>
          <w:sz w:val="24"/>
          <w:szCs w:val="24"/>
        </w:rPr>
        <w:t>（投标日期）所递交的</w:t>
      </w:r>
      <w:r>
        <w:rPr>
          <w:rFonts w:hint="eastAsia"/>
          <w:bCs/>
          <w:sz w:val="24"/>
          <w:szCs w:val="24"/>
          <w:u w:val="single"/>
        </w:rPr>
        <w:t xml:space="preserve">   （项目名称）     </w:t>
      </w:r>
      <w:r>
        <w:rPr>
          <w:rFonts w:hint="eastAsia"/>
          <w:color w:val="000000"/>
          <w:sz w:val="24"/>
          <w:szCs w:val="24"/>
        </w:rPr>
        <w:t>投标文件已被我方接受，被确定为中标人。</w:t>
      </w:r>
    </w:p>
    <w:p>
      <w:pPr>
        <w:spacing w:line="420" w:lineRule="exact"/>
        <w:rPr>
          <w:color w:val="000000"/>
          <w:sz w:val="24"/>
          <w:szCs w:val="24"/>
        </w:rPr>
      </w:pPr>
      <w:r>
        <w:rPr>
          <w:rFonts w:hint="eastAsia"/>
          <w:color w:val="000000"/>
          <w:sz w:val="24"/>
          <w:szCs w:val="24"/>
        </w:rPr>
        <w:t xml:space="preserve">    招标方式：</w:t>
      </w:r>
      <w:r>
        <w:rPr>
          <w:rFonts w:hint="eastAsia"/>
          <w:color w:val="000000"/>
          <w:sz w:val="24"/>
          <w:szCs w:val="24"/>
          <w:u w:val="single"/>
        </w:rPr>
        <w:t xml:space="preserve">         （公开招标/邀请招标）</w:t>
      </w:r>
    </w:p>
    <w:p>
      <w:pPr>
        <w:spacing w:line="420" w:lineRule="exact"/>
        <w:ind w:firstLine="480" w:firstLineChars="200"/>
        <w:rPr>
          <w:sz w:val="24"/>
          <w:szCs w:val="24"/>
        </w:rPr>
      </w:pPr>
      <w:r>
        <w:rPr>
          <w:rFonts w:hint="eastAsia"/>
          <w:sz w:val="24"/>
          <w:szCs w:val="24"/>
        </w:rPr>
        <w:t>中标价：</w:t>
      </w:r>
      <w:r>
        <w:rPr>
          <w:rFonts w:hint="eastAsia"/>
          <w:color w:val="000000"/>
          <w:sz w:val="24"/>
          <w:szCs w:val="24"/>
          <w:u w:val="single"/>
        </w:rPr>
        <w:t xml:space="preserve">        </w:t>
      </w:r>
      <w:r>
        <w:rPr>
          <w:rFonts w:hint="eastAsia"/>
          <w:sz w:val="24"/>
          <w:szCs w:val="24"/>
        </w:rPr>
        <w:t>元。</w:t>
      </w:r>
    </w:p>
    <w:p>
      <w:pPr>
        <w:spacing w:line="420" w:lineRule="exact"/>
        <w:ind w:firstLine="480" w:firstLineChars="200"/>
        <w:rPr>
          <w:sz w:val="24"/>
          <w:szCs w:val="24"/>
        </w:rPr>
      </w:pPr>
      <w:r>
        <w:rPr>
          <w:rFonts w:hint="eastAsia"/>
          <w:sz w:val="24"/>
          <w:szCs w:val="24"/>
        </w:rPr>
        <w:t>工期：</w:t>
      </w:r>
      <w:r>
        <w:rPr>
          <w:rFonts w:hint="eastAsia"/>
          <w:sz w:val="24"/>
          <w:szCs w:val="24"/>
          <w:u w:val="single"/>
        </w:rPr>
        <w:t xml:space="preserve">          </w:t>
      </w:r>
      <w:r>
        <w:rPr>
          <w:rFonts w:hint="eastAsia"/>
          <w:sz w:val="24"/>
          <w:szCs w:val="24"/>
        </w:rPr>
        <w:t xml:space="preserve"> 日历天。</w:t>
      </w:r>
    </w:p>
    <w:p>
      <w:pPr>
        <w:spacing w:line="420" w:lineRule="exact"/>
        <w:ind w:firstLine="480" w:firstLineChars="200"/>
        <w:rPr>
          <w:sz w:val="24"/>
          <w:szCs w:val="24"/>
        </w:rPr>
      </w:pPr>
      <w:r>
        <w:rPr>
          <w:rFonts w:hint="eastAsia"/>
          <w:sz w:val="24"/>
          <w:szCs w:val="24"/>
        </w:rPr>
        <w:t>工程质量：符合</w:t>
      </w:r>
      <w:r>
        <w:rPr>
          <w:rFonts w:hint="eastAsia"/>
          <w:sz w:val="24"/>
          <w:szCs w:val="24"/>
          <w:u w:val="single"/>
        </w:rPr>
        <w:t xml:space="preserve">       </w:t>
      </w:r>
      <w:r>
        <w:rPr>
          <w:rFonts w:hint="eastAsia"/>
          <w:sz w:val="24"/>
          <w:szCs w:val="24"/>
        </w:rPr>
        <w:t>标准。</w:t>
      </w:r>
    </w:p>
    <w:p>
      <w:pPr>
        <w:spacing w:line="420" w:lineRule="exact"/>
        <w:ind w:firstLine="480" w:firstLineChars="200"/>
        <w:rPr>
          <w:sz w:val="24"/>
          <w:szCs w:val="24"/>
          <w:u w:val="single"/>
        </w:rPr>
      </w:pPr>
      <w:r>
        <w:rPr>
          <w:rFonts w:hint="eastAsia"/>
          <w:sz w:val="24"/>
          <w:szCs w:val="24"/>
        </w:rPr>
        <w:t>项目经理：</w:t>
      </w:r>
      <w:r>
        <w:rPr>
          <w:rFonts w:hint="eastAsia"/>
          <w:sz w:val="24"/>
          <w:szCs w:val="24"/>
          <w:u w:val="single"/>
        </w:rPr>
        <w:t xml:space="preserve">        </w:t>
      </w:r>
      <w:r>
        <w:rPr>
          <w:rFonts w:hint="eastAsia"/>
          <w:sz w:val="24"/>
          <w:szCs w:val="24"/>
        </w:rPr>
        <w:t xml:space="preserve"> （姓名）  证号：</w:t>
      </w:r>
      <w:r>
        <w:rPr>
          <w:rFonts w:hint="eastAsia"/>
          <w:sz w:val="24"/>
          <w:szCs w:val="24"/>
          <w:u w:val="single"/>
        </w:rPr>
        <w:t xml:space="preserve">              </w:t>
      </w:r>
    </w:p>
    <w:p>
      <w:pPr>
        <w:spacing w:line="420" w:lineRule="exact"/>
        <w:ind w:firstLine="480" w:firstLineChars="200"/>
        <w:rPr>
          <w:sz w:val="24"/>
          <w:szCs w:val="24"/>
        </w:rPr>
      </w:pPr>
    </w:p>
    <w:p>
      <w:pPr>
        <w:spacing w:line="420" w:lineRule="exact"/>
        <w:rPr>
          <w:sz w:val="24"/>
          <w:szCs w:val="24"/>
        </w:rPr>
      </w:pPr>
      <w:r>
        <w:rPr>
          <w:rFonts w:hint="eastAsia"/>
          <w:sz w:val="24"/>
          <w:szCs w:val="24"/>
        </w:rPr>
        <w:t xml:space="preserve">    请你方在接到本通知书后30日内 </w:t>
      </w:r>
      <w:r>
        <w:rPr>
          <w:rFonts w:hint="eastAsia"/>
          <w:sz w:val="24"/>
          <w:szCs w:val="24"/>
          <w:u w:val="single"/>
        </w:rPr>
        <w:t xml:space="preserve">   年  月  日</w:t>
      </w:r>
      <w:r>
        <w:rPr>
          <w:rFonts w:hint="eastAsia"/>
          <w:sz w:val="24"/>
          <w:szCs w:val="24"/>
        </w:rPr>
        <w:t>前到</w:t>
      </w:r>
      <w:r>
        <w:rPr>
          <w:rFonts w:hint="eastAsia"/>
          <w:sz w:val="24"/>
          <w:szCs w:val="24"/>
          <w:u w:val="single"/>
        </w:rPr>
        <w:t xml:space="preserve">              （指定地点）</w:t>
      </w:r>
      <w:r>
        <w:rPr>
          <w:rFonts w:hint="eastAsia"/>
          <w:sz w:val="24"/>
          <w:szCs w:val="24"/>
        </w:rPr>
        <w:t>与招标人签订承包合同，在此之前按招标文件第二章“投标人须知”第7.3款规定向我方提交履约保证金。</w:t>
      </w:r>
    </w:p>
    <w:p>
      <w:pPr>
        <w:spacing w:line="420" w:lineRule="exact"/>
        <w:ind w:firstLine="570"/>
        <w:rPr>
          <w:sz w:val="24"/>
          <w:szCs w:val="24"/>
        </w:rPr>
      </w:pPr>
      <w:r>
        <w:rPr>
          <w:rFonts w:hint="eastAsia"/>
          <w:sz w:val="24"/>
          <w:szCs w:val="24"/>
        </w:rPr>
        <w:t>特此通知！</w:t>
      </w:r>
    </w:p>
    <w:p>
      <w:pPr>
        <w:spacing w:line="420" w:lineRule="exact"/>
        <w:ind w:firstLine="570"/>
        <w:rPr>
          <w:sz w:val="24"/>
          <w:szCs w:val="24"/>
        </w:rPr>
      </w:pPr>
    </w:p>
    <w:p>
      <w:pPr>
        <w:wordWrap w:val="0"/>
        <w:spacing w:line="420" w:lineRule="exact"/>
        <w:jc w:val="right"/>
        <w:rPr>
          <w:sz w:val="24"/>
          <w:szCs w:val="24"/>
        </w:rPr>
      </w:pPr>
    </w:p>
    <w:p>
      <w:pPr>
        <w:spacing w:line="600" w:lineRule="atLeast"/>
        <w:ind w:firstLine="600" w:firstLineChars="250"/>
        <w:rPr>
          <w:sz w:val="24"/>
          <w:szCs w:val="24"/>
        </w:rPr>
      </w:pPr>
      <w:r>
        <w:rPr>
          <w:rFonts w:hint="eastAsia"/>
          <w:sz w:val="24"/>
          <w:szCs w:val="24"/>
        </w:rPr>
        <w:t>招标单位：（盖章）                    招标代理机构：（盖章）</w:t>
      </w:r>
    </w:p>
    <w:p>
      <w:pPr>
        <w:spacing w:line="600" w:lineRule="atLeast"/>
        <w:ind w:firstLine="120" w:firstLineChars="50"/>
        <w:rPr>
          <w:sz w:val="24"/>
          <w:szCs w:val="24"/>
        </w:rPr>
      </w:pPr>
      <w:r>
        <w:rPr>
          <w:rFonts w:hint="eastAsia"/>
          <w:sz w:val="24"/>
          <w:szCs w:val="24"/>
        </w:rPr>
        <w:t xml:space="preserve">                  </w:t>
      </w:r>
    </w:p>
    <w:p>
      <w:pPr>
        <w:spacing w:line="600" w:lineRule="atLeast"/>
        <w:ind w:firstLine="480" w:firstLineChars="200"/>
        <w:rPr>
          <w:sz w:val="24"/>
          <w:szCs w:val="24"/>
        </w:rPr>
      </w:pPr>
      <w:r>
        <w:rPr>
          <w:rFonts w:hint="eastAsia"/>
          <w:sz w:val="24"/>
          <w:szCs w:val="24"/>
        </w:rPr>
        <w:t>法定代表人或委托代理人                法定代表人或委托代理人</w:t>
      </w:r>
    </w:p>
    <w:p>
      <w:pPr>
        <w:spacing w:line="600" w:lineRule="atLeast"/>
        <w:ind w:firstLine="600" w:firstLineChars="250"/>
        <w:rPr>
          <w:sz w:val="24"/>
          <w:szCs w:val="24"/>
        </w:rPr>
      </w:pPr>
      <w:r>
        <w:rPr>
          <w:rFonts w:hint="eastAsia"/>
          <w:sz w:val="24"/>
          <w:szCs w:val="24"/>
        </w:rPr>
        <w:t>（签字或盖章）：                     （签字或盖章）：</w:t>
      </w:r>
    </w:p>
    <w:p>
      <w:pPr>
        <w:spacing w:line="600" w:lineRule="atLeast"/>
        <w:ind w:firstLine="720" w:firstLineChars="300"/>
        <w:rPr>
          <w:bCs/>
          <w:sz w:val="24"/>
          <w:szCs w:val="24"/>
        </w:rPr>
      </w:pPr>
      <w:r>
        <w:rPr>
          <w:rFonts w:hint="eastAsia"/>
          <w:sz w:val="24"/>
          <w:szCs w:val="24"/>
        </w:rPr>
        <w:t>年</w:t>
      </w:r>
      <w:r>
        <w:rPr>
          <w:rFonts w:hint="eastAsia"/>
          <w:bCs/>
          <w:sz w:val="24"/>
          <w:szCs w:val="24"/>
        </w:rPr>
        <w:t xml:space="preserve">    </w:t>
      </w:r>
      <w:r>
        <w:rPr>
          <w:rFonts w:hint="eastAsia"/>
          <w:sz w:val="24"/>
          <w:szCs w:val="24"/>
        </w:rPr>
        <w:t>月</w:t>
      </w:r>
      <w:r>
        <w:rPr>
          <w:rFonts w:hint="eastAsia"/>
          <w:bCs/>
          <w:sz w:val="24"/>
          <w:szCs w:val="24"/>
        </w:rPr>
        <w:t xml:space="preserve">    </w:t>
      </w:r>
      <w:r>
        <w:rPr>
          <w:rFonts w:hint="eastAsia"/>
          <w:sz w:val="24"/>
          <w:szCs w:val="24"/>
        </w:rPr>
        <w:t>日                         年</w:t>
      </w:r>
      <w:r>
        <w:rPr>
          <w:rFonts w:hint="eastAsia"/>
          <w:bCs/>
          <w:sz w:val="24"/>
          <w:szCs w:val="24"/>
        </w:rPr>
        <w:t xml:space="preserve">    </w:t>
      </w:r>
      <w:r>
        <w:rPr>
          <w:rFonts w:hint="eastAsia"/>
          <w:sz w:val="24"/>
          <w:szCs w:val="24"/>
        </w:rPr>
        <w:t>月</w:t>
      </w:r>
      <w:r>
        <w:rPr>
          <w:rFonts w:hint="eastAsia"/>
          <w:bCs/>
          <w:sz w:val="24"/>
          <w:szCs w:val="24"/>
        </w:rPr>
        <w:t xml:space="preserve">    </w:t>
      </w:r>
      <w:r>
        <w:rPr>
          <w:rFonts w:hint="eastAsia"/>
          <w:sz w:val="24"/>
          <w:szCs w:val="24"/>
        </w:rPr>
        <w:t>日</w:t>
      </w:r>
    </w:p>
    <w:p>
      <w:pPr>
        <w:spacing w:line="600" w:lineRule="atLeast"/>
        <w:rPr>
          <w:sz w:val="24"/>
          <w:szCs w:val="24"/>
        </w:rPr>
      </w:pPr>
    </w:p>
    <w:p>
      <w:pPr>
        <w:spacing w:line="600" w:lineRule="atLeast"/>
        <w:ind w:left="1320" w:leftChars="600" w:firstLine="1440" w:firstLineChars="600"/>
        <w:rPr>
          <w:sz w:val="24"/>
          <w:szCs w:val="24"/>
        </w:rPr>
      </w:pPr>
      <w:r>
        <w:rPr>
          <w:rFonts w:hint="eastAsia"/>
          <w:sz w:val="24"/>
          <w:szCs w:val="24"/>
        </w:rPr>
        <w:t>确认单位：（盖章）</w:t>
      </w:r>
    </w:p>
    <w:p>
      <w:pPr>
        <w:spacing w:line="600" w:lineRule="atLeast"/>
        <w:rPr>
          <w:sz w:val="24"/>
          <w:szCs w:val="24"/>
        </w:rPr>
      </w:pPr>
      <w:r>
        <w:rPr>
          <w:rFonts w:hint="eastAsia"/>
          <w:sz w:val="24"/>
          <w:szCs w:val="24"/>
        </w:rPr>
        <w:t xml:space="preserve">                       </w:t>
      </w:r>
      <w:r>
        <w:rPr>
          <w:rFonts w:hint="eastAsia"/>
          <w:bCs/>
          <w:sz w:val="24"/>
          <w:szCs w:val="24"/>
          <w:u w:val="single"/>
        </w:rPr>
        <w:t xml:space="preserve">        </w:t>
      </w:r>
      <w:r>
        <w:rPr>
          <w:rFonts w:hint="eastAsia"/>
          <w:bCs/>
          <w:sz w:val="24"/>
          <w:szCs w:val="24"/>
        </w:rPr>
        <w:t xml:space="preserve">公共资源交易中心 </w:t>
      </w:r>
    </w:p>
    <w:p>
      <w:pPr>
        <w:spacing w:line="600" w:lineRule="atLeast"/>
        <w:rPr>
          <w:sz w:val="24"/>
          <w:szCs w:val="24"/>
        </w:rPr>
      </w:pPr>
      <w:r>
        <w:rPr>
          <w:rFonts w:hint="eastAsia"/>
          <w:sz w:val="24"/>
          <w:szCs w:val="24"/>
        </w:rPr>
        <w:t xml:space="preserve">                       负责人（签字或盖章）： </w:t>
      </w:r>
    </w:p>
    <w:p>
      <w:pPr>
        <w:spacing w:line="600" w:lineRule="atLeast"/>
        <w:ind w:firstLine="117" w:firstLineChars="49"/>
        <w:rPr>
          <w:sz w:val="24"/>
          <w:szCs w:val="24"/>
        </w:rPr>
      </w:pPr>
      <w:r>
        <w:rPr>
          <w:rFonts w:hint="eastAsia"/>
          <w:sz w:val="24"/>
          <w:szCs w:val="24"/>
        </w:rPr>
        <w:t xml:space="preserve">                          年</w:t>
      </w:r>
      <w:r>
        <w:rPr>
          <w:rFonts w:hint="eastAsia"/>
          <w:bCs/>
          <w:sz w:val="24"/>
          <w:szCs w:val="24"/>
        </w:rPr>
        <w:t xml:space="preserve">    </w:t>
      </w:r>
      <w:r>
        <w:rPr>
          <w:rFonts w:hint="eastAsia"/>
          <w:sz w:val="24"/>
          <w:szCs w:val="24"/>
        </w:rPr>
        <w:t>月</w:t>
      </w:r>
      <w:r>
        <w:rPr>
          <w:rFonts w:hint="eastAsia"/>
          <w:bCs/>
          <w:sz w:val="24"/>
          <w:szCs w:val="24"/>
        </w:rPr>
        <w:t xml:space="preserve">    </w:t>
      </w:r>
      <w:r>
        <w:rPr>
          <w:rFonts w:hint="eastAsia"/>
          <w:sz w:val="24"/>
          <w:szCs w:val="24"/>
        </w:rPr>
        <w:t>日</w:t>
      </w:r>
    </w:p>
    <w:p>
      <w:pPr>
        <w:spacing w:line="417" w:lineRule="auto"/>
      </w:pPr>
    </w:p>
    <w:p>
      <w:pPr>
        <w:spacing w:line="417" w:lineRule="auto"/>
      </w:pPr>
    </w:p>
    <w:p>
      <w:pPr>
        <w:rPr>
          <w:b/>
          <w:sz w:val="32"/>
          <w:szCs w:val="32"/>
        </w:rPr>
      </w:pPr>
      <w:r>
        <w:rPr>
          <w:rFonts w:hint="eastAsia"/>
        </w:rPr>
        <w:t>附表五：评标专家廉洁自律和回避承诺书</w:t>
      </w:r>
    </w:p>
    <w:p>
      <w:pPr>
        <w:spacing w:line="417" w:lineRule="auto"/>
      </w:pPr>
    </w:p>
    <w:p>
      <w:pPr>
        <w:jc w:val="center"/>
        <w:rPr>
          <w:b/>
          <w:sz w:val="32"/>
          <w:szCs w:val="32"/>
        </w:rPr>
      </w:pPr>
      <w:r>
        <w:rPr>
          <w:rFonts w:hint="eastAsia"/>
          <w:b/>
          <w:sz w:val="32"/>
          <w:szCs w:val="32"/>
        </w:rPr>
        <w:t>评标专家廉洁自律和回避承诺书</w:t>
      </w:r>
    </w:p>
    <w:p>
      <w:pPr>
        <w:spacing w:line="360" w:lineRule="auto"/>
        <w:rPr>
          <w:b/>
          <w:sz w:val="21"/>
          <w:szCs w:val="21"/>
        </w:rPr>
      </w:pPr>
      <w:r>
        <w:rPr>
          <w:rFonts w:hint="eastAsia"/>
          <w:b/>
          <w:sz w:val="21"/>
          <w:szCs w:val="21"/>
        </w:rPr>
        <w:t>一、廉洁自律承诺</w:t>
      </w:r>
    </w:p>
    <w:p>
      <w:pPr>
        <w:spacing w:line="440" w:lineRule="exact"/>
        <w:rPr>
          <w:sz w:val="21"/>
          <w:szCs w:val="21"/>
        </w:rPr>
      </w:pPr>
      <w:r>
        <w:rPr>
          <w:rFonts w:hint="eastAsia"/>
          <w:sz w:val="21"/>
          <w:szCs w:val="21"/>
        </w:rPr>
        <w:t xml:space="preserve">   作为</w:t>
      </w:r>
      <w:r>
        <w:rPr>
          <w:rFonts w:hint="eastAsia"/>
          <w:b/>
          <w:bCs/>
          <w:sz w:val="21"/>
          <w:szCs w:val="21"/>
          <w:u w:val="single"/>
        </w:rPr>
        <w:t xml:space="preserve">                 </w:t>
      </w:r>
      <w:r>
        <w:rPr>
          <w:rFonts w:hint="eastAsia"/>
          <w:bCs/>
          <w:sz w:val="21"/>
          <w:szCs w:val="21"/>
        </w:rPr>
        <w:t>项目</w:t>
      </w:r>
      <w:r>
        <w:rPr>
          <w:rFonts w:hint="eastAsia"/>
          <w:sz w:val="21"/>
          <w:szCs w:val="21"/>
        </w:rPr>
        <w:t>的评标委员会成员，谨在此郑重承诺：</w:t>
      </w:r>
    </w:p>
    <w:p>
      <w:pPr>
        <w:spacing w:line="360" w:lineRule="auto"/>
        <w:ind w:firstLine="315" w:firstLineChars="150"/>
        <w:rPr>
          <w:sz w:val="21"/>
          <w:szCs w:val="21"/>
        </w:rPr>
      </w:pPr>
      <w:r>
        <w:rPr>
          <w:rFonts w:hint="eastAsia"/>
          <w:sz w:val="21"/>
          <w:szCs w:val="21"/>
        </w:rPr>
        <w:t>1.严格遵守《中华人民共和国招标投标法》、《中华人民共和国保</w:t>
      </w:r>
      <w:r>
        <w:rPr>
          <w:rFonts w:hint="eastAsia"/>
          <w:sz w:val="21"/>
          <w:szCs w:val="21"/>
          <w:lang w:eastAsia="zh-CN"/>
        </w:rPr>
        <w:t>守国家必秘</w:t>
      </w:r>
      <w:bookmarkStart w:id="400" w:name="_GoBack"/>
      <w:bookmarkEnd w:id="400"/>
      <w:r>
        <w:rPr>
          <w:rFonts w:hint="eastAsia"/>
          <w:sz w:val="21"/>
          <w:szCs w:val="21"/>
        </w:rPr>
        <w:t>密法》、《评标委员会和评标方法暂行规定》等国家法律及国家有关部门关于招投标的法规规章，维护国家利益。</w:t>
      </w:r>
    </w:p>
    <w:p>
      <w:pPr>
        <w:spacing w:line="360" w:lineRule="auto"/>
        <w:ind w:firstLine="315" w:firstLineChars="150"/>
        <w:rPr>
          <w:sz w:val="21"/>
          <w:szCs w:val="21"/>
        </w:rPr>
      </w:pPr>
      <w:r>
        <w:rPr>
          <w:rFonts w:hint="eastAsia"/>
          <w:sz w:val="21"/>
          <w:szCs w:val="21"/>
        </w:rPr>
        <w:t>2.客观、公正地履行职责，遵守职业道德，严格按照招标文件规定的评标标准、办法和有关法律、法规的规定进行评标，对所提出的评审意见承担个人责任。</w:t>
      </w:r>
    </w:p>
    <w:p>
      <w:pPr>
        <w:spacing w:line="360" w:lineRule="auto"/>
        <w:ind w:firstLine="315" w:firstLineChars="150"/>
        <w:rPr>
          <w:sz w:val="21"/>
          <w:szCs w:val="21"/>
        </w:rPr>
      </w:pPr>
      <w:r>
        <w:rPr>
          <w:rFonts w:hint="eastAsia"/>
          <w:sz w:val="21"/>
          <w:szCs w:val="21"/>
        </w:rPr>
        <w:t>3.履行相关的保密义务，遵守评标纪律，不私下接触投标人，不收受他人的财物或其他好处，不透露对投标文件的评审和比较、中标候选人的推荐情况以及与评标有关的其他情况。</w:t>
      </w:r>
    </w:p>
    <w:p>
      <w:pPr>
        <w:spacing w:line="360" w:lineRule="auto"/>
        <w:ind w:firstLine="315" w:firstLineChars="150"/>
        <w:rPr>
          <w:sz w:val="21"/>
          <w:szCs w:val="21"/>
        </w:rPr>
      </w:pPr>
      <w:r>
        <w:rPr>
          <w:rFonts w:hint="eastAsia"/>
          <w:sz w:val="21"/>
          <w:szCs w:val="21"/>
        </w:rPr>
        <w:t>4.自觉抵制违法违规的招投标活动，协助、配合专家库管理部门的监督、检查工作。</w:t>
      </w:r>
    </w:p>
    <w:p>
      <w:pPr>
        <w:spacing w:line="360" w:lineRule="auto"/>
        <w:ind w:firstLine="315" w:firstLineChars="150"/>
        <w:rPr>
          <w:sz w:val="21"/>
          <w:szCs w:val="21"/>
        </w:rPr>
      </w:pPr>
      <w:r>
        <w:rPr>
          <w:rFonts w:hint="eastAsia"/>
          <w:sz w:val="21"/>
          <w:szCs w:val="21"/>
        </w:rPr>
        <w:t>5.如有违反上述承诺的行为发生，自愿接受主管部门处理。</w:t>
      </w:r>
    </w:p>
    <w:p>
      <w:pPr>
        <w:spacing w:line="360" w:lineRule="auto"/>
        <w:rPr>
          <w:b/>
          <w:sz w:val="21"/>
          <w:szCs w:val="21"/>
        </w:rPr>
      </w:pPr>
      <w:r>
        <w:rPr>
          <w:rFonts w:hint="eastAsia"/>
          <w:b/>
          <w:sz w:val="21"/>
          <w:szCs w:val="21"/>
        </w:rPr>
        <w:t>二、回避承诺</w:t>
      </w:r>
    </w:p>
    <w:p>
      <w:pPr>
        <w:spacing w:line="360" w:lineRule="auto"/>
        <w:rPr>
          <w:sz w:val="21"/>
          <w:szCs w:val="21"/>
        </w:rPr>
      </w:pPr>
      <w:r>
        <w:rPr>
          <w:rFonts w:hint="eastAsia"/>
          <w:sz w:val="21"/>
          <w:szCs w:val="21"/>
        </w:rPr>
        <w:t xml:space="preserve">   本人受</w:t>
      </w:r>
      <w:r>
        <w:rPr>
          <w:rFonts w:hint="eastAsia"/>
          <w:b/>
          <w:sz w:val="21"/>
          <w:szCs w:val="21"/>
          <w:u w:val="single"/>
        </w:rPr>
        <w:t xml:space="preserve">         </w:t>
      </w:r>
      <w:r>
        <w:rPr>
          <w:rFonts w:hint="eastAsia"/>
          <w:sz w:val="21"/>
          <w:szCs w:val="21"/>
        </w:rPr>
        <w:t>（招标代理人或招标人）邀请，担任</w:t>
      </w:r>
      <w:r>
        <w:rPr>
          <w:rFonts w:hint="eastAsia"/>
          <w:b/>
          <w:bCs/>
          <w:sz w:val="21"/>
          <w:szCs w:val="21"/>
          <w:u w:val="single"/>
        </w:rPr>
        <w:t xml:space="preserve">        </w:t>
      </w:r>
      <w:r>
        <w:rPr>
          <w:rFonts w:hint="eastAsia"/>
          <w:bCs/>
          <w:sz w:val="21"/>
          <w:szCs w:val="21"/>
        </w:rPr>
        <w:t>项目（项目名称或编号）</w:t>
      </w:r>
      <w:r>
        <w:rPr>
          <w:rFonts w:hint="eastAsia"/>
          <w:sz w:val="21"/>
          <w:szCs w:val="21"/>
        </w:rPr>
        <w:t>的评委。本人郑重承诺，有下列情形之一的，应主动申请回避，如有违反，同意取消本人评标专家资格，并承担相应的法律责任：</w:t>
      </w:r>
    </w:p>
    <w:p>
      <w:pPr>
        <w:spacing w:line="360" w:lineRule="auto"/>
        <w:ind w:left="225"/>
        <w:rPr>
          <w:sz w:val="21"/>
          <w:szCs w:val="21"/>
        </w:rPr>
      </w:pPr>
      <w:r>
        <w:rPr>
          <w:rFonts w:hint="eastAsia"/>
          <w:sz w:val="21"/>
          <w:szCs w:val="21"/>
        </w:rPr>
        <w:t>1.招标人或投标人主要负责人的近亲属；</w:t>
      </w:r>
    </w:p>
    <w:p>
      <w:pPr>
        <w:spacing w:line="360" w:lineRule="auto"/>
        <w:ind w:left="225"/>
        <w:rPr>
          <w:sz w:val="21"/>
          <w:szCs w:val="21"/>
        </w:rPr>
      </w:pPr>
      <w:r>
        <w:rPr>
          <w:rFonts w:hint="eastAsia"/>
          <w:sz w:val="21"/>
          <w:szCs w:val="21"/>
        </w:rPr>
        <w:t>2.项目主管部门或监督管理部门的人员；</w:t>
      </w:r>
    </w:p>
    <w:p>
      <w:pPr>
        <w:spacing w:line="360" w:lineRule="auto"/>
        <w:ind w:left="225"/>
        <w:rPr>
          <w:sz w:val="21"/>
          <w:szCs w:val="21"/>
        </w:rPr>
      </w:pPr>
      <w:r>
        <w:rPr>
          <w:rFonts w:hint="eastAsia"/>
          <w:sz w:val="21"/>
          <w:szCs w:val="21"/>
        </w:rPr>
        <w:t>3.与投标人有其他社会关系或者经济利益关系，可能影响对投标公正评审的；</w:t>
      </w:r>
    </w:p>
    <w:p>
      <w:pPr>
        <w:spacing w:line="360" w:lineRule="auto"/>
        <w:ind w:left="550" w:leftChars="107" w:hanging="315" w:hangingChars="150"/>
        <w:rPr>
          <w:sz w:val="21"/>
          <w:szCs w:val="21"/>
        </w:rPr>
      </w:pPr>
      <w:r>
        <w:rPr>
          <w:rFonts w:hint="eastAsia"/>
          <w:sz w:val="21"/>
          <w:szCs w:val="21"/>
        </w:rPr>
        <w:t>4.曾因在招标、评标以及其他与招标投标活动有关活动中从事违法行为而受过行政处罚或刑事处罚的；</w:t>
      </w:r>
    </w:p>
    <w:p>
      <w:pPr>
        <w:spacing w:line="360" w:lineRule="auto"/>
        <w:ind w:left="225"/>
        <w:rPr>
          <w:sz w:val="21"/>
          <w:szCs w:val="21"/>
        </w:rPr>
      </w:pPr>
      <w:r>
        <w:rPr>
          <w:rFonts w:hint="eastAsia"/>
          <w:sz w:val="21"/>
          <w:szCs w:val="21"/>
        </w:rPr>
        <w:t>5.其他依法应当回避的人员。</w:t>
      </w:r>
    </w:p>
    <w:p>
      <w:pPr>
        <w:rPr>
          <w:sz w:val="21"/>
          <w:szCs w:val="21"/>
        </w:rPr>
      </w:pPr>
    </w:p>
    <w:p>
      <w:pPr>
        <w:rPr>
          <w:sz w:val="21"/>
          <w:szCs w:val="21"/>
        </w:rPr>
      </w:pPr>
      <w:r>
        <w:rPr>
          <w:rFonts w:hint="eastAsia"/>
          <w:sz w:val="21"/>
          <w:szCs w:val="21"/>
        </w:rPr>
        <w:t>承诺人（签名）：</w:t>
      </w:r>
    </w:p>
    <w:p>
      <w:pPr>
        <w:rPr>
          <w:sz w:val="21"/>
          <w:szCs w:val="21"/>
        </w:rPr>
      </w:pPr>
    </w:p>
    <w:p>
      <w:pPr>
        <w:rPr>
          <w:sz w:val="21"/>
          <w:szCs w:val="21"/>
        </w:rPr>
      </w:pPr>
    </w:p>
    <w:p>
      <w:pPr>
        <w:rPr>
          <w:sz w:val="21"/>
          <w:szCs w:val="21"/>
        </w:rPr>
      </w:pPr>
      <w:r>
        <w:rPr>
          <w:rFonts w:hint="eastAsia"/>
          <w:sz w:val="21"/>
          <w:szCs w:val="21"/>
        </w:rPr>
        <w:t xml:space="preserve">                                           承诺日期：      年    月    日</w:t>
      </w:r>
    </w:p>
    <w:p>
      <w:pPr>
        <w:spacing w:line="417" w:lineRule="auto"/>
        <w:rPr>
          <w:b/>
        </w:rPr>
      </w:pPr>
    </w:p>
    <w:p>
      <w:pPr>
        <w:jc w:val="center"/>
        <w:rPr>
          <w:sz w:val="28"/>
        </w:rPr>
      </w:pPr>
      <w:r>
        <w:br w:type="page"/>
      </w:r>
    </w:p>
    <w:p>
      <w:pPr>
        <w:spacing w:line="417" w:lineRule="auto"/>
        <w:sectPr>
          <w:pgSz w:w="11910" w:h="16840"/>
          <w:pgMar w:top="1480" w:right="580" w:bottom="1220" w:left="920" w:header="0" w:footer="950" w:gutter="0"/>
          <w:cols w:space="720" w:num="1"/>
        </w:sectPr>
      </w:pPr>
    </w:p>
    <w:p>
      <w:pPr>
        <w:pStyle w:val="2"/>
        <w:spacing w:before="10"/>
      </w:pPr>
      <w:bookmarkStart w:id="89" w:name="_bookmark66"/>
      <w:bookmarkEnd w:id="89"/>
      <w:bookmarkStart w:id="90" w:name="_Toc37926033"/>
      <w:r>
        <w:t>第三章 评标办法（综合评估法）</w:t>
      </w:r>
      <w:bookmarkEnd w:id="90"/>
    </w:p>
    <w:p>
      <w:pPr>
        <w:pStyle w:val="3"/>
      </w:pPr>
      <w:bookmarkStart w:id="91" w:name="_bookmark67"/>
      <w:bookmarkEnd w:id="91"/>
      <w:bookmarkStart w:id="92" w:name="_Toc37926034"/>
      <w:r>
        <w:t>评标办法前附表</w:t>
      </w:r>
      <w:bookmarkEnd w:id="92"/>
    </w:p>
    <w:p>
      <w:pPr>
        <w:pStyle w:val="10"/>
        <w:spacing w:before="9"/>
        <w:rPr>
          <w:rFonts w:ascii="黑体"/>
          <w:b/>
          <w:sz w:val="28"/>
        </w:rPr>
      </w:pPr>
    </w:p>
    <w:tbl>
      <w:tblPr>
        <w:tblStyle w:val="24"/>
        <w:tblpPr w:leftFromText="180" w:rightFromText="180" w:vertAnchor="text" w:tblpX="-137" w:tblpY="1"/>
        <w:tblOverlap w:val="never"/>
        <w:tblW w:w="106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71"/>
        <w:gridCol w:w="995"/>
        <w:gridCol w:w="3403"/>
        <w:gridCol w:w="5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847" w:type="dxa"/>
            <w:gridSpan w:val="3"/>
          </w:tcPr>
          <w:p>
            <w:pPr>
              <w:pStyle w:val="36"/>
              <w:spacing w:before="142"/>
              <w:ind w:left="607"/>
              <w:rPr>
                <w:b/>
                <w:sz w:val="21"/>
              </w:rPr>
            </w:pPr>
            <w:r>
              <w:rPr>
                <w:b/>
                <w:sz w:val="21"/>
              </w:rPr>
              <w:t>条款号</w:t>
            </w:r>
          </w:p>
        </w:tc>
        <w:tc>
          <w:tcPr>
            <w:tcW w:w="3403" w:type="dxa"/>
          </w:tcPr>
          <w:p>
            <w:pPr>
              <w:pStyle w:val="36"/>
              <w:spacing w:before="142"/>
              <w:ind w:left="855"/>
              <w:rPr>
                <w:b/>
                <w:sz w:val="21"/>
              </w:rPr>
            </w:pPr>
            <w:r>
              <w:rPr>
                <w:b/>
                <w:sz w:val="21"/>
              </w:rPr>
              <w:t>评审因素</w:t>
            </w:r>
          </w:p>
        </w:tc>
        <w:tc>
          <w:tcPr>
            <w:tcW w:w="5387" w:type="dxa"/>
          </w:tcPr>
          <w:p>
            <w:pPr>
              <w:pStyle w:val="36"/>
              <w:spacing w:before="142"/>
              <w:ind w:left="855"/>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852" w:type="dxa"/>
            <w:gridSpan w:val="2"/>
            <w:vMerge w:val="restart"/>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sz w:val="20"/>
              </w:rPr>
            </w:pPr>
          </w:p>
          <w:p>
            <w:pPr>
              <w:pStyle w:val="36"/>
              <w:ind w:left="216"/>
              <w:rPr>
                <w:rFonts w:ascii="Times New Roman"/>
                <w:sz w:val="21"/>
              </w:rPr>
            </w:pPr>
            <w:r>
              <w:rPr>
                <w:rFonts w:ascii="Times New Roman"/>
                <w:sz w:val="21"/>
              </w:rPr>
              <w:t>2.1.1</w:t>
            </w:r>
          </w:p>
        </w:tc>
        <w:tc>
          <w:tcPr>
            <w:tcW w:w="995" w:type="dxa"/>
            <w:vMerge w:val="restart"/>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spacing w:before="5"/>
              <w:rPr>
                <w:rFonts w:ascii="黑体"/>
                <w:b/>
                <w:sz w:val="23"/>
              </w:rPr>
            </w:pPr>
          </w:p>
          <w:p>
            <w:pPr>
              <w:pStyle w:val="36"/>
              <w:spacing w:line="393" w:lineRule="auto"/>
              <w:ind w:left="182" w:right="166"/>
              <w:jc w:val="center"/>
              <w:rPr>
                <w:sz w:val="21"/>
              </w:rPr>
            </w:pPr>
            <w:r>
              <w:rPr>
                <w:sz w:val="21"/>
              </w:rPr>
              <w:t>形式评审标准</w:t>
            </w:r>
          </w:p>
        </w:tc>
        <w:tc>
          <w:tcPr>
            <w:tcW w:w="3403" w:type="dxa"/>
          </w:tcPr>
          <w:p>
            <w:pPr>
              <w:pStyle w:val="36"/>
              <w:spacing w:before="3"/>
              <w:rPr>
                <w:b/>
                <w:sz w:val="28"/>
              </w:rPr>
            </w:pPr>
          </w:p>
          <w:p>
            <w:pPr>
              <w:pStyle w:val="36"/>
              <w:spacing w:before="1"/>
              <w:ind w:left="89" w:right="80"/>
              <w:jc w:val="center"/>
              <w:rPr>
                <w:sz w:val="21"/>
              </w:rPr>
            </w:pPr>
            <w:r>
              <w:rPr>
                <w:sz w:val="21"/>
              </w:rPr>
              <w:t>投标人名称</w:t>
            </w:r>
          </w:p>
        </w:tc>
        <w:tc>
          <w:tcPr>
            <w:tcW w:w="5387" w:type="dxa"/>
          </w:tcPr>
          <w:p>
            <w:pPr>
              <w:pStyle w:val="36"/>
              <w:spacing w:line="440" w:lineRule="exact"/>
              <w:ind w:left="108" w:right="98"/>
              <w:rPr>
                <w:sz w:val="21"/>
              </w:rPr>
            </w:pPr>
            <w:r>
              <w:rPr>
                <w:sz w:val="21"/>
              </w:rPr>
              <w:t>与企业法人营业执照、资质证书、安全生产许可证 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2"/>
              <w:ind w:left="89" w:right="83"/>
              <w:jc w:val="center"/>
              <w:rPr>
                <w:sz w:val="21"/>
              </w:rPr>
            </w:pPr>
            <w:r>
              <w:rPr>
                <w:sz w:val="21"/>
              </w:rPr>
              <w:t>投标函签字盖章</w:t>
            </w:r>
          </w:p>
        </w:tc>
        <w:tc>
          <w:tcPr>
            <w:tcW w:w="5387" w:type="dxa"/>
          </w:tcPr>
          <w:p>
            <w:pPr>
              <w:pStyle w:val="36"/>
              <w:spacing w:before="142"/>
              <w:ind w:left="108"/>
              <w:rPr>
                <w:sz w:val="21"/>
              </w:rPr>
            </w:pPr>
            <w:r>
              <w:rPr>
                <w:sz w:val="21"/>
              </w:rPr>
              <w:t>有法定代表人或其委托代理人签字或加盖单位章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2"/>
              <w:ind w:left="89" w:right="83"/>
              <w:jc w:val="center"/>
              <w:rPr>
                <w:sz w:val="21"/>
              </w:rPr>
            </w:pPr>
            <w:r>
              <w:rPr>
                <w:rFonts w:hint="eastAsia"/>
                <w:sz w:val="21"/>
              </w:rPr>
              <w:t>报价</w:t>
            </w:r>
          </w:p>
        </w:tc>
        <w:tc>
          <w:tcPr>
            <w:tcW w:w="5387" w:type="dxa"/>
          </w:tcPr>
          <w:p>
            <w:pPr>
              <w:pStyle w:val="36"/>
              <w:spacing w:before="142"/>
              <w:ind w:left="108"/>
              <w:rPr>
                <w:sz w:val="21"/>
              </w:rPr>
            </w:pPr>
            <w:r>
              <w:rPr>
                <w:rFonts w:hint="eastAsia"/>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1"/>
              <w:ind w:left="89" w:right="83"/>
              <w:jc w:val="center"/>
              <w:rPr>
                <w:sz w:val="21"/>
              </w:rPr>
            </w:pPr>
            <w:r>
              <w:rPr>
                <w:sz w:val="21"/>
              </w:rPr>
              <w:t>联合体投标人</w:t>
            </w:r>
          </w:p>
        </w:tc>
        <w:tc>
          <w:tcPr>
            <w:tcW w:w="5387" w:type="dxa"/>
          </w:tcPr>
          <w:p>
            <w:pPr>
              <w:pStyle w:val="36"/>
              <w:spacing w:before="141"/>
              <w:ind w:left="108"/>
              <w:rPr>
                <w:sz w:val="21"/>
              </w:rPr>
            </w:pPr>
            <w:r>
              <w:rPr>
                <w:sz w:val="21"/>
              </w:rPr>
              <w:t>提交联合体协议书，并明确联合体牵头人</w:t>
            </w:r>
            <w:r>
              <w:rPr>
                <w:rFonts w:hint="eastAsia"/>
                <w:sz w:val="21"/>
              </w:rPr>
              <w:t>，</w:t>
            </w:r>
            <w:r>
              <w:rPr>
                <w:spacing w:val="-10"/>
                <w:sz w:val="21"/>
              </w:rPr>
              <w:t>符合第二章</w:t>
            </w:r>
            <w:r>
              <w:rPr>
                <w:rFonts w:ascii="Times New Roman" w:hAnsi="Times New Roman" w:eastAsia="Times New Roman"/>
                <w:spacing w:val="-3"/>
                <w:sz w:val="21"/>
              </w:rPr>
              <w:t>“</w:t>
            </w:r>
            <w:r>
              <w:rPr>
                <w:spacing w:val="-3"/>
                <w:sz w:val="21"/>
              </w:rPr>
              <w:t>投标人须知</w:t>
            </w:r>
            <w:r>
              <w:rPr>
                <w:rFonts w:ascii="Times New Roman" w:hAnsi="Times New Roman" w:eastAsia="Times New Roman"/>
                <w:sz w:val="21"/>
              </w:rPr>
              <w:t xml:space="preserve">” </w:t>
            </w:r>
            <w:r>
              <w:rPr>
                <w:spacing w:val="-27"/>
                <w:sz w:val="21"/>
              </w:rPr>
              <w:t xml:space="preserve">第 </w:t>
            </w:r>
            <w:r>
              <w:rPr>
                <w:rFonts w:ascii="Times New Roman" w:hAnsi="Times New Roman" w:eastAsia="Times New Roman"/>
                <w:sz w:val="21"/>
              </w:rPr>
              <w:t xml:space="preserve">1.4.2 </w:t>
            </w:r>
            <w:r>
              <w:rPr>
                <w:spacing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1"/>
              <w:ind w:left="89" w:right="83"/>
              <w:jc w:val="center"/>
              <w:rPr>
                <w:sz w:val="21"/>
              </w:rPr>
            </w:pPr>
            <w:r>
              <w:rPr>
                <w:sz w:val="21"/>
              </w:rPr>
              <w:t>投标文件签章</w:t>
            </w:r>
          </w:p>
        </w:tc>
        <w:tc>
          <w:tcPr>
            <w:tcW w:w="5387" w:type="dxa"/>
          </w:tcPr>
          <w:p>
            <w:pPr>
              <w:pStyle w:val="36"/>
              <w:spacing w:before="141"/>
              <w:ind w:left="108"/>
              <w:rPr>
                <w:sz w:val="21"/>
              </w:rPr>
            </w:pPr>
            <w:r>
              <w:rPr>
                <w:sz w:val="21"/>
              </w:rPr>
              <w:t>符合招标文件中要求的有关签名或盖章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99"/>
              <w:ind w:left="89" w:right="83"/>
              <w:jc w:val="center"/>
              <w:rPr>
                <w:sz w:val="21"/>
              </w:rPr>
            </w:pPr>
            <w:r>
              <w:rPr>
                <w:sz w:val="21"/>
              </w:rPr>
              <w:t>投标文件格式</w:t>
            </w:r>
          </w:p>
        </w:tc>
        <w:tc>
          <w:tcPr>
            <w:tcW w:w="5387" w:type="dxa"/>
          </w:tcPr>
          <w:p>
            <w:pPr>
              <w:pStyle w:val="36"/>
              <w:spacing w:before="99"/>
              <w:ind w:left="108"/>
              <w:rPr>
                <w:sz w:val="21"/>
              </w:rPr>
            </w:pPr>
            <w:r>
              <w:rPr>
                <w:sz w:val="21"/>
              </w:rPr>
              <w:t>符合第</w:t>
            </w:r>
            <w:r>
              <w:rPr>
                <w:rFonts w:hint="eastAsia"/>
                <w:sz w:val="21"/>
              </w:rPr>
              <w:t>六</w:t>
            </w:r>
            <w:r>
              <w:rPr>
                <w:sz w:val="21"/>
              </w:rPr>
              <w:t>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vAlign w:val="center"/>
          </w:tcPr>
          <w:p>
            <w:pPr>
              <w:rPr>
                <w:szCs w:val="21"/>
              </w:rPr>
            </w:pPr>
            <w:r>
              <w:rPr>
                <w:rFonts w:hint="eastAsia"/>
                <w:szCs w:val="21"/>
              </w:rPr>
              <w:t>广东省以外的投标企业进粤信息登记</w:t>
            </w:r>
          </w:p>
        </w:tc>
        <w:tc>
          <w:tcPr>
            <w:tcW w:w="5387" w:type="dxa"/>
            <w:vAlign w:val="center"/>
          </w:tcPr>
          <w:p>
            <w:pPr>
              <w:rPr>
                <w:szCs w:val="21"/>
              </w:rPr>
            </w:pPr>
            <w:r>
              <w:rPr>
                <w:rFonts w:hint="eastAsia"/>
                <w:szCs w:val="21"/>
              </w:rPr>
              <w:t>提供</w:t>
            </w:r>
            <w:r>
              <w:rPr>
                <w:szCs w:val="21"/>
              </w:rPr>
              <w:t>进粤企业和人员信息</w:t>
            </w:r>
            <w:r>
              <w:rPr>
                <w:rFonts w:hint="eastAsia"/>
                <w:szCs w:val="21"/>
              </w:rPr>
              <w:t>登记</w:t>
            </w:r>
            <w:r>
              <w:rPr>
                <w:szCs w:val="21"/>
              </w:rPr>
              <w:t>网上公开信息打印件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852" w:type="dxa"/>
            <w:gridSpan w:val="2"/>
            <w:vMerge w:val="restart"/>
          </w:tcPr>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rPr>
                <w:rFonts w:ascii="黑体"/>
                <w:b/>
              </w:rPr>
            </w:pPr>
          </w:p>
          <w:p>
            <w:pPr>
              <w:pStyle w:val="36"/>
              <w:spacing w:before="4"/>
              <w:rPr>
                <w:rFonts w:ascii="黑体"/>
                <w:b/>
                <w:sz w:val="17"/>
              </w:rPr>
            </w:pPr>
          </w:p>
          <w:p>
            <w:pPr>
              <w:pStyle w:val="36"/>
              <w:spacing w:before="1"/>
              <w:ind w:left="216"/>
              <w:rPr>
                <w:rFonts w:ascii="Times New Roman"/>
                <w:sz w:val="21"/>
              </w:rPr>
            </w:pPr>
            <w:r>
              <w:rPr>
                <w:rFonts w:ascii="Times New Roman"/>
                <w:sz w:val="21"/>
              </w:rPr>
              <w:t>2.1.2</w:t>
            </w:r>
          </w:p>
        </w:tc>
        <w:tc>
          <w:tcPr>
            <w:tcW w:w="995" w:type="dxa"/>
            <w:vMerge w:val="restart"/>
          </w:tcPr>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20"/>
              </w:rPr>
            </w:pPr>
          </w:p>
          <w:p>
            <w:pPr>
              <w:pStyle w:val="36"/>
              <w:rPr>
                <w:rFonts w:ascii="黑体"/>
                <w:b/>
                <w:sz w:val="18"/>
              </w:rPr>
            </w:pPr>
          </w:p>
          <w:p>
            <w:pPr>
              <w:pStyle w:val="36"/>
              <w:spacing w:line="393" w:lineRule="auto"/>
              <w:ind w:left="182" w:right="166"/>
              <w:jc w:val="both"/>
              <w:rPr>
                <w:sz w:val="21"/>
              </w:rPr>
            </w:pPr>
            <w:r>
              <w:rPr>
                <w:sz w:val="21"/>
              </w:rPr>
              <w:t>资格审查有效性标准</w:t>
            </w:r>
          </w:p>
        </w:tc>
        <w:tc>
          <w:tcPr>
            <w:tcW w:w="3403" w:type="dxa"/>
          </w:tcPr>
          <w:p>
            <w:pPr>
              <w:pStyle w:val="36"/>
              <w:spacing w:before="142"/>
              <w:ind w:left="65" w:right="51"/>
              <w:jc w:val="center"/>
              <w:rPr>
                <w:sz w:val="21"/>
              </w:rPr>
            </w:pPr>
            <w:r>
              <w:rPr>
                <w:sz w:val="21"/>
              </w:rPr>
              <w:t>营业执照</w:t>
            </w:r>
          </w:p>
        </w:tc>
        <w:tc>
          <w:tcPr>
            <w:tcW w:w="5387" w:type="dxa"/>
          </w:tcPr>
          <w:p>
            <w:pPr>
              <w:pStyle w:val="36"/>
              <w:spacing w:before="142"/>
              <w:ind w:left="112"/>
              <w:rPr>
                <w:sz w:val="21"/>
              </w:rPr>
            </w:pPr>
            <w:r>
              <w:rPr>
                <w:rFonts w:hint="eastAsia"/>
                <w:sz w:val="21"/>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trPr>
        <w:tc>
          <w:tcPr>
            <w:tcW w:w="852" w:type="dxa"/>
            <w:gridSpan w:val="2"/>
            <w:vMerge w:val="continue"/>
          </w:tcPr>
          <w:p>
            <w:pPr>
              <w:pStyle w:val="36"/>
              <w:rPr>
                <w:rFonts w:ascii="黑体"/>
                <w:b/>
              </w:rPr>
            </w:pPr>
          </w:p>
        </w:tc>
        <w:tc>
          <w:tcPr>
            <w:tcW w:w="995" w:type="dxa"/>
            <w:vMerge w:val="continue"/>
          </w:tcPr>
          <w:p>
            <w:pPr>
              <w:pStyle w:val="36"/>
              <w:rPr>
                <w:rFonts w:ascii="黑体"/>
                <w:b/>
                <w:sz w:val="20"/>
              </w:rPr>
            </w:pPr>
          </w:p>
        </w:tc>
        <w:tc>
          <w:tcPr>
            <w:tcW w:w="3403" w:type="dxa"/>
            <w:vAlign w:val="center"/>
          </w:tcPr>
          <w:p>
            <w:pPr>
              <w:jc w:val="center"/>
              <w:rPr>
                <w:szCs w:val="21"/>
              </w:rPr>
            </w:pPr>
            <w:r>
              <w:rPr>
                <w:rFonts w:hint="eastAsia"/>
                <w:szCs w:val="21"/>
              </w:rPr>
              <w:t>安全生产许可证</w:t>
            </w:r>
          </w:p>
        </w:tc>
        <w:tc>
          <w:tcPr>
            <w:tcW w:w="5387" w:type="dxa"/>
            <w:vAlign w:val="center"/>
          </w:tcPr>
          <w:p>
            <w:pPr>
              <w:rPr>
                <w:szCs w:val="21"/>
              </w:rPr>
            </w:pPr>
            <w:r>
              <w:rPr>
                <w:rFonts w:hint="eastAsia"/>
                <w:szCs w:val="21"/>
              </w:rPr>
              <w:t>具备有效的安全生产许可证（园林绿化企业不需提供）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tcPr>
          <w:p>
            <w:pPr>
              <w:pStyle w:val="36"/>
              <w:spacing w:before="161"/>
              <w:ind w:left="65" w:right="51"/>
              <w:jc w:val="center"/>
              <w:rPr>
                <w:sz w:val="21"/>
              </w:rPr>
            </w:pPr>
            <w:r>
              <w:rPr>
                <w:sz w:val="21"/>
              </w:rPr>
              <w:t>资质条件</w:t>
            </w:r>
          </w:p>
        </w:tc>
        <w:tc>
          <w:tcPr>
            <w:tcW w:w="5387" w:type="dxa"/>
          </w:tcPr>
          <w:p>
            <w:pPr>
              <w:pStyle w:val="36"/>
              <w:spacing w:before="161"/>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tcPr>
          <w:p>
            <w:pPr>
              <w:pStyle w:val="36"/>
              <w:spacing w:before="78" w:line="262" w:lineRule="exact"/>
              <w:ind w:left="65" w:right="51"/>
              <w:jc w:val="center"/>
              <w:rPr>
                <w:sz w:val="21"/>
              </w:rPr>
            </w:pPr>
            <w:r>
              <w:rPr>
                <w:sz w:val="21"/>
              </w:rPr>
              <w:t>财务条件</w:t>
            </w:r>
          </w:p>
        </w:tc>
        <w:tc>
          <w:tcPr>
            <w:tcW w:w="5387" w:type="dxa"/>
          </w:tcPr>
          <w:p>
            <w:pPr>
              <w:pStyle w:val="36"/>
              <w:spacing w:before="66"/>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vAlign w:val="center"/>
          </w:tcPr>
          <w:p>
            <w:pPr>
              <w:jc w:val="center"/>
              <w:rPr>
                <w:szCs w:val="21"/>
              </w:rPr>
            </w:pPr>
            <w:r>
              <w:rPr>
                <w:rFonts w:hint="eastAsia"/>
                <w:szCs w:val="21"/>
              </w:rPr>
              <w:t>类似项目业绩</w:t>
            </w:r>
          </w:p>
        </w:tc>
        <w:tc>
          <w:tcPr>
            <w:tcW w:w="5387" w:type="dxa"/>
            <w:vAlign w:val="center"/>
          </w:tcPr>
          <w:p>
            <w:pPr>
              <w:ind w:firstLine="110" w:firstLineChars="50"/>
              <w:rPr>
                <w:szCs w:val="21"/>
              </w:rPr>
            </w:pPr>
            <w:r>
              <w:rPr>
                <w:rFonts w:hint="eastAsia"/>
                <w:szCs w:val="21"/>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tcPr>
          <w:p>
            <w:pPr>
              <w:pStyle w:val="36"/>
              <w:spacing w:before="140"/>
              <w:ind w:left="65" w:right="51"/>
              <w:jc w:val="center"/>
              <w:rPr>
                <w:sz w:val="21"/>
              </w:rPr>
            </w:pPr>
            <w:r>
              <w:rPr>
                <w:sz w:val="21"/>
              </w:rPr>
              <w:t>项目经理</w:t>
            </w:r>
          </w:p>
        </w:tc>
        <w:tc>
          <w:tcPr>
            <w:tcW w:w="5387" w:type="dxa"/>
          </w:tcPr>
          <w:p>
            <w:pPr>
              <w:pStyle w:val="36"/>
              <w:spacing w:before="166"/>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tcPr>
          <w:p>
            <w:pPr>
              <w:pStyle w:val="36"/>
              <w:spacing w:before="147"/>
              <w:ind w:left="63" w:right="51"/>
              <w:jc w:val="center"/>
              <w:rPr>
                <w:sz w:val="21"/>
              </w:rPr>
            </w:pPr>
            <w:r>
              <w:rPr>
                <w:sz w:val="21"/>
              </w:rPr>
              <w:t>施工负责人</w:t>
            </w:r>
          </w:p>
        </w:tc>
        <w:tc>
          <w:tcPr>
            <w:tcW w:w="5387" w:type="dxa"/>
          </w:tcPr>
          <w:p>
            <w:pPr>
              <w:pStyle w:val="36"/>
              <w:spacing w:before="2"/>
              <w:rPr>
                <w:rFonts w:ascii="黑体"/>
                <w:b/>
                <w:sz w:val="16"/>
              </w:rPr>
            </w:pPr>
          </w:p>
          <w:p>
            <w:pPr>
              <w:pStyle w:val="36"/>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tcPr>
          <w:p>
            <w:pPr>
              <w:pStyle w:val="36"/>
              <w:spacing w:before="142"/>
              <w:ind w:left="63" w:right="51"/>
              <w:jc w:val="center"/>
              <w:rPr>
                <w:sz w:val="21"/>
              </w:rPr>
            </w:pPr>
            <w:r>
              <w:rPr>
                <w:rFonts w:hint="eastAsia"/>
                <w:sz w:val="21"/>
              </w:rPr>
              <w:t>项目总负责人（即</w:t>
            </w:r>
            <w:r>
              <w:rPr>
                <w:sz w:val="21"/>
              </w:rPr>
              <w:t>设计经理</w:t>
            </w:r>
            <w:r>
              <w:rPr>
                <w:rFonts w:hint="eastAsia"/>
                <w:sz w:val="21"/>
              </w:rPr>
              <w:t>）</w:t>
            </w:r>
          </w:p>
        </w:tc>
        <w:tc>
          <w:tcPr>
            <w:tcW w:w="5387" w:type="dxa"/>
          </w:tcPr>
          <w:p>
            <w:pPr>
              <w:pStyle w:val="36"/>
              <w:spacing w:before="166"/>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852" w:type="dxa"/>
            <w:gridSpan w:val="2"/>
            <w:vMerge w:val="continue"/>
            <w:tcBorders>
              <w:top w:val="nil"/>
            </w:tcBorders>
          </w:tcPr>
          <w:p>
            <w:pPr>
              <w:rPr>
                <w:sz w:val="2"/>
                <w:szCs w:val="2"/>
              </w:rPr>
            </w:pPr>
          </w:p>
        </w:tc>
        <w:tc>
          <w:tcPr>
            <w:tcW w:w="995" w:type="dxa"/>
            <w:vMerge w:val="continue"/>
            <w:tcBorders>
              <w:top w:val="nil"/>
            </w:tcBorders>
          </w:tcPr>
          <w:p>
            <w:pPr>
              <w:rPr>
                <w:sz w:val="2"/>
                <w:szCs w:val="2"/>
              </w:rPr>
            </w:pPr>
          </w:p>
        </w:tc>
        <w:tc>
          <w:tcPr>
            <w:tcW w:w="3403" w:type="dxa"/>
          </w:tcPr>
          <w:p>
            <w:pPr>
              <w:pStyle w:val="36"/>
              <w:spacing w:before="167"/>
              <w:ind w:left="65" w:right="51"/>
              <w:jc w:val="center"/>
              <w:rPr>
                <w:sz w:val="21"/>
              </w:rPr>
            </w:pPr>
            <w:r>
              <w:rPr>
                <w:sz w:val="21"/>
              </w:rPr>
              <w:t>其他要求</w:t>
            </w:r>
          </w:p>
        </w:tc>
        <w:tc>
          <w:tcPr>
            <w:tcW w:w="5387" w:type="dxa"/>
          </w:tcPr>
          <w:p>
            <w:pPr>
              <w:pStyle w:val="36"/>
              <w:spacing w:before="167"/>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1.4.1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7" w:hRule="atLeast"/>
        </w:trPr>
        <w:tc>
          <w:tcPr>
            <w:tcW w:w="852" w:type="dxa"/>
            <w:gridSpan w:val="2"/>
            <w:vMerge w:val="continue"/>
            <w:tcBorders>
              <w:top w:val="nil"/>
              <w:bottom w:val="single" w:color="auto" w:sz="4" w:space="0"/>
            </w:tcBorders>
          </w:tcPr>
          <w:p>
            <w:pPr>
              <w:rPr>
                <w:sz w:val="2"/>
                <w:szCs w:val="2"/>
              </w:rPr>
            </w:pPr>
          </w:p>
        </w:tc>
        <w:tc>
          <w:tcPr>
            <w:tcW w:w="995" w:type="dxa"/>
            <w:vMerge w:val="continue"/>
            <w:tcBorders>
              <w:top w:val="nil"/>
              <w:bottom w:val="single" w:color="auto" w:sz="4" w:space="0"/>
            </w:tcBorders>
          </w:tcPr>
          <w:p>
            <w:pPr>
              <w:rPr>
                <w:sz w:val="2"/>
                <w:szCs w:val="2"/>
              </w:rPr>
            </w:pPr>
          </w:p>
        </w:tc>
        <w:tc>
          <w:tcPr>
            <w:tcW w:w="3403" w:type="dxa"/>
            <w:tcBorders>
              <w:bottom w:val="single" w:color="auto" w:sz="4" w:space="0"/>
            </w:tcBorders>
          </w:tcPr>
          <w:p>
            <w:pPr>
              <w:pStyle w:val="36"/>
              <w:spacing w:before="23" w:line="285" w:lineRule="auto"/>
              <w:ind w:left="108" w:right="-29"/>
              <w:rPr>
                <w:sz w:val="21"/>
              </w:rPr>
            </w:pPr>
            <w:r>
              <w:rPr>
                <w:sz w:val="21"/>
              </w:rPr>
              <w:t>投标人（</w:t>
            </w:r>
            <w:r>
              <w:rPr>
                <w:spacing w:val="-2"/>
                <w:sz w:val="21"/>
              </w:rPr>
              <w:t>若为联</w:t>
            </w:r>
            <w:r>
              <w:rPr>
                <w:sz w:val="21"/>
              </w:rPr>
              <w:t>合体投标， 指施工方的主要成员或按联合体协议约定）拟派的专职安全人员须具有在有效期内的安全生产考核合格证书（C 类），或能够提供广东省建筑施工企业管理人员安全生产考核信息系统安全生产管理人员证书信息的打印页,施工负责人和安全员不为同一人。</w:t>
            </w:r>
          </w:p>
        </w:tc>
        <w:tc>
          <w:tcPr>
            <w:tcW w:w="5387" w:type="dxa"/>
            <w:tcBorders>
              <w:bottom w:val="single" w:color="auto" w:sz="4" w:space="0"/>
            </w:tcBorders>
          </w:tcPr>
          <w:p>
            <w:pPr>
              <w:pStyle w:val="36"/>
              <w:spacing w:before="167"/>
              <w:ind w:left="112" w:firstLine="396" w:firstLineChars="200"/>
              <w:rPr>
                <w:sz w:val="21"/>
              </w:rPr>
            </w:pPr>
            <w:r>
              <w:rPr>
                <w:spacing w:val="-6"/>
                <w:sz w:val="21"/>
              </w:rPr>
              <w:t>专职安全员的安全生产考核合格证（C 证）在企业库内上传件（含附件），或广东省建筑施工企业管 理人员安全生产考核信息系统相应人员证书（C 证）信息打印页。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852" w:type="dxa"/>
            <w:gridSpan w:val="2"/>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995"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403" w:type="dxa"/>
            <w:tcBorders>
              <w:top w:val="single" w:color="auto" w:sz="4" w:space="0"/>
              <w:left w:val="single" w:color="auto" w:sz="4" w:space="0"/>
              <w:bottom w:val="single" w:color="auto" w:sz="4" w:space="0"/>
              <w:right w:val="single" w:color="auto" w:sz="4" w:space="0"/>
            </w:tcBorders>
          </w:tcPr>
          <w:p>
            <w:pPr>
              <w:pStyle w:val="36"/>
              <w:spacing w:before="2" w:line="280" w:lineRule="atLeast"/>
              <w:ind w:left="183" w:right="166"/>
              <w:rPr>
                <w:sz w:val="21"/>
              </w:rPr>
            </w:pPr>
          </w:p>
          <w:p>
            <w:pPr>
              <w:pStyle w:val="36"/>
              <w:spacing w:before="2" w:line="280" w:lineRule="atLeast"/>
              <w:ind w:right="166" w:firstLine="420" w:firstLineChars="200"/>
              <w:rPr>
                <w:sz w:val="21"/>
              </w:rPr>
            </w:pPr>
            <w:r>
              <w:rPr>
                <w:sz w:val="21"/>
              </w:rPr>
              <w:t>投标人不得存在的情形</w:t>
            </w:r>
          </w:p>
        </w:tc>
        <w:tc>
          <w:tcPr>
            <w:tcW w:w="5387" w:type="dxa"/>
            <w:tcBorders>
              <w:top w:val="single" w:color="auto" w:sz="4" w:space="0"/>
              <w:left w:val="single" w:color="auto" w:sz="4" w:space="0"/>
              <w:bottom w:val="single" w:color="auto" w:sz="4" w:space="0"/>
              <w:right w:val="single" w:color="auto" w:sz="4" w:space="0"/>
            </w:tcBorders>
          </w:tcPr>
          <w:p>
            <w:pPr>
              <w:pStyle w:val="36"/>
              <w:spacing w:before="10"/>
              <w:rPr>
                <w:rFonts w:ascii="黑体"/>
                <w:b/>
                <w:sz w:val="15"/>
              </w:rPr>
            </w:pPr>
          </w:p>
          <w:p>
            <w:pPr>
              <w:pStyle w:val="36"/>
              <w:ind w:left="112"/>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 xml:space="preserve">第 </w:t>
            </w:r>
            <w:r>
              <w:rPr>
                <w:rFonts w:ascii="Times New Roman" w:hAnsi="Times New Roman" w:eastAsia="Times New Roman"/>
                <w:sz w:val="21"/>
              </w:rPr>
              <w:t xml:space="preserve">1.4.3 </w:t>
            </w:r>
            <w:r>
              <w:rPr>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852" w:type="dxa"/>
            <w:gridSpan w:val="2"/>
            <w:vMerge w:val="restart"/>
            <w:tcBorders>
              <w:top w:val="single" w:color="auto" w:sz="4" w:space="0"/>
            </w:tcBorders>
          </w:tcPr>
          <w:p>
            <w:pPr>
              <w:pStyle w:val="36"/>
              <w:rPr>
                <w:rFonts w:ascii="黑体"/>
                <w:b/>
              </w:rPr>
            </w:pPr>
          </w:p>
          <w:p>
            <w:pPr>
              <w:pStyle w:val="36"/>
              <w:spacing w:before="5"/>
              <w:rPr>
                <w:rFonts w:ascii="黑体"/>
                <w:b/>
                <w:sz w:val="21"/>
              </w:rPr>
            </w:pPr>
          </w:p>
          <w:p>
            <w:pPr>
              <w:pStyle w:val="36"/>
              <w:spacing w:before="5"/>
              <w:rPr>
                <w:rFonts w:ascii="黑体"/>
                <w:b/>
                <w:sz w:val="21"/>
              </w:rPr>
            </w:pPr>
          </w:p>
          <w:p>
            <w:pPr>
              <w:pStyle w:val="36"/>
              <w:spacing w:before="5"/>
              <w:rPr>
                <w:rFonts w:ascii="黑体"/>
                <w:b/>
                <w:sz w:val="21"/>
              </w:rPr>
            </w:pPr>
          </w:p>
          <w:p>
            <w:pPr>
              <w:pStyle w:val="36"/>
              <w:spacing w:before="5"/>
              <w:rPr>
                <w:rFonts w:ascii="黑体"/>
                <w:b/>
                <w:sz w:val="21"/>
              </w:rPr>
            </w:pPr>
          </w:p>
          <w:p>
            <w:pPr>
              <w:pStyle w:val="36"/>
              <w:spacing w:before="5"/>
              <w:rPr>
                <w:rFonts w:ascii="黑体"/>
                <w:b/>
                <w:sz w:val="21"/>
              </w:rPr>
            </w:pPr>
          </w:p>
          <w:p>
            <w:pPr>
              <w:pStyle w:val="36"/>
              <w:spacing w:before="5"/>
              <w:rPr>
                <w:rFonts w:ascii="黑体"/>
                <w:b/>
                <w:sz w:val="21"/>
              </w:rPr>
            </w:pPr>
          </w:p>
          <w:p>
            <w:pPr>
              <w:pStyle w:val="36"/>
              <w:ind w:left="216"/>
              <w:rPr>
                <w:rFonts w:ascii="Times New Roman"/>
                <w:sz w:val="21"/>
              </w:rPr>
            </w:pPr>
            <w:r>
              <w:rPr>
                <w:rFonts w:ascii="Times New Roman"/>
                <w:sz w:val="21"/>
              </w:rPr>
              <w:t>2.1.3</w:t>
            </w:r>
          </w:p>
        </w:tc>
        <w:tc>
          <w:tcPr>
            <w:tcW w:w="995" w:type="dxa"/>
            <w:vMerge w:val="restart"/>
            <w:tcBorders>
              <w:top w:val="single" w:color="auto" w:sz="4" w:space="0"/>
            </w:tcBorders>
          </w:tcPr>
          <w:p>
            <w:pPr>
              <w:pStyle w:val="36"/>
              <w:spacing w:before="1"/>
              <w:rPr>
                <w:rFonts w:ascii="黑体"/>
                <w:b/>
                <w:sz w:val="25"/>
              </w:rPr>
            </w:pPr>
          </w:p>
          <w:p>
            <w:pPr>
              <w:pStyle w:val="36"/>
              <w:spacing w:line="393" w:lineRule="auto"/>
              <w:ind w:left="182" w:right="166"/>
              <w:rPr>
                <w:sz w:val="21"/>
              </w:rPr>
            </w:pPr>
          </w:p>
          <w:p>
            <w:pPr>
              <w:pStyle w:val="36"/>
              <w:spacing w:line="393" w:lineRule="auto"/>
              <w:ind w:left="182" w:right="166"/>
              <w:rPr>
                <w:sz w:val="21"/>
              </w:rPr>
            </w:pPr>
          </w:p>
          <w:p>
            <w:pPr>
              <w:pStyle w:val="36"/>
              <w:spacing w:line="393" w:lineRule="auto"/>
              <w:ind w:left="182" w:right="166"/>
              <w:rPr>
                <w:sz w:val="21"/>
              </w:rPr>
            </w:pPr>
          </w:p>
          <w:p>
            <w:pPr>
              <w:pStyle w:val="36"/>
              <w:spacing w:line="393" w:lineRule="auto"/>
              <w:ind w:left="182" w:right="166"/>
              <w:rPr>
                <w:sz w:val="21"/>
              </w:rPr>
            </w:pPr>
            <w:r>
              <w:rPr>
                <w:sz w:val="21"/>
              </w:rPr>
              <w:t>响应性评审标准</w:t>
            </w:r>
          </w:p>
        </w:tc>
        <w:tc>
          <w:tcPr>
            <w:tcW w:w="3403" w:type="dxa"/>
            <w:tcBorders>
              <w:top w:val="single" w:color="auto" w:sz="4" w:space="0"/>
            </w:tcBorders>
          </w:tcPr>
          <w:p>
            <w:pPr>
              <w:pStyle w:val="36"/>
              <w:spacing w:before="141"/>
              <w:ind w:left="89" w:right="85"/>
              <w:jc w:val="center"/>
              <w:rPr>
                <w:sz w:val="21"/>
              </w:rPr>
            </w:pPr>
            <w:r>
              <w:rPr>
                <w:sz w:val="21"/>
              </w:rPr>
              <w:t>投标内容</w:t>
            </w:r>
          </w:p>
        </w:tc>
        <w:tc>
          <w:tcPr>
            <w:tcW w:w="5387" w:type="dxa"/>
            <w:tcBorders>
              <w:top w:val="single" w:color="auto" w:sz="4" w:space="0"/>
            </w:tcBorders>
          </w:tcPr>
          <w:p>
            <w:pPr>
              <w:pStyle w:val="36"/>
              <w:spacing w:before="141"/>
              <w:ind w:left="108"/>
              <w:rPr>
                <w:sz w:val="21"/>
              </w:rPr>
            </w:pPr>
            <w:r>
              <w:rPr>
                <w:sz w:val="21"/>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3"/>
              <w:ind w:left="89" w:right="85"/>
              <w:jc w:val="center"/>
              <w:rPr>
                <w:sz w:val="21"/>
              </w:rPr>
            </w:pPr>
            <w:r>
              <w:rPr>
                <w:sz w:val="21"/>
              </w:rPr>
              <w:t>投标报价</w:t>
            </w:r>
          </w:p>
        </w:tc>
        <w:tc>
          <w:tcPr>
            <w:tcW w:w="5387" w:type="dxa"/>
          </w:tcPr>
          <w:p>
            <w:pPr>
              <w:pStyle w:val="36"/>
              <w:spacing w:before="143"/>
              <w:ind w:left="108"/>
              <w:rPr>
                <w:sz w:val="21"/>
              </w:rPr>
            </w:pPr>
            <w:r>
              <w:rPr>
                <w:sz w:val="21"/>
              </w:rPr>
              <w:t>符合第二章“投标人须知”第 3.2.4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3"/>
              <w:ind w:left="89" w:right="83"/>
              <w:jc w:val="center"/>
              <w:rPr>
                <w:sz w:val="21"/>
              </w:rPr>
            </w:pPr>
            <w:r>
              <w:rPr>
                <w:sz w:val="21"/>
              </w:rPr>
              <w:t>工期</w:t>
            </w:r>
          </w:p>
        </w:tc>
        <w:tc>
          <w:tcPr>
            <w:tcW w:w="5387" w:type="dxa"/>
          </w:tcPr>
          <w:p>
            <w:pPr>
              <w:pStyle w:val="36"/>
              <w:spacing w:before="143"/>
              <w:ind w:left="108"/>
              <w:rPr>
                <w:sz w:val="21"/>
              </w:rPr>
            </w:pPr>
            <w:r>
              <w:rPr>
                <w:sz w:val="21"/>
              </w:rPr>
              <w:t>符合第二章“投标人须知”第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1"/>
              <w:ind w:left="89" w:right="85"/>
              <w:jc w:val="center"/>
              <w:rPr>
                <w:sz w:val="21"/>
              </w:rPr>
            </w:pPr>
            <w:r>
              <w:rPr>
                <w:sz w:val="21"/>
              </w:rPr>
              <w:t>质量标准</w:t>
            </w:r>
          </w:p>
        </w:tc>
        <w:tc>
          <w:tcPr>
            <w:tcW w:w="5387" w:type="dxa"/>
          </w:tcPr>
          <w:p>
            <w:pPr>
              <w:pStyle w:val="36"/>
              <w:spacing w:before="141"/>
              <w:ind w:left="108"/>
              <w:rPr>
                <w:sz w:val="21"/>
              </w:rPr>
            </w:pPr>
            <w:r>
              <w:rPr>
                <w:sz w:val="21"/>
              </w:rPr>
              <w:t>符合第二章“投标人须知”第 1.3.4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3"/>
              <w:jc w:val="center"/>
              <w:rPr>
                <w:sz w:val="21"/>
              </w:rPr>
            </w:pPr>
            <w:r>
              <w:rPr>
                <w:sz w:val="21"/>
              </w:rPr>
              <w:t>投标有效期</w:t>
            </w:r>
          </w:p>
        </w:tc>
        <w:tc>
          <w:tcPr>
            <w:tcW w:w="5387" w:type="dxa"/>
          </w:tcPr>
          <w:p>
            <w:pPr>
              <w:pStyle w:val="36"/>
              <w:spacing w:before="143"/>
              <w:ind w:left="108"/>
              <w:rPr>
                <w:sz w:val="21"/>
              </w:rPr>
            </w:pPr>
            <w:r>
              <w:rPr>
                <w:sz w:val="21"/>
              </w:rPr>
              <w:t>符合第二章“投标人须知”第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1"/>
              <w:jc w:val="center"/>
              <w:rPr>
                <w:sz w:val="21"/>
              </w:rPr>
            </w:pPr>
            <w:r>
              <w:rPr>
                <w:sz w:val="21"/>
              </w:rPr>
              <w:t>投标保证金</w:t>
            </w:r>
          </w:p>
        </w:tc>
        <w:tc>
          <w:tcPr>
            <w:tcW w:w="5387" w:type="dxa"/>
          </w:tcPr>
          <w:p>
            <w:pPr>
              <w:pStyle w:val="36"/>
              <w:spacing w:before="141"/>
              <w:ind w:left="108"/>
              <w:rPr>
                <w:sz w:val="21"/>
              </w:rPr>
            </w:pPr>
            <w:r>
              <w:rPr>
                <w:sz w:val="21"/>
              </w:rPr>
              <w:t>符合第二章“投标人须知”第 3.4.1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tcPr>
          <w:p>
            <w:pPr>
              <w:pStyle w:val="36"/>
              <w:spacing w:before="141"/>
              <w:jc w:val="center"/>
              <w:rPr>
                <w:sz w:val="21"/>
              </w:rPr>
            </w:pPr>
            <w:r>
              <w:rPr>
                <w:rFonts w:hint="eastAsia"/>
                <w:sz w:val="21"/>
              </w:rPr>
              <w:t>分包计划</w:t>
            </w:r>
          </w:p>
        </w:tc>
        <w:tc>
          <w:tcPr>
            <w:tcW w:w="5387" w:type="dxa"/>
          </w:tcPr>
          <w:p>
            <w:pPr>
              <w:pStyle w:val="36"/>
              <w:spacing w:before="141"/>
              <w:ind w:left="108"/>
              <w:rPr>
                <w:sz w:val="21"/>
              </w:rPr>
            </w:pPr>
            <w:r>
              <w:rPr>
                <w:sz w:val="21"/>
              </w:rPr>
              <w:t xml:space="preserve">符合第二章“投标人须知”第 </w:t>
            </w:r>
            <w:r>
              <w:rPr>
                <w:rFonts w:hint="eastAsia"/>
                <w:sz w:val="21"/>
              </w:rPr>
              <w:t>1.11</w:t>
            </w:r>
            <w:r>
              <w:rPr>
                <w:sz w:val="21"/>
              </w:rPr>
              <w:t xml:space="preserve">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vAlign w:val="center"/>
          </w:tcPr>
          <w:p>
            <w:pPr>
              <w:jc w:val="center"/>
              <w:rPr>
                <w:szCs w:val="21"/>
              </w:rPr>
            </w:pPr>
            <w:r>
              <w:rPr>
                <w:rFonts w:hint="eastAsia"/>
              </w:rPr>
              <w:t>承诺书</w:t>
            </w:r>
          </w:p>
        </w:tc>
        <w:tc>
          <w:tcPr>
            <w:tcW w:w="5387" w:type="dxa"/>
            <w:vAlign w:val="center"/>
          </w:tcPr>
          <w:p>
            <w:pPr>
              <w:rPr>
                <w:szCs w:val="21"/>
              </w:rPr>
            </w:pPr>
            <w:r>
              <w:rPr>
                <w:rFonts w:hint="eastAsia"/>
                <w:szCs w:val="21"/>
              </w:rPr>
              <w:t>已按照招标文件要求作出承诺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852" w:type="dxa"/>
            <w:gridSpan w:val="2"/>
            <w:vMerge w:val="continue"/>
          </w:tcPr>
          <w:p>
            <w:pPr>
              <w:rPr>
                <w:sz w:val="2"/>
                <w:szCs w:val="2"/>
              </w:rPr>
            </w:pPr>
          </w:p>
        </w:tc>
        <w:tc>
          <w:tcPr>
            <w:tcW w:w="995" w:type="dxa"/>
            <w:vMerge w:val="continue"/>
          </w:tcPr>
          <w:p>
            <w:pPr>
              <w:rPr>
                <w:sz w:val="2"/>
                <w:szCs w:val="2"/>
              </w:rPr>
            </w:pPr>
          </w:p>
        </w:tc>
        <w:tc>
          <w:tcPr>
            <w:tcW w:w="3403" w:type="dxa"/>
            <w:vAlign w:val="center"/>
          </w:tcPr>
          <w:p>
            <w:pPr>
              <w:pStyle w:val="36"/>
              <w:ind w:right="349"/>
              <w:jc w:val="center"/>
              <w:rPr>
                <w:sz w:val="21"/>
              </w:rPr>
            </w:pPr>
            <w:r>
              <w:rPr>
                <w:sz w:val="21"/>
              </w:rPr>
              <w:t>投标文件否决性条款</w:t>
            </w:r>
          </w:p>
        </w:tc>
        <w:tc>
          <w:tcPr>
            <w:tcW w:w="5387" w:type="dxa"/>
          </w:tcPr>
          <w:p>
            <w:pPr>
              <w:pStyle w:val="36"/>
              <w:spacing w:before="25"/>
              <w:ind w:left="108"/>
              <w:rPr>
                <w:sz w:val="21"/>
              </w:rPr>
            </w:pPr>
            <w:r>
              <w:rPr>
                <w:sz w:val="21"/>
              </w:rPr>
              <w:t>按招标文件中 “投标文件否决性条款摘要 ”的内容判断其投标是否被否决。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spacing w:before="142"/>
              <w:ind w:right="693" w:firstLine="413" w:firstLineChars="196"/>
              <w:rPr>
                <w:b/>
                <w:sz w:val="21"/>
              </w:rPr>
            </w:pPr>
            <w:r>
              <w:rPr>
                <w:b/>
                <w:sz w:val="21"/>
              </w:rPr>
              <w:t>条款号</w:t>
            </w:r>
          </w:p>
        </w:tc>
        <w:tc>
          <w:tcPr>
            <w:tcW w:w="3403" w:type="dxa"/>
          </w:tcPr>
          <w:p>
            <w:pPr>
              <w:pStyle w:val="36"/>
              <w:spacing w:before="142"/>
              <w:ind w:left="89" w:right="85"/>
              <w:jc w:val="center"/>
              <w:rPr>
                <w:sz w:val="21"/>
              </w:rPr>
            </w:pPr>
            <w:r>
              <w:rPr>
                <w:b/>
                <w:sz w:val="21"/>
              </w:rPr>
              <w:t>条款内容</w:t>
            </w:r>
          </w:p>
        </w:tc>
        <w:tc>
          <w:tcPr>
            <w:tcW w:w="5387" w:type="dxa"/>
          </w:tcPr>
          <w:p>
            <w:pPr>
              <w:pStyle w:val="36"/>
              <w:spacing w:before="142"/>
              <w:ind w:left="166" w:right="158"/>
              <w:jc w:val="center"/>
              <w:rPr>
                <w:b/>
                <w:sz w:val="21"/>
              </w:rPr>
            </w:pPr>
            <w:r>
              <w:rPr>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rPr>
                <w:b/>
                <w:sz w:val="20"/>
              </w:rPr>
            </w:pPr>
          </w:p>
          <w:p>
            <w:pPr>
              <w:pStyle w:val="36"/>
              <w:rPr>
                <w:b/>
                <w:sz w:val="20"/>
              </w:rPr>
            </w:pPr>
          </w:p>
          <w:p>
            <w:pPr>
              <w:pStyle w:val="36"/>
              <w:rPr>
                <w:b/>
                <w:sz w:val="20"/>
              </w:rPr>
            </w:pPr>
          </w:p>
          <w:p>
            <w:pPr>
              <w:pStyle w:val="36"/>
              <w:spacing w:before="3"/>
              <w:rPr>
                <w:b/>
                <w:sz w:val="21"/>
              </w:rPr>
            </w:pPr>
          </w:p>
          <w:p>
            <w:pPr>
              <w:pStyle w:val="36"/>
              <w:ind w:right="693" w:firstLine="420" w:firstLineChars="200"/>
              <w:rPr>
                <w:sz w:val="21"/>
              </w:rPr>
            </w:pPr>
            <w:r>
              <w:rPr>
                <w:sz w:val="21"/>
              </w:rPr>
              <w:t>2.2.1</w:t>
            </w:r>
          </w:p>
        </w:tc>
        <w:tc>
          <w:tcPr>
            <w:tcW w:w="3403" w:type="dxa"/>
          </w:tcPr>
          <w:p>
            <w:pPr>
              <w:pStyle w:val="36"/>
              <w:rPr>
                <w:b/>
                <w:sz w:val="20"/>
              </w:rPr>
            </w:pPr>
          </w:p>
          <w:p>
            <w:pPr>
              <w:pStyle w:val="36"/>
              <w:rPr>
                <w:b/>
                <w:sz w:val="20"/>
              </w:rPr>
            </w:pPr>
          </w:p>
          <w:p>
            <w:pPr>
              <w:pStyle w:val="36"/>
              <w:spacing w:before="3"/>
              <w:rPr>
                <w:b/>
                <w:sz w:val="24"/>
              </w:rPr>
            </w:pPr>
          </w:p>
          <w:p>
            <w:pPr>
              <w:pStyle w:val="36"/>
              <w:ind w:left="89" w:right="85"/>
              <w:jc w:val="center"/>
              <w:rPr>
                <w:sz w:val="21"/>
              </w:rPr>
            </w:pPr>
            <w:r>
              <w:rPr>
                <w:sz w:val="21"/>
              </w:rPr>
              <w:t>分值构成</w:t>
            </w:r>
          </w:p>
          <w:p>
            <w:pPr>
              <w:pStyle w:val="36"/>
              <w:spacing w:before="50"/>
              <w:ind w:left="89" w:right="80"/>
              <w:jc w:val="center"/>
              <w:rPr>
                <w:sz w:val="21"/>
              </w:rPr>
            </w:pPr>
            <w:r>
              <w:rPr>
                <w:sz w:val="21"/>
              </w:rPr>
              <w:t>（总分 100 分）</w:t>
            </w:r>
          </w:p>
        </w:tc>
        <w:tc>
          <w:tcPr>
            <w:tcW w:w="5387" w:type="dxa"/>
          </w:tcPr>
          <w:p>
            <w:pPr>
              <w:pStyle w:val="36"/>
              <w:spacing w:before="24" w:line="285" w:lineRule="auto"/>
              <w:ind w:left="108" w:right="3102"/>
              <w:jc w:val="both"/>
              <w:rPr>
                <w:spacing w:val="-36"/>
                <w:sz w:val="21"/>
              </w:rPr>
            </w:pPr>
            <w:r>
              <w:rPr>
                <w:sz w:val="21"/>
              </w:rPr>
              <w:t>技术部分：</w:t>
            </w:r>
            <w:r>
              <w:rPr>
                <w:rFonts w:hint="eastAsia"/>
                <w:sz w:val="21"/>
              </w:rPr>
              <w:t>3</w:t>
            </w:r>
            <w:r>
              <w:rPr>
                <w:sz w:val="21"/>
              </w:rPr>
              <w:t>0</w:t>
            </w:r>
            <w:r>
              <w:rPr>
                <w:spacing w:val="-36"/>
                <w:sz w:val="21"/>
              </w:rPr>
              <w:t xml:space="preserve"> 分</w:t>
            </w:r>
          </w:p>
          <w:p>
            <w:pPr>
              <w:pStyle w:val="36"/>
              <w:spacing w:before="24" w:line="285" w:lineRule="auto"/>
              <w:ind w:left="108" w:right="3102"/>
              <w:jc w:val="both"/>
              <w:rPr>
                <w:sz w:val="21"/>
              </w:rPr>
            </w:pPr>
            <w:r>
              <w:rPr>
                <w:sz w:val="21"/>
              </w:rPr>
              <w:t>商务部分：</w:t>
            </w:r>
            <w:r>
              <w:rPr>
                <w:rFonts w:hint="eastAsia"/>
                <w:sz w:val="21"/>
              </w:rPr>
              <w:t>4</w:t>
            </w:r>
            <w:r>
              <w:rPr>
                <w:sz w:val="21"/>
              </w:rPr>
              <w:t>0</w:t>
            </w:r>
            <w:r>
              <w:rPr>
                <w:spacing w:val="-36"/>
                <w:sz w:val="21"/>
              </w:rPr>
              <w:t xml:space="preserve"> 分</w:t>
            </w:r>
          </w:p>
          <w:p>
            <w:pPr>
              <w:pStyle w:val="36"/>
              <w:spacing w:before="84"/>
              <w:ind w:left="108"/>
              <w:jc w:val="both"/>
              <w:rPr>
                <w:sz w:val="21"/>
              </w:rPr>
            </w:pPr>
            <w:r>
              <w:rPr>
                <w:spacing w:val="-4"/>
                <w:sz w:val="21"/>
              </w:rPr>
              <w:t>投标报价：</w:t>
            </w:r>
            <w:r>
              <w:rPr>
                <w:rFonts w:hint="eastAsia"/>
                <w:sz w:val="21"/>
              </w:rPr>
              <w:t>22</w:t>
            </w:r>
            <w:r>
              <w:rPr>
                <w:spacing w:val="-34"/>
                <w:sz w:val="21"/>
              </w:rPr>
              <w:t xml:space="preserve"> 分</w:t>
            </w:r>
          </w:p>
          <w:p>
            <w:pPr>
              <w:ind w:firstLine="99" w:firstLineChars="50"/>
              <w:rPr>
                <w:spacing w:val="-6"/>
                <w:sz w:val="21"/>
              </w:rPr>
            </w:pPr>
            <w:r>
              <w:rPr>
                <w:spacing w:val="-6"/>
                <w:sz w:val="21"/>
              </w:rPr>
              <w:t>信用得分：</w:t>
            </w:r>
            <w:r>
              <w:rPr>
                <w:rFonts w:hint="eastAsia"/>
                <w:spacing w:val="-13"/>
                <w:sz w:val="21"/>
              </w:rPr>
              <w:t>8</w:t>
            </w:r>
            <w:r>
              <w:rPr>
                <w:spacing w:val="-15"/>
                <w:sz w:val="21"/>
              </w:rPr>
              <w:t xml:space="preserve"> 分：</w:t>
            </w:r>
            <w:r>
              <w:rPr>
                <w:rFonts w:hint="eastAsia"/>
                <w:spacing w:val="-6"/>
                <w:sz w:val="21"/>
              </w:rPr>
              <w:t>（信用因素适用于正式投标人少于15家（含）的、工程招标控制价在300万元（含）及以上项目。正式投标人多于15家（不含）的或工程招标控制价在300万元（不含）以下的项目，评标不应用信用因素）</w:t>
            </w:r>
          </w:p>
          <w:p>
            <w:pPr>
              <w:rPr>
                <w:spacing w:val="-6"/>
                <w:sz w:val="21"/>
              </w:rPr>
            </w:pPr>
            <w:r>
              <w:rPr>
                <w:rFonts w:hint="eastAsia"/>
                <w:spacing w:val="-6"/>
                <w:sz w:val="21"/>
              </w:rPr>
              <w:t>总得分=技术标得分+商务标得分+报价得分+信用得分</w:t>
            </w:r>
          </w:p>
          <w:p>
            <w:pPr>
              <w:pStyle w:val="36"/>
              <w:spacing w:before="19" w:line="400" w:lineRule="exact"/>
              <w:ind w:left="108" w:right="98"/>
              <w:jc w:val="both"/>
              <w:rPr>
                <w:sz w:val="21"/>
              </w:rPr>
            </w:pPr>
            <w:r>
              <w:rPr>
                <w:rFonts w:hint="eastAsia"/>
                <w:spacing w:val="-6"/>
                <w:sz w:val="21"/>
              </w:rPr>
              <w:t>（注：如信用因素权重现场随机抽取确定的，上述商务得分权重、信用因素权重经随机抽取信用因素权重后由招标人补充，提供给评标委员会。商务得分权重+信用因素权重＝90%）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spacing w:before="4"/>
              <w:rPr>
                <w:b/>
                <w:sz w:val="23"/>
              </w:rPr>
            </w:pPr>
          </w:p>
          <w:p>
            <w:pPr>
              <w:pStyle w:val="36"/>
              <w:ind w:right="693" w:firstLine="420" w:firstLineChars="200"/>
              <w:rPr>
                <w:sz w:val="21"/>
              </w:rPr>
            </w:pPr>
            <w:r>
              <w:rPr>
                <w:sz w:val="21"/>
              </w:rPr>
              <w:t>2.2.2</w:t>
            </w:r>
          </w:p>
        </w:tc>
        <w:tc>
          <w:tcPr>
            <w:tcW w:w="3403" w:type="dxa"/>
          </w:tcPr>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spacing w:before="4"/>
              <w:rPr>
                <w:b/>
                <w:sz w:val="23"/>
              </w:rPr>
            </w:pPr>
          </w:p>
          <w:p>
            <w:pPr>
              <w:pStyle w:val="36"/>
              <w:ind w:right="349"/>
              <w:jc w:val="center"/>
              <w:rPr>
                <w:sz w:val="21"/>
              </w:rPr>
            </w:pPr>
            <w:r>
              <w:rPr>
                <w:szCs w:val="21"/>
              </w:rPr>
              <w:t>评标基准价计算方法</w:t>
            </w:r>
          </w:p>
        </w:tc>
        <w:tc>
          <w:tcPr>
            <w:tcW w:w="5387" w:type="dxa"/>
          </w:tcPr>
          <w:p>
            <w:pPr>
              <w:snapToGrid w:val="0"/>
              <w:spacing w:line="312" w:lineRule="auto"/>
              <w:ind w:firstLine="440" w:firstLineChars="200"/>
              <w:rPr>
                <w:szCs w:val="21"/>
              </w:rPr>
            </w:pPr>
            <w:r>
              <w:rPr>
                <w:rFonts w:hint="eastAsia"/>
                <w:szCs w:val="21"/>
              </w:rPr>
              <w:t>对通过初步评审的投标文件，评标委员会按照下列方法计算投标人投标报价的算术平均值：</w:t>
            </w:r>
          </w:p>
          <w:p>
            <w:pPr>
              <w:pStyle w:val="36"/>
              <w:tabs>
                <w:tab w:val="left" w:pos="4819"/>
              </w:tabs>
              <w:spacing w:before="109" w:line="320" w:lineRule="atLeast"/>
              <w:ind w:left="108" w:right="4"/>
              <w:rPr>
                <w:sz w:val="21"/>
              </w:rPr>
            </w:pPr>
            <w:r>
              <w:rPr>
                <w:rFonts w:hint="eastAsia"/>
                <w:szCs w:val="21"/>
              </w:rPr>
              <w:t>设</w:t>
            </w:r>
            <w:r>
              <w:rPr>
                <w:rFonts w:hint="eastAsia"/>
                <w:position w:val="-30"/>
                <w:szCs w:val="21"/>
              </w:rPr>
              <w:object>
                <v:shape id="_x0000_i1025" o:spt="75" type="#_x0000_t75" style="height:30pt;width:165.7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hint="eastAsia"/>
                <w:szCs w:val="21"/>
              </w:rPr>
              <w:t>,其中Int为取整函数，不进行四舍五入。评标委员会将通过初步评审的投标人的投标报价按由低至高的顺序进行排序，去掉排名最靠前的N个投标人的投标报价以及排名最靠后的N个投标人的投标报价之后，再对剩余投标人的投标报价取算术平均值，此算术平均值为评标基准价。随后的评审中无论出现何种情形，该基准价不作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rPr>
                <w:b/>
                <w:sz w:val="20"/>
              </w:rPr>
            </w:pPr>
          </w:p>
          <w:p>
            <w:pPr>
              <w:pStyle w:val="36"/>
              <w:rPr>
                <w:b/>
                <w:sz w:val="20"/>
              </w:rPr>
            </w:pPr>
          </w:p>
          <w:p>
            <w:pPr>
              <w:pStyle w:val="36"/>
              <w:rPr>
                <w:b/>
                <w:sz w:val="20"/>
              </w:rPr>
            </w:pPr>
          </w:p>
          <w:p>
            <w:pPr>
              <w:pStyle w:val="36"/>
              <w:rPr>
                <w:b/>
                <w:sz w:val="20"/>
              </w:rPr>
            </w:pPr>
          </w:p>
          <w:p>
            <w:pPr>
              <w:pStyle w:val="36"/>
              <w:spacing w:before="9"/>
              <w:rPr>
                <w:b/>
                <w:sz w:val="24"/>
              </w:rPr>
            </w:pPr>
          </w:p>
          <w:p>
            <w:pPr>
              <w:pStyle w:val="36"/>
              <w:ind w:right="693" w:firstLine="420" w:firstLineChars="200"/>
              <w:rPr>
                <w:sz w:val="21"/>
              </w:rPr>
            </w:pPr>
          </w:p>
          <w:p>
            <w:pPr>
              <w:pStyle w:val="36"/>
              <w:ind w:right="693" w:firstLine="420" w:firstLineChars="200"/>
              <w:rPr>
                <w:sz w:val="21"/>
              </w:rPr>
            </w:pPr>
          </w:p>
          <w:p>
            <w:pPr>
              <w:pStyle w:val="36"/>
              <w:ind w:right="693" w:firstLine="420" w:firstLineChars="200"/>
              <w:rPr>
                <w:sz w:val="21"/>
              </w:rPr>
            </w:pPr>
            <w:r>
              <w:rPr>
                <w:sz w:val="21"/>
              </w:rPr>
              <w:t>2.2.3</w:t>
            </w:r>
          </w:p>
        </w:tc>
        <w:tc>
          <w:tcPr>
            <w:tcW w:w="3403" w:type="dxa"/>
          </w:tcPr>
          <w:p>
            <w:pPr>
              <w:pStyle w:val="36"/>
              <w:rPr>
                <w:b/>
                <w:sz w:val="20"/>
              </w:rPr>
            </w:pPr>
          </w:p>
          <w:p>
            <w:pPr>
              <w:pStyle w:val="36"/>
              <w:rPr>
                <w:b/>
                <w:sz w:val="20"/>
              </w:rPr>
            </w:pPr>
          </w:p>
          <w:p>
            <w:pPr>
              <w:pStyle w:val="36"/>
              <w:spacing w:before="8"/>
              <w:rPr>
                <w:b/>
                <w:sz w:val="27"/>
              </w:rPr>
            </w:pPr>
          </w:p>
          <w:p>
            <w:pPr>
              <w:pStyle w:val="36"/>
              <w:jc w:val="center"/>
              <w:rPr>
                <w:color w:val="FF0000"/>
              </w:rPr>
            </w:pPr>
          </w:p>
          <w:p>
            <w:pPr>
              <w:pStyle w:val="36"/>
              <w:jc w:val="center"/>
            </w:pPr>
          </w:p>
          <w:p>
            <w:pPr>
              <w:pStyle w:val="36"/>
              <w:jc w:val="center"/>
            </w:pPr>
          </w:p>
          <w:p>
            <w:pPr>
              <w:pStyle w:val="36"/>
              <w:jc w:val="center"/>
            </w:pPr>
          </w:p>
          <w:p>
            <w:pPr>
              <w:pStyle w:val="36"/>
              <w:jc w:val="center"/>
              <w:rPr>
                <w:b/>
                <w:sz w:val="20"/>
              </w:rPr>
            </w:pPr>
            <w:r>
              <w:rPr>
                <w:rFonts w:hint="eastAsia"/>
              </w:rPr>
              <w:t>报价得分</w:t>
            </w:r>
            <w:r>
              <w:rPr>
                <w:rFonts w:hint="eastAsia"/>
                <w:color w:val="FF0000"/>
              </w:rPr>
              <w:t xml:space="preserve"> </w:t>
            </w:r>
            <w:r>
              <w:rPr>
                <w:sz w:val="21"/>
              </w:rPr>
              <w:t>（</w:t>
            </w:r>
            <w:r>
              <w:rPr>
                <w:rFonts w:hint="eastAsia"/>
                <w:sz w:val="21"/>
              </w:rPr>
              <w:t>22</w:t>
            </w:r>
            <w:r>
              <w:rPr>
                <w:sz w:val="21"/>
              </w:rPr>
              <w:t xml:space="preserve"> 分）</w:t>
            </w:r>
          </w:p>
          <w:p>
            <w:pPr>
              <w:pStyle w:val="36"/>
              <w:spacing w:before="170"/>
              <w:ind w:left="89" w:right="83"/>
              <w:jc w:val="center"/>
              <w:rPr>
                <w:sz w:val="21"/>
              </w:rPr>
            </w:pPr>
          </w:p>
        </w:tc>
        <w:tc>
          <w:tcPr>
            <w:tcW w:w="5387" w:type="dxa"/>
          </w:tcPr>
          <w:p>
            <w:pPr>
              <w:snapToGrid w:val="0"/>
              <w:spacing w:line="312" w:lineRule="auto"/>
              <w:ind w:firstLine="440" w:firstLineChars="200"/>
              <w:rPr>
                <w:szCs w:val="21"/>
              </w:rPr>
            </w:pPr>
            <w:r>
              <w:rPr>
                <w:rFonts w:hint="eastAsia"/>
                <w:szCs w:val="21"/>
              </w:rPr>
              <w:t>评标委员会按照最接近评标基准价的顺序进行排序（若出现投标报价与评标基准价的差值的绝对值相同的则投标报价较低的排前；若出现投标报价相同的，则由评标委员会抽签确定排名）。商务得分折算公式如下：</w:t>
            </w:r>
          </w:p>
          <w:p>
            <w:pPr>
              <w:snapToGrid w:val="0"/>
              <w:ind w:firstLine="440" w:firstLineChars="200"/>
              <w:rPr>
                <w:szCs w:val="21"/>
              </w:rPr>
            </w:pPr>
            <w:r>
              <w:rPr>
                <w:rFonts w:hint="eastAsia"/>
                <w:szCs w:val="21"/>
              </w:rPr>
              <w:t>S=</w:t>
            </w:r>
            <w:r>
              <w:rPr>
                <w:rFonts w:hint="eastAsia"/>
                <w:position w:val="-24"/>
                <w:szCs w:val="21"/>
              </w:rPr>
              <w:object>
                <v:shape id="_x0000_i1026" o:spt="75" type="#_x0000_t75" style="height:33.75pt;width:81.7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hint="eastAsia"/>
                <w:szCs w:val="21"/>
              </w:rPr>
              <w:t xml:space="preserve"> </w:t>
            </w:r>
          </w:p>
          <w:p>
            <w:pPr>
              <w:snapToGrid w:val="0"/>
              <w:ind w:firstLine="440" w:firstLineChars="200"/>
              <w:rPr>
                <w:szCs w:val="21"/>
              </w:rPr>
            </w:pPr>
            <w:r>
              <w:rPr>
                <w:rFonts w:hint="eastAsia"/>
                <w:szCs w:val="21"/>
              </w:rPr>
              <w:t>S—商务标得分；</w:t>
            </w:r>
          </w:p>
          <w:p>
            <w:pPr>
              <w:snapToGrid w:val="0"/>
              <w:ind w:firstLine="440" w:firstLineChars="200"/>
              <w:rPr>
                <w:szCs w:val="21"/>
              </w:rPr>
            </w:pPr>
            <w:r>
              <w:rPr>
                <w:rFonts w:hint="eastAsia"/>
                <w:szCs w:val="21"/>
              </w:rPr>
              <w:t>B—投标人的投标报价；</w:t>
            </w:r>
          </w:p>
          <w:p>
            <w:pPr>
              <w:snapToGrid w:val="0"/>
              <w:ind w:firstLine="440" w:firstLineChars="200"/>
              <w:rPr>
                <w:szCs w:val="21"/>
              </w:rPr>
            </w:pPr>
            <w:r>
              <w:rPr>
                <w:rFonts w:hint="eastAsia"/>
                <w:szCs w:val="21"/>
              </w:rPr>
              <w:t>A—评标基准价；</w:t>
            </w:r>
          </w:p>
          <w:p>
            <w:pPr>
              <w:pStyle w:val="36"/>
              <w:tabs>
                <w:tab w:val="left" w:pos="4819"/>
              </w:tabs>
              <w:spacing w:before="4" w:line="242" w:lineRule="auto"/>
              <w:ind w:right="851"/>
              <w:rPr>
                <w:sz w:val="21"/>
              </w:rPr>
            </w:pPr>
            <w:r>
              <w:rPr>
                <w:rFonts w:hint="eastAsia"/>
                <w:szCs w:val="21"/>
              </w:rPr>
              <w:t>投标人商务标得分最低分为0分，取值保留到小数点后四位；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1847" w:type="dxa"/>
            <w:gridSpan w:val="3"/>
          </w:tcPr>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rPr>
                <w:b/>
                <w:sz w:val="20"/>
              </w:rPr>
            </w:pPr>
          </w:p>
          <w:p>
            <w:pPr>
              <w:pStyle w:val="36"/>
              <w:ind w:right="693" w:firstLine="420" w:firstLineChars="200"/>
              <w:rPr>
                <w:sz w:val="21"/>
              </w:rPr>
            </w:pPr>
            <w:r>
              <w:rPr>
                <w:rFonts w:hint="eastAsia"/>
                <w:sz w:val="21"/>
              </w:rPr>
              <w:t>2.2.4</w:t>
            </w:r>
          </w:p>
          <w:p>
            <w:pPr>
              <w:pStyle w:val="36"/>
              <w:rPr>
                <w:b/>
                <w:sz w:val="20"/>
              </w:rPr>
            </w:pPr>
          </w:p>
        </w:tc>
        <w:tc>
          <w:tcPr>
            <w:tcW w:w="3403" w:type="dxa"/>
          </w:tcPr>
          <w:p>
            <w:pPr>
              <w:pStyle w:val="36"/>
              <w:rPr>
                <w:b/>
              </w:rPr>
            </w:pPr>
          </w:p>
          <w:p>
            <w:pPr>
              <w:pStyle w:val="36"/>
              <w:rPr>
                <w:b/>
              </w:rPr>
            </w:pPr>
          </w:p>
          <w:p>
            <w:pPr>
              <w:pStyle w:val="36"/>
              <w:rPr>
                <w:b/>
              </w:rPr>
            </w:pPr>
          </w:p>
          <w:p>
            <w:pPr>
              <w:pStyle w:val="36"/>
              <w:rPr>
                <w:b/>
              </w:rPr>
            </w:pPr>
          </w:p>
          <w:p>
            <w:pPr>
              <w:pStyle w:val="36"/>
              <w:rPr>
                <w:b/>
              </w:rPr>
            </w:pPr>
          </w:p>
          <w:p>
            <w:pPr>
              <w:pStyle w:val="36"/>
              <w:spacing w:before="10"/>
              <w:rPr>
                <w:b/>
              </w:rPr>
            </w:pPr>
          </w:p>
          <w:p>
            <w:pPr>
              <w:pStyle w:val="36"/>
              <w:ind w:left="89" w:right="83"/>
              <w:jc w:val="center"/>
              <w:rPr>
                <w:sz w:val="21"/>
              </w:rPr>
            </w:pPr>
            <w:r>
              <w:rPr>
                <w:sz w:val="21"/>
              </w:rPr>
              <w:t>信用得分（</w:t>
            </w:r>
            <w:r>
              <w:rPr>
                <w:rFonts w:hint="eastAsia" w:ascii="Times New Roman" w:eastAsiaTheme="minorEastAsia"/>
                <w:sz w:val="21"/>
              </w:rPr>
              <w:t>8</w:t>
            </w:r>
            <w:r>
              <w:rPr>
                <w:sz w:val="21"/>
              </w:rPr>
              <w:t>分）</w:t>
            </w:r>
          </w:p>
          <w:p>
            <w:pPr>
              <w:jc w:val="center"/>
              <w:rPr>
                <w:sz w:val="21"/>
              </w:rPr>
            </w:pPr>
            <w:r>
              <w:rPr>
                <w:rFonts w:hint="eastAsia"/>
                <w:sz w:val="21"/>
              </w:rPr>
              <w:t>（信用因素评审</w:t>
            </w:r>
          </w:p>
          <w:p>
            <w:pPr>
              <w:pStyle w:val="36"/>
              <w:ind w:left="89" w:right="83"/>
              <w:jc w:val="center"/>
              <w:rPr>
                <w:sz w:val="21"/>
              </w:rPr>
            </w:pPr>
            <w:r>
              <w:rPr>
                <w:rFonts w:hint="eastAsia"/>
                <w:sz w:val="21"/>
              </w:rPr>
              <w:t>适用于正式投标人少于15家（含）的、工程招标控制价在300万元（含）及以上项目。正式投标人多于15家（不含）的或工程招标控制价在300万元（不含）以下的项目，评标不应用信用因素）</w:t>
            </w:r>
          </w:p>
        </w:tc>
        <w:tc>
          <w:tcPr>
            <w:tcW w:w="5387" w:type="dxa"/>
          </w:tcPr>
          <w:p>
            <w:pPr>
              <w:pStyle w:val="36"/>
              <w:spacing w:before="25"/>
              <w:rPr>
                <w:sz w:val="21"/>
              </w:rPr>
            </w:pPr>
            <w:r>
              <w:rPr>
                <w:sz w:val="21"/>
              </w:rPr>
              <w:t>信用因素评审按以下原则计算：</w:t>
            </w:r>
          </w:p>
          <w:p>
            <w:r>
              <w:rPr>
                <w:rFonts w:hint="eastAsia"/>
              </w:rPr>
              <w:t>信用因素评审按以下原则计算</w:t>
            </w:r>
          </w:p>
          <w:p>
            <w:r>
              <w:rPr>
                <w:rFonts w:hint="eastAsia"/>
              </w:rPr>
              <w:t>1、根据《江门市住房和城乡建设局关于江</w:t>
            </w:r>
            <w:r>
              <w:t>门市建筑业企业信用评价</w:t>
            </w:r>
            <w:r>
              <w:rPr>
                <w:rFonts w:hint="eastAsia"/>
              </w:rPr>
              <w:t>标准》（试行）的规定，企业信用等级和信用分以开标当天凌晨</w:t>
            </w:r>
            <w:r>
              <w:t>一时</w:t>
            </w:r>
            <w:r>
              <w:rPr>
                <w:rFonts w:hint="eastAsia"/>
              </w:rPr>
              <w:t>江门市建筑业企业信用管理信息系统公布的信用等级为准，随后无论出现何种情形，均不作调整。</w:t>
            </w:r>
          </w:p>
          <w:p>
            <w:r>
              <w:rPr>
                <w:rFonts w:hint="eastAsia"/>
              </w:rPr>
              <w:t>2、根据江建〔2017〕521号文精神，以联合体投标的，联合体投标人企业信用得分＝主办方企业信用得分×80%＋其它各方企业信用得分的算术平均×20%。</w:t>
            </w:r>
          </w:p>
          <w:p>
            <w:r>
              <w:rPr>
                <w:rFonts w:hint="eastAsia"/>
              </w:rPr>
              <w:t>3、根据《江门市住房和城乡建设局关于江门市建筑业企业信用管理评价标准（试行）》（江建〔201</w:t>
            </w:r>
            <w:r>
              <w:t>7</w:t>
            </w:r>
            <w:r>
              <w:rPr>
                <w:rFonts w:hint="eastAsia"/>
              </w:rPr>
              <w:t>〕476号）的精神，持有总承包资质的建筑业企业，在参与专业工程的招标投标活动时，其信用评价分为当天凌晨公布的分数乘以0.80后的加权分，以加权后的评价分重新排序信用等级。</w:t>
            </w:r>
          </w:p>
          <w:p>
            <w:r>
              <w:rPr>
                <w:rFonts w:hint="eastAsia"/>
              </w:rPr>
              <w:t>4、（1）只允许施工总承包资质企业投标的项目，随机抽签或评审的信用等级使用“江门市建筑业企业信用管理信息系统”工程施工类显示的“等级”的信用等级。（2）只允许施工专业资质企业投标的项目，随机抽签或评审的信用等级使用“江门市建筑业企业信用管理信息系统”工程施工类显示的“加权等级”的信用等级。（3）同时允许施工总承包资质、施工专业资质企业投标的项目，随机抽签或评审的信用等级使用“江门市建筑业企业信用管理信息系统” 工程施工类显示的“加权等级”的信用等级。（4）允许施工总承包资质、施工专业资质企业组成联合体投标的项目，随机抽签的信用等级使用联合体主办方（牵头人）的“江门市建筑业企业信用管理信息系统” 工程施工类显示的“等级”的信用等级。信用因素评审中，所有联合体成员的信用等级使用“江门市建筑业企业信用管理信息系统” 工程施工类显示的“等级”信用等级。（5）</w:t>
            </w:r>
            <w:r>
              <w:rPr>
                <w:rFonts w:hint="eastAsia"/>
                <w:spacing w:val="6"/>
                <w:szCs w:val="21"/>
              </w:rPr>
              <w:t>不要求投标人具备建筑业企业资质的项目，开标、评标环节均不使用信用评价结果（信用等级）。</w:t>
            </w:r>
          </w:p>
          <w:p>
            <w:pPr>
              <w:pStyle w:val="36"/>
              <w:spacing w:line="265" w:lineRule="exact"/>
              <w:jc w:val="both"/>
              <w:rPr>
                <w:color w:val="FF0000"/>
              </w:rPr>
            </w:pPr>
            <w:r>
              <w:rPr>
                <w:rFonts w:hint="eastAsia"/>
              </w:rPr>
              <w:t>5、按照信用评价评分标准，综合信用评价为A级的正式投标人</w:t>
            </w:r>
            <w:r>
              <w:rPr>
                <w:rFonts w:hint="eastAsia"/>
                <w:szCs w:val="21"/>
              </w:rPr>
              <w:t>信用等级分</w:t>
            </w:r>
            <w:r>
              <w:rPr>
                <w:rFonts w:hint="eastAsia"/>
              </w:rPr>
              <w:t>得100分，综合信用评价为B级的正式投标人</w:t>
            </w:r>
            <w:r>
              <w:rPr>
                <w:rFonts w:hint="eastAsia"/>
                <w:szCs w:val="21"/>
              </w:rPr>
              <w:t>信用等级分</w:t>
            </w:r>
            <w:r>
              <w:rPr>
                <w:rFonts w:hint="eastAsia"/>
              </w:rPr>
              <w:t>得80分，综合信用评价为C级的正式投标人</w:t>
            </w:r>
            <w:r>
              <w:rPr>
                <w:rFonts w:hint="eastAsia"/>
                <w:szCs w:val="21"/>
              </w:rPr>
              <w:t>信用等级分</w:t>
            </w:r>
            <w:r>
              <w:rPr>
                <w:rFonts w:hint="eastAsia"/>
              </w:rPr>
              <w:t>得60分。</w:t>
            </w:r>
          </w:p>
          <w:p>
            <w:pPr>
              <w:pStyle w:val="36"/>
              <w:spacing w:line="265" w:lineRule="exact"/>
              <w:jc w:val="both"/>
              <w:rPr>
                <w:b/>
                <w:sz w:val="21"/>
              </w:rPr>
            </w:pPr>
            <w:r>
              <w:rPr>
                <w:rFonts w:hint="eastAsia"/>
                <w:b/>
                <w:sz w:val="21"/>
              </w:rPr>
              <w:t>6</w:t>
            </w:r>
            <w:r>
              <w:rPr>
                <w:b/>
                <w:sz w:val="21"/>
              </w:rPr>
              <w:t>、</w:t>
            </w:r>
            <w:r>
              <w:rPr>
                <w:b/>
                <w:sz w:val="21"/>
                <w:u w:val="single"/>
              </w:rPr>
              <w:t xml:space="preserve">当正式投标人超过 </w:t>
            </w:r>
            <w:r>
              <w:rPr>
                <w:rFonts w:ascii="Times New Roman" w:eastAsia="Times New Roman"/>
                <w:b/>
                <w:sz w:val="21"/>
                <w:u w:val="single"/>
              </w:rPr>
              <w:t xml:space="preserve">15 </w:t>
            </w:r>
            <w:r>
              <w:rPr>
                <w:b/>
                <w:sz w:val="21"/>
                <w:u w:val="single"/>
              </w:rPr>
              <w:t xml:space="preserve">家时，所有投标人信用得分均为 </w:t>
            </w:r>
            <w:r>
              <w:rPr>
                <w:rFonts w:ascii="Times New Roman" w:eastAsia="Times New Roman"/>
                <w:b/>
                <w:sz w:val="21"/>
                <w:u w:val="single"/>
              </w:rPr>
              <w:t xml:space="preserve">0 </w:t>
            </w:r>
            <w:r>
              <w:rPr>
                <w:b/>
                <w:sz w:val="21"/>
                <w:u w:val="single"/>
              </w:rPr>
              <w:t>分</w:t>
            </w:r>
            <w:r>
              <w:rPr>
                <w:b/>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spacing w:before="141"/>
              <w:ind w:right="693" w:firstLine="310" w:firstLineChars="147"/>
              <w:rPr>
                <w:b/>
                <w:sz w:val="21"/>
              </w:rPr>
            </w:pPr>
            <w:r>
              <w:rPr>
                <w:b/>
                <w:sz w:val="21"/>
              </w:rPr>
              <w:t>条款号</w:t>
            </w:r>
          </w:p>
        </w:tc>
        <w:tc>
          <w:tcPr>
            <w:tcW w:w="3403" w:type="dxa"/>
          </w:tcPr>
          <w:p>
            <w:pPr>
              <w:pStyle w:val="36"/>
              <w:spacing w:before="141"/>
              <w:ind w:left="89" w:right="80"/>
              <w:jc w:val="center"/>
              <w:rPr>
                <w:sz w:val="21"/>
              </w:rPr>
            </w:pPr>
            <w:r>
              <w:rPr>
                <w:sz w:val="21"/>
              </w:rPr>
              <w:t>评分因素（偏差率）</w:t>
            </w:r>
          </w:p>
        </w:tc>
        <w:tc>
          <w:tcPr>
            <w:tcW w:w="5387" w:type="dxa"/>
          </w:tcPr>
          <w:p>
            <w:pPr>
              <w:pStyle w:val="36"/>
              <w:spacing w:before="141"/>
              <w:ind w:left="166" w:right="158"/>
              <w:jc w:val="center"/>
              <w:rPr>
                <w:b/>
                <w:sz w:val="21"/>
              </w:rPr>
            </w:pPr>
            <w:r>
              <w:rPr>
                <w:b/>
                <w:sz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restart"/>
          </w:tcPr>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rPr>
                <w:b/>
                <w:sz w:val="21"/>
              </w:rPr>
            </w:pPr>
            <w:r>
              <w:rPr>
                <w:rFonts w:hint="eastAsia"/>
                <w:sz w:val="21"/>
              </w:rPr>
              <w:t>2.2.5（1）</w:t>
            </w:r>
          </w:p>
          <w:p>
            <w:pPr>
              <w:pStyle w:val="36"/>
              <w:spacing w:before="141"/>
              <w:ind w:right="693" w:firstLine="310" w:firstLineChars="147"/>
              <w:rPr>
                <w:b/>
                <w:sz w:val="21"/>
              </w:rPr>
            </w:pPr>
          </w:p>
          <w:p>
            <w:pPr>
              <w:pStyle w:val="36"/>
              <w:spacing w:before="141"/>
              <w:ind w:right="693" w:firstLine="310" w:firstLineChars="147"/>
              <w:rPr>
                <w:b/>
                <w:sz w:val="21"/>
              </w:rPr>
            </w:pPr>
          </w:p>
        </w:tc>
        <w:tc>
          <w:tcPr>
            <w:tcW w:w="1066" w:type="dxa"/>
            <w:gridSpan w:val="2"/>
            <w:vMerge w:val="restart"/>
          </w:tcPr>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41"/>
              <w:ind w:right="693" w:firstLine="310" w:firstLineChars="147"/>
              <w:rPr>
                <w:b/>
                <w:sz w:val="21"/>
              </w:rPr>
            </w:pPr>
          </w:p>
          <w:p>
            <w:pPr>
              <w:pStyle w:val="36"/>
              <w:spacing w:before="1" w:line="391" w:lineRule="auto"/>
              <w:ind w:left="109" w:right="100"/>
              <w:rPr>
                <w:spacing w:val="-4"/>
                <w:sz w:val="21"/>
              </w:rPr>
            </w:pPr>
            <w:r>
              <w:rPr>
                <w:spacing w:val="-4"/>
                <w:sz w:val="21"/>
              </w:rPr>
              <w:t>技术</w:t>
            </w:r>
            <w:r>
              <w:rPr>
                <w:rFonts w:hint="eastAsia"/>
                <w:spacing w:val="-4"/>
                <w:sz w:val="21"/>
              </w:rPr>
              <w:t>标评分标准</w:t>
            </w:r>
          </w:p>
          <w:p>
            <w:pPr>
              <w:pStyle w:val="36"/>
              <w:spacing w:before="141"/>
              <w:ind w:right="216"/>
              <w:rPr>
                <w:b/>
                <w:sz w:val="21"/>
              </w:rPr>
            </w:pPr>
            <w:r>
              <w:rPr>
                <w:spacing w:val="-4"/>
                <w:sz w:val="21"/>
              </w:rPr>
              <w:t>（</w:t>
            </w:r>
            <w:r>
              <w:rPr>
                <w:rFonts w:hint="eastAsia"/>
                <w:spacing w:val="-4"/>
                <w:sz w:val="21"/>
              </w:rPr>
              <w:t>30分）</w:t>
            </w:r>
          </w:p>
        </w:tc>
        <w:tc>
          <w:tcPr>
            <w:tcW w:w="3403" w:type="dxa"/>
            <w:vAlign w:val="center"/>
          </w:tcPr>
          <w:p>
            <w:pPr>
              <w:snapToGrid w:val="0"/>
              <w:jc w:val="center"/>
              <w:rPr>
                <w:szCs w:val="21"/>
              </w:rPr>
            </w:pPr>
            <w:r>
              <w:rPr>
                <w:rFonts w:hint="eastAsia"/>
                <w:szCs w:val="21"/>
              </w:rPr>
              <w:t>总平面规划（4分）</w:t>
            </w:r>
          </w:p>
        </w:tc>
        <w:tc>
          <w:tcPr>
            <w:tcW w:w="5387" w:type="dxa"/>
            <w:vAlign w:val="center"/>
          </w:tcPr>
          <w:p>
            <w:pPr>
              <w:snapToGrid w:val="0"/>
              <w:rPr>
                <w:szCs w:val="21"/>
              </w:rPr>
            </w:pPr>
            <w:r>
              <w:rPr>
                <w:rFonts w:hint="eastAsia"/>
                <w:b/>
                <w:szCs w:val="21"/>
              </w:rPr>
              <w:t>优：</w:t>
            </w:r>
            <w:r>
              <w:rPr>
                <w:rFonts w:hint="eastAsia"/>
                <w:szCs w:val="21"/>
              </w:rPr>
              <w:t>符合《建设规划设计要求》及设计规范，功能区域划分明确合理，平面布置疏密适宜，环境环保有机结合。得3.9-4 分</w:t>
            </w:r>
          </w:p>
          <w:p>
            <w:pPr>
              <w:snapToGrid w:val="0"/>
              <w:rPr>
                <w:szCs w:val="21"/>
              </w:rPr>
            </w:pPr>
            <w:r>
              <w:rPr>
                <w:rFonts w:hint="eastAsia"/>
                <w:b/>
                <w:szCs w:val="21"/>
              </w:rPr>
              <w:t>良：</w:t>
            </w:r>
            <w:r>
              <w:rPr>
                <w:rFonts w:hint="eastAsia"/>
                <w:szCs w:val="21"/>
              </w:rPr>
              <w:t>基本符合《建设规划设计要求》及设计规范，功能区域划分比较明确合理，平面布置疏密比较适宜，环境环保结合比较好。得3.7-3.8 分</w:t>
            </w:r>
          </w:p>
          <w:p>
            <w:pPr>
              <w:snapToGrid w:val="0"/>
              <w:rPr>
                <w:szCs w:val="21"/>
              </w:rPr>
            </w:pPr>
            <w:r>
              <w:rPr>
                <w:rFonts w:hint="eastAsia"/>
                <w:b/>
                <w:szCs w:val="21"/>
              </w:rPr>
              <w:t>中：</w:t>
            </w:r>
            <w:r>
              <w:rPr>
                <w:rFonts w:hint="eastAsia"/>
                <w:szCs w:val="21"/>
              </w:rPr>
              <w:t>基本符合《建设规划设计要求》及设计规范，功能区域划分基本合理，平面布置疏密基本适宜，能基本结合环境环保进行设计。得3.5-3.6分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立意构思（3分）</w:t>
            </w:r>
          </w:p>
        </w:tc>
        <w:tc>
          <w:tcPr>
            <w:tcW w:w="5387" w:type="dxa"/>
            <w:vAlign w:val="center"/>
          </w:tcPr>
          <w:p>
            <w:pPr>
              <w:snapToGrid w:val="0"/>
              <w:rPr>
                <w:szCs w:val="21"/>
              </w:rPr>
            </w:pPr>
            <w:r>
              <w:rPr>
                <w:rFonts w:hint="eastAsia"/>
                <w:b/>
                <w:szCs w:val="21"/>
              </w:rPr>
              <w:t>优：</w:t>
            </w:r>
            <w:r>
              <w:rPr>
                <w:rFonts w:hint="eastAsia"/>
                <w:szCs w:val="21"/>
              </w:rPr>
              <w:t>构思新颖，立意独特，寓意深刻，特点鲜明，富有创意。得2.9-3 分</w:t>
            </w:r>
          </w:p>
          <w:p>
            <w:pPr>
              <w:snapToGrid w:val="0"/>
              <w:rPr>
                <w:szCs w:val="21"/>
              </w:rPr>
            </w:pPr>
            <w:r>
              <w:rPr>
                <w:rFonts w:hint="eastAsia"/>
                <w:b/>
                <w:szCs w:val="21"/>
              </w:rPr>
              <w:t>良：</w:t>
            </w:r>
            <w:r>
              <w:rPr>
                <w:rFonts w:hint="eastAsia"/>
                <w:szCs w:val="21"/>
              </w:rPr>
              <w:t>构思比较有新意，特点比较鲜明，比较有创意。得2.7-2.8 分</w:t>
            </w:r>
          </w:p>
          <w:p>
            <w:pPr>
              <w:snapToGrid w:val="0"/>
              <w:rPr>
                <w:szCs w:val="21"/>
              </w:rPr>
            </w:pPr>
            <w:r>
              <w:rPr>
                <w:rFonts w:hint="eastAsia"/>
                <w:b/>
                <w:szCs w:val="21"/>
              </w:rPr>
              <w:t>中：</w:t>
            </w:r>
            <w:r>
              <w:rPr>
                <w:rFonts w:hint="eastAsia"/>
                <w:szCs w:val="21"/>
              </w:rPr>
              <w:t>构思有一定新意，立意有一定特点，设计有一定创新。得2.5-2.6分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功能实用（3分）</w:t>
            </w:r>
          </w:p>
        </w:tc>
        <w:tc>
          <w:tcPr>
            <w:tcW w:w="5387" w:type="dxa"/>
            <w:vAlign w:val="center"/>
          </w:tcPr>
          <w:p>
            <w:pPr>
              <w:adjustRightInd w:val="0"/>
              <w:rPr>
                <w:rFonts w:hAnsi="Calibri"/>
                <w:szCs w:val="21"/>
              </w:rPr>
            </w:pPr>
            <w:r>
              <w:rPr>
                <w:rFonts w:hint="eastAsia"/>
                <w:b/>
                <w:szCs w:val="21"/>
              </w:rPr>
              <w:t>优：</w:t>
            </w:r>
            <w:r>
              <w:rPr>
                <w:rFonts w:hint="eastAsia" w:hAnsi="Calibri"/>
                <w:szCs w:val="21"/>
              </w:rPr>
              <w:t>符合招标项目性质要求的设计规范，建筑使用功能设计合理，使用内容设计完整无遗漏，建筑总面积和单项面积符合标书和功能要求。</w:t>
            </w:r>
            <w:r>
              <w:rPr>
                <w:rFonts w:hint="eastAsia"/>
                <w:szCs w:val="21"/>
              </w:rPr>
              <w:t>得2.9-3 分</w:t>
            </w:r>
          </w:p>
          <w:p>
            <w:pPr>
              <w:adjustRightInd w:val="0"/>
              <w:rPr>
                <w:rFonts w:hAnsi="Calibri"/>
                <w:szCs w:val="21"/>
              </w:rPr>
            </w:pPr>
            <w:r>
              <w:rPr>
                <w:rFonts w:hint="eastAsia"/>
                <w:b/>
                <w:szCs w:val="21"/>
              </w:rPr>
              <w:t>良：</w:t>
            </w:r>
            <w:r>
              <w:rPr>
                <w:rFonts w:hint="eastAsia" w:hAnsi="Calibri"/>
                <w:szCs w:val="21"/>
              </w:rPr>
              <w:t>符合招标项目性质要求的设计规范，建筑使用功能设计比较合理，使用内容设计比较完整无遗漏，建筑总面积和单项面积符合标书和功能要求。</w:t>
            </w:r>
            <w:r>
              <w:rPr>
                <w:rFonts w:hint="eastAsia"/>
                <w:szCs w:val="21"/>
              </w:rPr>
              <w:t>得2.7-2.8 分</w:t>
            </w:r>
          </w:p>
          <w:p>
            <w:pPr>
              <w:adjustRightInd w:val="0"/>
              <w:rPr>
                <w:rFonts w:hAnsi="Calibri"/>
                <w:szCs w:val="21"/>
              </w:rPr>
            </w:pPr>
            <w:r>
              <w:rPr>
                <w:rFonts w:hint="eastAsia"/>
                <w:b/>
                <w:szCs w:val="21"/>
              </w:rPr>
              <w:t>中：</w:t>
            </w:r>
            <w:r>
              <w:rPr>
                <w:rFonts w:hint="eastAsia" w:hAnsi="Calibri"/>
                <w:szCs w:val="21"/>
              </w:rPr>
              <w:t>基本符合招标项目性质要求的设计规范，建筑使用功能设计基本合理，使用内容设计基本完整无遗漏，建筑总面积和单项面积基本符合标书和功能要求。</w:t>
            </w:r>
            <w:r>
              <w:rPr>
                <w:rFonts w:hint="eastAsia"/>
                <w:szCs w:val="21"/>
              </w:rPr>
              <w:t>得2.5-2.6分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美观协调（3分）</w:t>
            </w:r>
          </w:p>
        </w:tc>
        <w:tc>
          <w:tcPr>
            <w:tcW w:w="5387" w:type="dxa"/>
            <w:vAlign w:val="center"/>
          </w:tcPr>
          <w:p>
            <w:pPr>
              <w:adjustRightInd w:val="0"/>
              <w:rPr>
                <w:rFonts w:hAnsi="Calibri"/>
                <w:szCs w:val="21"/>
              </w:rPr>
            </w:pPr>
            <w:r>
              <w:rPr>
                <w:rFonts w:hint="eastAsia"/>
                <w:b/>
                <w:szCs w:val="21"/>
              </w:rPr>
              <w:t>优：</w:t>
            </w:r>
            <w:r>
              <w:rPr>
                <w:rFonts w:hint="eastAsia" w:hAnsi="Calibri"/>
                <w:szCs w:val="21"/>
              </w:rPr>
              <w:t>符合招标项目性质要求的建筑特性和建筑韵律美，美观与环境巧妙结合，精致与大气溶为一体，建筑风格与所处的自然环境、景观协调。</w:t>
            </w:r>
          </w:p>
          <w:p>
            <w:pPr>
              <w:adjustRightInd w:val="0"/>
              <w:rPr>
                <w:rFonts w:hAnsi="Calibri"/>
                <w:szCs w:val="21"/>
              </w:rPr>
            </w:pPr>
            <w:r>
              <w:rPr>
                <w:rFonts w:hint="eastAsia"/>
                <w:szCs w:val="21"/>
              </w:rPr>
              <w:t>得2.9-3 分</w:t>
            </w:r>
          </w:p>
          <w:p>
            <w:pPr>
              <w:adjustRightInd w:val="0"/>
              <w:rPr>
                <w:rFonts w:hAnsi="Calibri"/>
                <w:szCs w:val="21"/>
              </w:rPr>
            </w:pPr>
            <w:r>
              <w:rPr>
                <w:rFonts w:hint="eastAsia"/>
                <w:b/>
                <w:szCs w:val="21"/>
              </w:rPr>
              <w:t>良：</w:t>
            </w:r>
            <w:r>
              <w:rPr>
                <w:rFonts w:hint="eastAsia" w:hAnsi="Calibri"/>
                <w:szCs w:val="21"/>
              </w:rPr>
              <w:t>符合招标项目性质要求的建筑特性，美观与环境结合得比较好，风格与所处的自然环境、景观比较协调。</w:t>
            </w:r>
            <w:r>
              <w:rPr>
                <w:rFonts w:hint="eastAsia"/>
                <w:szCs w:val="21"/>
              </w:rPr>
              <w:t>得2.7-2.8 分</w:t>
            </w:r>
          </w:p>
          <w:p>
            <w:pPr>
              <w:adjustRightInd w:val="0"/>
              <w:rPr>
                <w:rFonts w:hAnsi="Calibri"/>
                <w:szCs w:val="21"/>
              </w:rPr>
            </w:pPr>
            <w:r>
              <w:rPr>
                <w:rFonts w:hint="eastAsia"/>
                <w:b/>
                <w:szCs w:val="21"/>
              </w:rPr>
              <w:t>中：</w:t>
            </w:r>
            <w:r>
              <w:rPr>
                <w:rFonts w:hint="eastAsia" w:hAnsi="Calibri"/>
                <w:szCs w:val="21"/>
              </w:rPr>
              <w:t>基本符合招标项目性质要求的建筑特性，美观与环境能够结合，风格与所处的自然环境、景观基本协调。</w:t>
            </w:r>
            <w:r>
              <w:rPr>
                <w:rFonts w:hint="eastAsia"/>
                <w:szCs w:val="21"/>
              </w:rPr>
              <w:t>得2.5-2.6分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经济适度（3分）</w:t>
            </w:r>
          </w:p>
        </w:tc>
        <w:tc>
          <w:tcPr>
            <w:tcW w:w="5387" w:type="dxa"/>
            <w:vAlign w:val="center"/>
          </w:tcPr>
          <w:p>
            <w:pPr>
              <w:adjustRightInd w:val="0"/>
              <w:rPr>
                <w:rFonts w:hAnsi="Calibri"/>
                <w:szCs w:val="21"/>
              </w:rPr>
            </w:pPr>
            <w:r>
              <w:rPr>
                <w:rFonts w:hint="eastAsia"/>
                <w:b/>
                <w:szCs w:val="21"/>
              </w:rPr>
              <w:t>优：</w:t>
            </w:r>
            <w:r>
              <w:rPr>
                <w:rFonts w:hint="eastAsia" w:hAnsi="Calibri"/>
                <w:szCs w:val="21"/>
              </w:rPr>
              <w:t>设计方案具有可实施性，各类经济技术指标、总估算符合实际情况，满足标书规定，投资及投标方案匹配。</w:t>
            </w:r>
            <w:r>
              <w:rPr>
                <w:rFonts w:hint="eastAsia"/>
                <w:szCs w:val="21"/>
              </w:rPr>
              <w:t>得2.9-3 分</w:t>
            </w:r>
          </w:p>
          <w:p>
            <w:pPr>
              <w:adjustRightInd w:val="0"/>
              <w:rPr>
                <w:rFonts w:hAnsi="Calibri"/>
                <w:szCs w:val="21"/>
              </w:rPr>
            </w:pPr>
            <w:r>
              <w:rPr>
                <w:rFonts w:hint="eastAsia"/>
                <w:b/>
                <w:szCs w:val="21"/>
              </w:rPr>
              <w:t>良：</w:t>
            </w:r>
            <w:r>
              <w:rPr>
                <w:rFonts w:hint="eastAsia" w:hAnsi="Calibri"/>
                <w:szCs w:val="21"/>
              </w:rPr>
              <w:t>设计方案具有可实施性，各类经济技术指标、总估算比较符合实际情况，与标书规定比较一致，投资及投标方案比较匹配。</w:t>
            </w:r>
            <w:r>
              <w:rPr>
                <w:rFonts w:hint="eastAsia"/>
                <w:szCs w:val="21"/>
              </w:rPr>
              <w:t>得2.7-2.8 分</w:t>
            </w:r>
          </w:p>
          <w:p>
            <w:pPr>
              <w:adjustRightInd w:val="0"/>
              <w:rPr>
                <w:rFonts w:hAnsi="Calibri"/>
                <w:szCs w:val="21"/>
              </w:rPr>
            </w:pPr>
            <w:r>
              <w:rPr>
                <w:rFonts w:hint="eastAsia"/>
                <w:b/>
                <w:szCs w:val="21"/>
              </w:rPr>
              <w:t>中：</w:t>
            </w:r>
            <w:r>
              <w:rPr>
                <w:rFonts w:hint="eastAsia" w:hAnsi="Calibri"/>
                <w:szCs w:val="21"/>
              </w:rPr>
              <w:t>设计方案基本可操作，各类经济技术指标、总估算基本符合实际情况，与标书规定基本一致，投资及投标方案基本匹配。</w:t>
            </w:r>
            <w:r>
              <w:rPr>
                <w:rFonts w:hint="eastAsia"/>
                <w:szCs w:val="21"/>
              </w:rPr>
              <w:t>得2.5-2.6分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成果表达（4分）</w:t>
            </w:r>
          </w:p>
        </w:tc>
        <w:tc>
          <w:tcPr>
            <w:tcW w:w="5387" w:type="dxa"/>
            <w:vAlign w:val="center"/>
          </w:tcPr>
          <w:p>
            <w:pPr>
              <w:snapToGrid w:val="0"/>
              <w:rPr>
                <w:szCs w:val="21"/>
              </w:rPr>
            </w:pPr>
            <w:r>
              <w:rPr>
                <w:rFonts w:hint="eastAsia"/>
                <w:b/>
                <w:szCs w:val="21"/>
              </w:rPr>
              <w:t>优：</w:t>
            </w:r>
            <w:r>
              <w:rPr>
                <w:rFonts w:hint="eastAsia"/>
                <w:szCs w:val="21"/>
              </w:rPr>
              <w:t>设计文件符合招标文件的要求；设计文件与效果图内容完整，说明、表达正确。得3.9-4分</w:t>
            </w:r>
          </w:p>
          <w:p>
            <w:pPr>
              <w:snapToGrid w:val="0"/>
              <w:rPr>
                <w:szCs w:val="21"/>
              </w:rPr>
            </w:pPr>
            <w:r>
              <w:rPr>
                <w:rFonts w:hint="eastAsia"/>
                <w:b/>
                <w:szCs w:val="21"/>
              </w:rPr>
              <w:t>良：</w:t>
            </w:r>
            <w:r>
              <w:rPr>
                <w:rFonts w:hint="eastAsia"/>
                <w:szCs w:val="21"/>
              </w:rPr>
              <w:t>设计文件符合招标文件的要求；设计图纸与效果图内容比较完整，说明、表达比较正确。得3.7-3.8 分</w:t>
            </w:r>
          </w:p>
          <w:p>
            <w:pPr>
              <w:snapToGrid w:val="0"/>
              <w:rPr>
                <w:szCs w:val="21"/>
              </w:rPr>
            </w:pPr>
            <w:r>
              <w:rPr>
                <w:rFonts w:hint="eastAsia"/>
                <w:b/>
                <w:szCs w:val="21"/>
              </w:rPr>
              <w:t>中：</w:t>
            </w:r>
            <w:r>
              <w:rPr>
                <w:rFonts w:hint="eastAsia"/>
                <w:szCs w:val="21"/>
              </w:rPr>
              <w:t>设计文件符合招标文件的要求；设计图纸与效果图内容基本完整，说明、表达基本正确。得3.5-3.6分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5"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t>施工方案</w:t>
            </w:r>
            <w:r>
              <w:rPr>
                <w:szCs w:val="21"/>
              </w:rPr>
              <w:t>（2分）</w:t>
            </w:r>
          </w:p>
        </w:tc>
        <w:tc>
          <w:tcPr>
            <w:tcW w:w="5387" w:type="dxa"/>
            <w:shd w:val="clear" w:color="auto" w:fill="auto"/>
            <w:vAlign w:val="center"/>
          </w:tcPr>
          <w:p>
            <w:pPr>
              <w:snapToGrid w:val="0"/>
            </w:pPr>
            <w:r>
              <w:t>施工方案总体思路清晰、施工各阶段项目实施计划节点清晰、 划分合理、衔接顺畅、切实可行。</w:t>
            </w:r>
          </w:p>
          <w:p>
            <w:pPr>
              <w:snapToGrid w:val="0"/>
              <w:rPr>
                <w:szCs w:val="21"/>
              </w:rPr>
            </w:pPr>
            <w:r>
              <w:rPr>
                <w:rFonts w:hint="eastAsia"/>
                <w:b/>
                <w:szCs w:val="21"/>
              </w:rPr>
              <w:t>优：</w:t>
            </w:r>
            <w:r>
              <w:rPr>
                <w:rFonts w:hint="eastAsia"/>
                <w:szCs w:val="21"/>
              </w:rPr>
              <w:t>〔</w:t>
            </w:r>
            <w:r>
              <w:rPr>
                <w:szCs w:val="21"/>
              </w:rPr>
              <w:t>1.4-2.0〕含 1.4 分； </w:t>
            </w:r>
          </w:p>
          <w:p>
            <w:pPr>
              <w:snapToGrid w:val="0"/>
              <w:rPr>
                <w:szCs w:val="21"/>
              </w:rPr>
            </w:pPr>
            <w:r>
              <w:rPr>
                <w:rFonts w:hint="eastAsia"/>
                <w:b/>
                <w:szCs w:val="21"/>
              </w:rPr>
              <w:t>良</w:t>
            </w:r>
            <w:r>
              <w:rPr>
                <w:rFonts w:hint="eastAsia"/>
                <w:szCs w:val="21"/>
              </w:rPr>
              <w:t>：〔</w:t>
            </w:r>
            <w:r>
              <w:rPr>
                <w:szCs w:val="21"/>
              </w:rPr>
              <w:t>0.8-1.4〕含 0.8 分；</w:t>
            </w:r>
          </w:p>
          <w:p>
            <w:pPr>
              <w:snapToGrid w:val="0"/>
              <w:rPr>
                <w:b/>
                <w:szCs w:val="21"/>
                <w:highlight w:val="yellow"/>
              </w:rPr>
            </w:pPr>
            <w:r>
              <w:rPr>
                <w:rFonts w:hint="eastAsia"/>
                <w:b/>
                <w:szCs w:val="21"/>
              </w:rPr>
              <w:t>中</w:t>
            </w:r>
            <w:r>
              <w:rPr>
                <w:rFonts w:hint="eastAsia"/>
                <w:szCs w:val="21"/>
              </w:rPr>
              <w:t>：〔</w:t>
            </w:r>
            <w:r>
              <w:rPr>
                <w:szCs w:val="21"/>
              </w:rPr>
              <w:t>0-0.8〕含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施工组织设</w:t>
            </w:r>
            <w:r>
              <w:rPr>
                <w:szCs w:val="21"/>
              </w:rPr>
              <w:t>计（2分）</w:t>
            </w:r>
          </w:p>
        </w:tc>
        <w:tc>
          <w:tcPr>
            <w:tcW w:w="5387" w:type="dxa"/>
            <w:vAlign w:val="center"/>
          </w:tcPr>
          <w:p>
            <w:pPr>
              <w:snapToGrid w:val="0"/>
              <w:rPr>
                <w:szCs w:val="21"/>
              </w:rPr>
            </w:pPr>
            <w:r>
              <w:rPr>
                <w:rFonts w:hint="eastAsia"/>
                <w:szCs w:val="21"/>
              </w:rPr>
              <w:t>根据工程概况及特点编制总体施工部署；劳动力及机械、材料供应计划；分部分项工程的主要施工方法。</w:t>
            </w:r>
          </w:p>
          <w:p>
            <w:pPr>
              <w:snapToGrid w:val="0"/>
              <w:rPr>
                <w:szCs w:val="21"/>
              </w:rPr>
            </w:pPr>
            <w:r>
              <w:rPr>
                <w:rFonts w:hint="eastAsia"/>
                <w:b/>
                <w:szCs w:val="21"/>
              </w:rPr>
              <w:t>优：</w:t>
            </w:r>
            <w:r>
              <w:rPr>
                <w:rFonts w:hint="eastAsia"/>
                <w:szCs w:val="21"/>
              </w:rPr>
              <w:t>〔</w:t>
            </w:r>
            <w:r>
              <w:rPr>
                <w:szCs w:val="21"/>
              </w:rPr>
              <w:t>1.4-2.0〕含 1.4 分； </w:t>
            </w:r>
          </w:p>
          <w:p>
            <w:pPr>
              <w:snapToGrid w:val="0"/>
              <w:rPr>
                <w:szCs w:val="21"/>
              </w:rPr>
            </w:pPr>
            <w:r>
              <w:rPr>
                <w:rFonts w:hint="eastAsia"/>
                <w:b/>
                <w:szCs w:val="21"/>
              </w:rPr>
              <w:t>良</w:t>
            </w:r>
            <w:r>
              <w:rPr>
                <w:rFonts w:hint="eastAsia"/>
                <w:szCs w:val="21"/>
              </w:rPr>
              <w:t>：〔</w:t>
            </w:r>
            <w:r>
              <w:rPr>
                <w:szCs w:val="21"/>
              </w:rPr>
              <w:t>0.8-1.4〕含 0.8 分；</w:t>
            </w:r>
          </w:p>
          <w:p>
            <w:pPr>
              <w:snapToGrid w:val="0"/>
              <w:rPr>
                <w:b/>
                <w:szCs w:val="21"/>
              </w:rPr>
            </w:pPr>
            <w:r>
              <w:rPr>
                <w:rFonts w:hint="eastAsia"/>
                <w:b/>
                <w:szCs w:val="21"/>
              </w:rPr>
              <w:t>中</w:t>
            </w:r>
            <w:r>
              <w:rPr>
                <w:rFonts w:hint="eastAsia"/>
                <w:szCs w:val="21"/>
              </w:rPr>
              <w:t>：〔</w:t>
            </w:r>
            <w:r>
              <w:rPr>
                <w:szCs w:val="21"/>
              </w:rPr>
              <w:t>0-0.8〕含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施工进度计</w:t>
            </w:r>
            <w:r>
              <w:rPr>
                <w:szCs w:val="21"/>
              </w:rPr>
              <w:t>划（2分</w:t>
            </w:r>
            <w:r>
              <w:rPr>
                <w:rFonts w:hint="eastAsia"/>
                <w:szCs w:val="21"/>
              </w:rPr>
              <w:t>）</w:t>
            </w:r>
          </w:p>
        </w:tc>
        <w:tc>
          <w:tcPr>
            <w:tcW w:w="5387" w:type="dxa"/>
            <w:vAlign w:val="center"/>
          </w:tcPr>
          <w:p>
            <w:pPr>
              <w:snapToGrid w:val="0"/>
              <w:rPr>
                <w:szCs w:val="21"/>
              </w:rPr>
            </w:pPr>
            <w:r>
              <w:rPr>
                <w:rFonts w:hint="eastAsia"/>
                <w:szCs w:val="21"/>
              </w:rPr>
              <w:t>根据工程内容编制施工总进度计划；各分部工程的施工进度计划；各阶段进度计划的保证措施。</w:t>
            </w:r>
          </w:p>
          <w:p>
            <w:pPr>
              <w:snapToGrid w:val="0"/>
              <w:rPr>
                <w:szCs w:val="21"/>
              </w:rPr>
            </w:pPr>
            <w:r>
              <w:rPr>
                <w:rFonts w:hint="eastAsia"/>
                <w:b/>
                <w:szCs w:val="21"/>
              </w:rPr>
              <w:t>优</w:t>
            </w:r>
            <w:r>
              <w:rPr>
                <w:rFonts w:hint="eastAsia"/>
                <w:szCs w:val="21"/>
              </w:rPr>
              <w:t>：〔</w:t>
            </w:r>
            <w:r>
              <w:rPr>
                <w:szCs w:val="21"/>
              </w:rPr>
              <w:t>1.4-2.0〕含 1.4 分； </w:t>
            </w:r>
          </w:p>
          <w:p>
            <w:pPr>
              <w:snapToGrid w:val="0"/>
              <w:rPr>
                <w:szCs w:val="21"/>
              </w:rPr>
            </w:pPr>
            <w:r>
              <w:rPr>
                <w:rFonts w:hint="eastAsia"/>
                <w:b/>
                <w:szCs w:val="21"/>
              </w:rPr>
              <w:t>良</w:t>
            </w:r>
            <w:r>
              <w:rPr>
                <w:rFonts w:hint="eastAsia"/>
                <w:szCs w:val="21"/>
              </w:rPr>
              <w:t>：〔</w:t>
            </w:r>
            <w:r>
              <w:rPr>
                <w:szCs w:val="21"/>
              </w:rPr>
              <w:t>0.8-1.4〕含 0.8 分；</w:t>
            </w:r>
          </w:p>
          <w:p>
            <w:pPr>
              <w:snapToGrid w:val="0"/>
              <w:rPr>
                <w:b/>
                <w:szCs w:val="21"/>
              </w:rPr>
            </w:pPr>
            <w:r>
              <w:rPr>
                <w:rFonts w:hint="eastAsia"/>
                <w:b/>
                <w:szCs w:val="21"/>
              </w:rPr>
              <w:t>中</w:t>
            </w:r>
            <w:r>
              <w:rPr>
                <w:rFonts w:hint="eastAsia"/>
                <w:szCs w:val="21"/>
              </w:rPr>
              <w:t>：〔</w:t>
            </w:r>
            <w:r>
              <w:rPr>
                <w:szCs w:val="21"/>
              </w:rPr>
              <w:t>0-0.8〕含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安全、文明施工、环保措施</w:t>
            </w:r>
          </w:p>
          <w:p>
            <w:pPr>
              <w:snapToGrid w:val="0"/>
              <w:jc w:val="center"/>
              <w:rPr>
                <w:szCs w:val="21"/>
              </w:rPr>
            </w:pPr>
            <w:r>
              <w:rPr>
                <w:rFonts w:hint="eastAsia"/>
                <w:szCs w:val="21"/>
              </w:rPr>
              <w:t>（（</w:t>
            </w:r>
            <w:r>
              <w:rPr>
                <w:szCs w:val="21"/>
              </w:rPr>
              <w:t>2分</w:t>
            </w:r>
            <w:r>
              <w:rPr>
                <w:rFonts w:hint="eastAsia"/>
                <w:szCs w:val="21"/>
              </w:rPr>
              <w:t>）</w:t>
            </w:r>
          </w:p>
        </w:tc>
        <w:tc>
          <w:tcPr>
            <w:tcW w:w="5387" w:type="dxa"/>
            <w:vAlign w:val="center"/>
          </w:tcPr>
          <w:p>
            <w:pPr>
              <w:snapToGrid w:val="0"/>
              <w:rPr>
                <w:szCs w:val="21"/>
              </w:rPr>
            </w:pPr>
            <w:r>
              <w:rPr>
                <w:rFonts w:hint="eastAsia"/>
                <w:szCs w:val="21"/>
              </w:rPr>
              <w:t>安全生产管理目标；安全保证体系；安全管理制度；</w:t>
            </w:r>
            <w:r>
              <w:rPr>
                <w:szCs w:val="21"/>
              </w:rPr>
              <w:t xml:space="preserve"> 安全技术措施；安全应急救援预案；文明施工、环境保护保证体系；文明施工、环境保护管理制度；文明施工、环境保护技术措施</w:t>
            </w:r>
            <w:r>
              <w:rPr>
                <w:rFonts w:hint="eastAsia"/>
                <w:szCs w:val="21"/>
              </w:rPr>
              <w:t>。</w:t>
            </w:r>
          </w:p>
          <w:p>
            <w:pPr>
              <w:snapToGrid w:val="0"/>
              <w:rPr>
                <w:szCs w:val="21"/>
              </w:rPr>
            </w:pPr>
            <w:r>
              <w:rPr>
                <w:rFonts w:hint="eastAsia"/>
                <w:b/>
                <w:szCs w:val="21"/>
              </w:rPr>
              <w:t>优：</w:t>
            </w:r>
            <w:r>
              <w:rPr>
                <w:rFonts w:hint="eastAsia"/>
                <w:szCs w:val="21"/>
              </w:rPr>
              <w:t>〔</w:t>
            </w:r>
            <w:r>
              <w:rPr>
                <w:szCs w:val="21"/>
              </w:rPr>
              <w:t>1.4-2.0〕含 1.4 分； </w:t>
            </w:r>
          </w:p>
          <w:p>
            <w:pPr>
              <w:snapToGrid w:val="0"/>
              <w:rPr>
                <w:szCs w:val="21"/>
              </w:rPr>
            </w:pPr>
            <w:r>
              <w:rPr>
                <w:rFonts w:hint="eastAsia"/>
                <w:b/>
                <w:szCs w:val="21"/>
              </w:rPr>
              <w:t>良</w:t>
            </w:r>
            <w:r>
              <w:rPr>
                <w:rFonts w:hint="eastAsia"/>
                <w:szCs w:val="21"/>
              </w:rPr>
              <w:t>：〔</w:t>
            </w:r>
            <w:r>
              <w:rPr>
                <w:szCs w:val="21"/>
              </w:rPr>
              <w:t>0.8-1.4〕含 0.8 分；</w:t>
            </w:r>
          </w:p>
          <w:p>
            <w:pPr>
              <w:snapToGrid w:val="0"/>
              <w:rPr>
                <w:b/>
                <w:szCs w:val="21"/>
              </w:rPr>
            </w:pPr>
            <w:r>
              <w:rPr>
                <w:rFonts w:hint="eastAsia"/>
                <w:b/>
                <w:szCs w:val="21"/>
              </w:rPr>
              <w:t>中</w:t>
            </w:r>
            <w:r>
              <w:rPr>
                <w:rFonts w:hint="eastAsia"/>
                <w:szCs w:val="21"/>
              </w:rPr>
              <w:t>：〔</w:t>
            </w:r>
            <w:r>
              <w:rPr>
                <w:szCs w:val="21"/>
              </w:rPr>
              <w:t>0-0.8〕含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spacing w:before="141"/>
              <w:ind w:right="693" w:firstLine="310" w:firstLineChars="147"/>
              <w:rPr>
                <w:b/>
                <w:sz w:val="21"/>
              </w:rPr>
            </w:pPr>
          </w:p>
        </w:tc>
        <w:tc>
          <w:tcPr>
            <w:tcW w:w="3403" w:type="dxa"/>
            <w:vAlign w:val="center"/>
          </w:tcPr>
          <w:p>
            <w:pPr>
              <w:snapToGrid w:val="0"/>
              <w:jc w:val="center"/>
              <w:rPr>
                <w:szCs w:val="21"/>
              </w:rPr>
            </w:pPr>
            <w:r>
              <w:rPr>
                <w:rFonts w:hint="eastAsia"/>
                <w:szCs w:val="21"/>
              </w:rPr>
              <w:t>质量保证措施（</w:t>
            </w:r>
            <w:r>
              <w:rPr>
                <w:szCs w:val="21"/>
              </w:rPr>
              <w:t>2分）</w:t>
            </w:r>
          </w:p>
        </w:tc>
        <w:tc>
          <w:tcPr>
            <w:tcW w:w="5387" w:type="dxa"/>
            <w:vAlign w:val="center"/>
          </w:tcPr>
          <w:p>
            <w:pPr>
              <w:snapToGrid w:val="0"/>
              <w:rPr>
                <w:b/>
                <w:szCs w:val="21"/>
              </w:rPr>
            </w:pPr>
            <w:r>
              <w:rPr>
                <w:rFonts w:hint="eastAsia"/>
                <w:szCs w:val="21"/>
              </w:rPr>
              <w:t>质量管理目标；质量保证体系；质量管理制度；质量管理技术措施。</w:t>
            </w:r>
          </w:p>
          <w:p>
            <w:pPr>
              <w:snapToGrid w:val="0"/>
              <w:rPr>
                <w:szCs w:val="21"/>
              </w:rPr>
            </w:pPr>
            <w:r>
              <w:rPr>
                <w:rFonts w:hint="eastAsia"/>
                <w:b/>
                <w:szCs w:val="21"/>
              </w:rPr>
              <w:t>优</w:t>
            </w:r>
            <w:r>
              <w:rPr>
                <w:rFonts w:hint="eastAsia"/>
                <w:szCs w:val="21"/>
              </w:rPr>
              <w:t>：〔</w:t>
            </w:r>
            <w:r>
              <w:rPr>
                <w:szCs w:val="21"/>
              </w:rPr>
              <w:t>1.4-2.0〕含 1.4 分； </w:t>
            </w:r>
          </w:p>
          <w:p>
            <w:pPr>
              <w:snapToGrid w:val="0"/>
              <w:rPr>
                <w:szCs w:val="21"/>
              </w:rPr>
            </w:pPr>
            <w:r>
              <w:rPr>
                <w:rFonts w:hint="eastAsia"/>
                <w:b/>
                <w:szCs w:val="21"/>
              </w:rPr>
              <w:t>良</w:t>
            </w:r>
            <w:r>
              <w:rPr>
                <w:rFonts w:hint="eastAsia"/>
                <w:szCs w:val="21"/>
              </w:rPr>
              <w:t>：〔</w:t>
            </w:r>
            <w:r>
              <w:rPr>
                <w:szCs w:val="21"/>
              </w:rPr>
              <w:t>0.8-1.4〕含 0.8 分；</w:t>
            </w:r>
          </w:p>
          <w:p>
            <w:pPr>
              <w:snapToGrid w:val="0"/>
              <w:rPr>
                <w:b/>
                <w:szCs w:val="21"/>
              </w:rPr>
            </w:pPr>
            <w:r>
              <w:rPr>
                <w:rFonts w:hint="eastAsia"/>
                <w:b/>
                <w:szCs w:val="21"/>
              </w:rPr>
              <w:t>中</w:t>
            </w:r>
            <w:r>
              <w:rPr>
                <w:rFonts w:hint="eastAsia"/>
                <w:szCs w:val="21"/>
              </w:rPr>
              <w:t>：〔</w:t>
            </w:r>
            <w:r>
              <w:rPr>
                <w:szCs w:val="21"/>
              </w:rPr>
              <w:t>0-0.8〕含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spacing w:before="141"/>
              <w:ind w:right="693" w:firstLine="323" w:firstLineChars="147"/>
              <w:rPr>
                <w:b/>
                <w:sz w:val="21"/>
              </w:rPr>
            </w:pPr>
            <w:r>
              <w:rPr>
                <w:rFonts w:hint="eastAsia"/>
                <w:szCs w:val="21"/>
              </w:rPr>
              <w:t>条款号</w:t>
            </w:r>
          </w:p>
        </w:tc>
        <w:tc>
          <w:tcPr>
            <w:tcW w:w="3403" w:type="dxa"/>
            <w:vAlign w:val="center"/>
          </w:tcPr>
          <w:p>
            <w:pPr>
              <w:jc w:val="center"/>
              <w:rPr>
                <w:szCs w:val="21"/>
              </w:rPr>
            </w:pPr>
            <w:r>
              <w:rPr>
                <w:rFonts w:hint="eastAsia"/>
                <w:szCs w:val="21"/>
              </w:rPr>
              <w:t>评分因素</w:t>
            </w:r>
          </w:p>
        </w:tc>
        <w:tc>
          <w:tcPr>
            <w:tcW w:w="5387" w:type="dxa"/>
            <w:vAlign w:val="center"/>
          </w:tcPr>
          <w:p>
            <w:pPr>
              <w:jc w:val="center"/>
              <w:rPr>
                <w:szCs w:val="21"/>
              </w:rPr>
            </w:pPr>
            <w:r>
              <w:rPr>
                <w:rFonts w:hint="eastAsia"/>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restart"/>
          </w:tcPr>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sz w:val="21"/>
              </w:rPr>
            </w:pPr>
          </w:p>
          <w:p>
            <w:pPr>
              <w:pStyle w:val="36"/>
              <w:rPr>
                <w:b/>
                <w:sz w:val="21"/>
              </w:rPr>
            </w:pPr>
            <w:r>
              <w:rPr>
                <w:rFonts w:hint="eastAsia"/>
                <w:sz w:val="21"/>
              </w:rPr>
              <w:t>2.2.5（2）</w:t>
            </w:r>
          </w:p>
        </w:tc>
        <w:tc>
          <w:tcPr>
            <w:tcW w:w="1066" w:type="dxa"/>
            <w:gridSpan w:val="2"/>
            <w:vMerge w:val="restart"/>
          </w:tcPr>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p>
          <w:p>
            <w:pPr>
              <w:pStyle w:val="36"/>
              <w:ind w:left="109"/>
              <w:rPr>
                <w:sz w:val="21"/>
              </w:rPr>
            </w:pPr>
            <w:r>
              <w:rPr>
                <w:sz w:val="21"/>
              </w:rPr>
              <w:t>商务部分</w:t>
            </w:r>
          </w:p>
          <w:p>
            <w:pPr>
              <w:pStyle w:val="36"/>
              <w:spacing w:before="141"/>
              <w:ind w:right="-143"/>
              <w:rPr>
                <w:b/>
                <w:sz w:val="21"/>
              </w:rPr>
            </w:pPr>
            <w:r>
              <w:rPr>
                <w:sz w:val="21"/>
              </w:rPr>
              <w:t>（</w:t>
            </w:r>
            <w:r>
              <w:rPr>
                <w:rFonts w:hint="eastAsia"/>
                <w:sz w:val="21"/>
              </w:rPr>
              <w:t>4</w:t>
            </w:r>
            <w:r>
              <w:rPr>
                <w:sz w:val="21"/>
              </w:rPr>
              <w:t>0 分）</w:t>
            </w:r>
          </w:p>
        </w:tc>
        <w:tc>
          <w:tcPr>
            <w:tcW w:w="3403" w:type="dxa"/>
            <w:vAlign w:val="center"/>
          </w:tcPr>
          <w:p>
            <w:pPr>
              <w:adjustRightInd w:val="0"/>
              <w:jc w:val="center"/>
              <w:rPr>
                <w:rFonts w:hAnsi="Calibri"/>
                <w:szCs w:val="21"/>
              </w:rPr>
            </w:pPr>
            <w:r>
              <w:rPr>
                <w:rFonts w:hint="eastAsia" w:hAnsi="Calibri"/>
                <w:szCs w:val="21"/>
              </w:rPr>
              <w:t>设计企业业绩</w:t>
            </w:r>
          </w:p>
          <w:p>
            <w:pPr>
              <w:snapToGrid w:val="0"/>
              <w:jc w:val="center"/>
              <w:rPr>
                <w:szCs w:val="21"/>
              </w:rPr>
            </w:pPr>
            <w:r>
              <w:rPr>
                <w:rFonts w:hint="eastAsia" w:hAnsi="Calibri"/>
                <w:szCs w:val="21"/>
              </w:rPr>
              <w:t>（5分）</w:t>
            </w:r>
          </w:p>
        </w:tc>
        <w:tc>
          <w:tcPr>
            <w:tcW w:w="5387" w:type="dxa"/>
            <w:vAlign w:val="center"/>
          </w:tcPr>
          <w:p>
            <w:pPr>
              <w:adjustRightInd w:val="0"/>
              <w:ind w:firstLine="440" w:firstLineChars="200"/>
              <w:rPr>
                <w:rFonts w:hAnsi="Calibri"/>
                <w:szCs w:val="21"/>
              </w:rPr>
            </w:pPr>
            <w:r>
              <w:rPr>
                <w:rFonts w:hint="eastAsia" w:hAnsi="Calibri"/>
                <w:szCs w:val="21"/>
              </w:rPr>
              <w:t>投标人（若为联合体，指设计方）自</w:t>
            </w:r>
            <w:r>
              <w:rPr>
                <w:rFonts w:hAnsi="Calibri"/>
                <w:szCs w:val="21"/>
              </w:rPr>
              <w:t>201</w:t>
            </w:r>
            <w:r>
              <w:rPr>
                <w:rFonts w:hint="eastAsia" w:hAnsi="Calibri"/>
                <w:szCs w:val="21"/>
              </w:rPr>
              <w:t>5</w:t>
            </w:r>
            <w:r>
              <w:rPr>
                <w:rFonts w:hAnsi="Calibri"/>
                <w:szCs w:val="21"/>
              </w:rPr>
              <w:t xml:space="preserve"> </w:t>
            </w:r>
            <w:r>
              <w:rPr>
                <w:rFonts w:hint="eastAsia" w:hAnsi="Calibri"/>
                <w:szCs w:val="21"/>
              </w:rPr>
              <w:t>年</w:t>
            </w:r>
            <w:r>
              <w:rPr>
                <w:rFonts w:hAnsi="Calibri"/>
                <w:szCs w:val="21"/>
              </w:rPr>
              <w:t xml:space="preserve">1 </w:t>
            </w:r>
            <w:r>
              <w:rPr>
                <w:rFonts w:hint="eastAsia" w:hAnsi="Calibri"/>
                <w:szCs w:val="21"/>
              </w:rPr>
              <w:t>月</w:t>
            </w:r>
            <w:r>
              <w:rPr>
                <w:rFonts w:hAnsi="Calibri"/>
                <w:szCs w:val="21"/>
              </w:rPr>
              <w:t xml:space="preserve">1 </w:t>
            </w:r>
            <w:r>
              <w:rPr>
                <w:rFonts w:hint="eastAsia" w:hAnsi="Calibri"/>
                <w:szCs w:val="21"/>
              </w:rPr>
              <w:t>日至投标截止时间承接过</w:t>
            </w:r>
            <w:r>
              <w:rPr>
                <w:rFonts w:hint="eastAsia" w:hAnsi="Calibri"/>
                <w:szCs w:val="21"/>
                <w:highlight w:val="yellow"/>
              </w:rPr>
              <w:t>合同工程造价2000</w:t>
            </w:r>
            <w:r>
              <w:rPr>
                <w:rFonts w:hint="eastAsia" w:hAnsi="Calibri"/>
                <w:szCs w:val="21"/>
              </w:rPr>
              <w:t>（含本数）万元或以上的设计施工总承包或设计施工总承包建筑工程项目且负责设计任务的，每个得1分，本项最多得5分；</w:t>
            </w:r>
          </w:p>
          <w:p>
            <w:pPr>
              <w:adjustRightInd w:val="0"/>
              <w:ind w:firstLine="330" w:firstLineChars="150"/>
              <w:rPr>
                <w:rFonts w:hAnsi="Calibri"/>
                <w:szCs w:val="21"/>
              </w:rPr>
            </w:pPr>
            <w:r>
              <w:rPr>
                <w:rFonts w:hint="eastAsia" w:hAnsi="Calibri"/>
                <w:szCs w:val="21"/>
              </w:rPr>
              <w:t>注：投标时须提供中标通知书（如有）、合同协议书。原件核查，业绩原件不齐或没有原件的不得分。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snapToGrid w:val="0"/>
              <w:jc w:val="center"/>
              <w:rPr>
                <w:szCs w:val="21"/>
              </w:rPr>
            </w:pPr>
            <w:r>
              <w:rPr>
                <w:rFonts w:hint="eastAsia"/>
                <w:szCs w:val="21"/>
              </w:rPr>
              <w:t>设计企业获奖</w:t>
            </w:r>
          </w:p>
          <w:p>
            <w:pPr>
              <w:snapToGrid w:val="0"/>
              <w:jc w:val="center"/>
              <w:rPr>
                <w:szCs w:val="21"/>
              </w:rPr>
            </w:pPr>
            <w:r>
              <w:rPr>
                <w:rFonts w:hint="eastAsia"/>
                <w:szCs w:val="21"/>
              </w:rPr>
              <w:t>（5分）</w:t>
            </w:r>
          </w:p>
        </w:tc>
        <w:tc>
          <w:tcPr>
            <w:tcW w:w="5387" w:type="dxa"/>
            <w:vAlign w:val="center"/>
          </w:tcPr>
          <w:p>
            <w:pPr>
              <w:adjustRightInd w:val="0"/>
              <w:ind w:firstLine="440" w:firstLineChars="200"/>
              <w:rPr>
                <w:rFonts w:hAnsi="Calibri"/>
                <w:szCs w:val="21"/>
              </w:rPr>
            </w:pPr>
            <w:r>
              <w:rPr>
                <w:rFonts w:hint="eastAsia" w:hAnsi="Calibri"/>
                <w:szCs w:val="21"/>
              </w:rPr>
              <w:t>投标人（若为联合体，指设计方）的建筑工程项目自</w:t>
            </w:r>
            <w:r>
              <w:rPr>
                <w:rFonts w:hAnsi="Calibri"/>
                <w:szCs w:val="21"/>
              </w:rPr>
              <w:t>201</w:t>
            </w:r>
            <w:r>
              <w:rPr>
                <w:rFonts w:hint="eastAsia" w:hAnsi="Calibri"/>
                <w:szCs w:val="21"/>
              </w:rPr>
              <w:t>5</w:t>
            </w:r>
            <w:r>
              <w:rPr>
                <w:rFonts w:hAnsi="Calibri"/>
                <w:szCs w:val="21"/>
              </w:rPr>
              <w:t xml:space="preserve"> </w:t>
            </w:r>
            <w:r>
              <w:rPr>
                <w:rFonts w:hint="eastAsia" w:hAnsi="Calibri"/>
                <w:szCs w:val="21"/>
              </w:rPr>
              <w:t>年</w:t>
            </w:r>
            <w:r>
              <w:rPr>
                <w:rFonts w:hAnsi="Calibri"/>
                <w:szCs w:val="21"/>
              </w:rPr>
              <w:t xml:space="preserve">1 </w:t>
            </w:r>
            <w:r>
              <w:rPr>
                <w:rFonts w:hint="eastAsia" w:hAnsi="Calibri"/>
                <w:szCs w:val="21"/>
              </w:rPr>
              <w:t>月</w:t>
            </w:r>
            <w:r>
              <w:rPr>
                <w:rFonts w:hAnsi="Calibri"/>
                <w:szCs w:val="21"/>
              </w:rPr>
              <w:t xml:space="preserve">1 </w:t>
            </w:r>
            <w:r>
              <w:rPr>
                <w:rFonts w:hint="eastAsia" w:hAnsi="Calibri"/>
                <w:szCs w:val="21"/>
              </w:rPr>
              <w:t>日至投标截止时间获得国家级设计奖项的每项得2分，获得省级设计奖项的每项得</w:t>
            </w:r>
            <w:r>
              <w:rPr>
                <w:rFonts w:hAnsi="Calibri"/>
                <w:szCs w:val="21"/>
              </w:rPr>
              <w:t>1</w:t>
            </w:r>
            <w:r>
              <w:rPr>
                <w:rFonts w:hint="eastAsia" w:hAnsi="Calibri"/>
                <w:szCs w:val="21"/>
              </w:rPr>
              <w:t>分，获得市级设计奖项的每项得</w:t>
            </w:r>
            <w:r>
              <w:rPr>
                <w:rFonts w:hAnsi="Calibri"/>
                <w:szCs w:val="21"/>
              </w:rPr>
              <w:t xml:space="preserve">0.5 </w:t>
            </w:r>
            <w:r>
              <w:rPr>
                <w:rFonts w:hint="eastAsia" w:hAnsi="Calibri"/>
                <w:szCs w:val="21"/>
              </w:rPr>
              <w:t>分。本项最多得5分。</w:t>
            </w:r>
          </w:p>
          <w:p>
            <w:pPr>
              <w:adjustRightInd w:val="0"/>
              <w:ind w:firstLine="440" w:firstLineChars="200"/>
              <w:rPr>
                <w:rFonts w:hAnsi="Calibri"/>
                <w:szCs w:val="21"/>
              </w:rPr>
            </w:pPr>
            <w:r>
              <w:rPr>
                <w:rFonts w:hint="eastAsia" w:hAnsi="Calibri"/>
                <w:szCs w:val="21"/>
              </w:rPr>
              <w:t>注：1.本项只计取两项最高奖项得分，同一项目不重复计分。</w:t>
            </w:r>
          </w:p>
          <w:p>
            <w:pPr>
              <w:adjustRightInd w:val="0"/>
              <w:ind w:firstLine="440" w:firstLineChars="200"/>
              <w:rPr>
                <w:rFonts w:hAnsi="Calibri"/>
                <w:szCs w:val="21"/>
              </w:rPr>
            </w:pPr>
            <w:r>
              <w:rPr>
                <w:rFonts w:hint="eastAsia" w:hAnsi="Calibri"/>
                <w:szCs w:val="21"/>
              </w:rPr>
              <w:t>2.提供获奖证书复印件，原件核查，没有提供原件的不得分，时间以证书颁发时间为准。</w:t>
            </w:r>
          </w:p>
          <w:p>
            <w:pPr>
              <w:adjustRightInd w:val="0"/>
              <w:ind w:firstLine="440" w:firstLineChars="200"/>
              <w:rPr>
                <w:rFonts w:hAnsi="Calibri"/>
                <w:szCs w:val="21"/>
              </w:rPr>
            </w:pPr>
            <w:r>
              <w:rPr>
                <w:rFonts w:hint="eastAsia" w:hAnsi="Calibri"/>
                <w:szCs w:val="21"/>
              </w:rPr>
              <w:t>3.国家级设计奖项是指国务院、住建部或国家级协会颁发的设计奖项，省级设计奖项是指省级行政主管部门或省级协会颁发的设计奖项，市级（含副省级）设计奖项是指市级（含副省级）行政主管部门或市级协会颁发的设计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adjustRightInd w:val="0"/>
              <w:jc w:val="center"/>
              <w:rPr>
                <w:rFonts w:hAnsi="Calibri"/>
                <w:szCs w:val="21"/>
              </w:rPr>
            </w:pPr>
            <w:r>
              <w:rPr>
                <w:rFonts w:hint="eastAsia" w:hAnsi="Calibri"/>
                <w:szCs w:val="21"/>
              </w:rPr>
              <w:t>设计企业管理人员</w:t>
            </w:r>
          </w:p>
          <w:p>
            <w:pPr>
              <w:adjustRightInd w:val="0"/>
              <w:jc w:val="center"/>
              <w:rPr>
                <w:rFonts w:hAnsi="Calibri"/>
                <w:szCs w:val="21"/>
              </w:rPr>
            </w:pPr>
            <w:r>
              <w:rPr>
                <w:rFonts w:hint="eastAsia" w:hAnsi="Calibri"/>
                <w:szCs w:val="21"/>
              </w:rPr>
              <w:t>配备情况（5分）</w:t>
            </w:r>
          </w:p>
        </w:tc>
        <w:tc>
          <w:tcPr>
            <w:tcW w:w="5387" w:type="dxa"/>
            <w:vAlign w:val="center"/>
          </w:tcPr>
          <w:p>
            <w:pPr>
              <w:adjustRightInd w:val="0"/>
              <w:ind w:firstLine="440" w:firstLineChars="200"/>
              <w:rPr>
                <w:rFonts w:hAnsi="Calibri"/>
                <w:szCs w:val="21"/>
                <w:highlight w:val="yellow"/>
              </w:rPr>
            </w:pPr>
            <w:r>
              <w:rPr>
                <w:rFonts w:hAnsi="Calibri"/>
                <w:szCs w:val="21"/>
                <w:highlight w:val="yellow"/>
              </w:rPr>
              <w:t>1</w:t>
            </w:r>
            <w:r>
              <w:rPr>
                <w:rFonts w:hint="eastAsia" w:hAnsi="Calibri"/>
                <w:szCs w:val="21"/>
                <w:highlight w:val="yellow"/>
              </w:rPr>
              <w:t>、设计经理同时具备一级注册建筑师及高级工程师或以上职称的得2分；同时具备一级注册建筑师及中级工程师职称的得1分，其他的不得分。本项最多得2分；</w:t>
            </w:r>
          </w:p>
          <w:p>
            <w:pPr>
              <w:adjustRightInd w:val="0"/>
              <w:ind w:firstLine="440" w:firstLineChars="200"/>
              <w:rPr>
                <w:rFonts w:hAnsi="Calibri"/>
                <w:szCs w:val="21"/>
                <w:highlight w:val="yellow"/>
              </w:rPr>
            </w:pPr>
            <w:r>
              <w:rPr>
                <w:rFonts w:hAnsi="Calibri"/>
                <w:szCs w:val="21"/>
                <w:highlight w:val="yellow"/>
              </w:rPr>
              <w:t>2</w:t>
            </w:r>
            <w:r>
              <w:rPr>
                <w:rFonts w:hint="eastAsia" w:hAnsi="Calibri"/>
                <w:szCs w:val="21"/>
                <w:highlight w:val="yellow"/>
              </w:rPr>
              <w:t>、项目设计管理机构人员配备齐全（设计经理除外），包括建筑、结构、电气、给排水、暖通、造价专业，所有专业人员齐全且均为注册人员的得3分，所有专业人员齐全且均为高级工程师或以上的得2分，所有专业人员齐全且均为工程师或以上的得1.5分；所有专业人员齐全且由工程师职称或以上人员和注册人员组成的得1分</w:t>
            </w:r>
            <w:r>
              <w:rPr>
                <w:rFonts w:hAnsi="Calibri"/>
                <w:szCs w:val="21"/>
                <w:highlight w:val="yellow"/>
              </w:rPr>
              <w:t xml:space="preserve"> </w:t>
            </w:r>
            <w:r>
              <w:rPr>
                <w:rFonts w:hint="eastAsia" w:hAnsi="Calibri"/>
                <w:szCs w:val="21"/>
                <w:highlight w:val="yellow"/>
              </w:rPr>
              <w:t>，人员不齐的不得分。同一人具有多个专业的只按一个专业计算得分，本项最多得3分；</w:t>
            </w:r>
          </w:p>
          <w:p>
            <w:pPr>
              <w:adjustRightInd w:val="0"/>
              <w:ind w:firstLine="440" w:firstLineChars="200"/>
              <w:rPr>
                <w:rFonts w:hAnsi="Calibri"/>
                <w:szCs w:val="21"/>
              </w:rPr>
            </w:pPr>
            <w:r>
              <w:rPr>
                <w:rFonts w:hint="eastAsia" w:hAnsi="Calibri"/>
                <w:szCs w:val="21"/>
                <w:highlight w:val="yellow"/>
              </w:rPr>
              <w:t>本项1、 2合计最多得5分。</w:t>
            </w:r>
          </w:p>
          <w:p>
            <w:pPr>
              <w:adjustRightInd w:val="0"/>
              <w:ind w:firstLine="440" w:firstLineChars="200"/>
              <w:rPr>
                <w:rFonts w:hAnsi="Calibri"/>
                <w:szCs w:val="21"/>
              </w:rPr>
            </w:pPr>
            <w:r>
              <w:rPr>
                <w:rFonts w:hint="eastAsia" w:hAnsi="Calibri"/>
                <w:szCs w:val="21"/>
              </w:rPr>
              <w:t>注：1.以上人员必须为投标人（若为联合体，指设计方）在职的员工，须提供身份证、相应证件或证明资料和养老保险证明复印件，专业以职称证书或注册证书所示专业为准，其中职称证书须由按国家规定有资格颁发的企业或政府主管部门颁发的养老保险证明须提供投标人为该人员近三个月（</w:t>
            </w:r>
            <w:r>
              <w:rPr>
                <w:rFonts w:hAnsi="Calibri"/>
                <w:szCs w:val="21"/>
              </w:rPr>
              <w:t>20</w:t>
            </w:r>
            <w:r>
              <w:rPr>
                <w:rFonts w:hint="eastAsia" w:hAnsi="Calibri"/>
                <w:szCs w:val="21"/>
              </w:rPr>
              <w:t>20</w:t>
            </w:r>
            <w:r>
              <w:rPr>
                <w:rFonts w:hAnsi="Calibri"/>
                <w:szCs w:val="21"/>
              </w:rPr>
              <w:t xml:space="preserve"> </w:t>
            </w:r>
            <w:r>
              <w:rPr>
                <w:rFonts w:hint="eastAsia" w:hAnsi="Calibri"/>
                <w:szCs w:val="21"/>
              </w:rPr>
              <w:t>年1</w:t>
            </w:r>
            <w:r>
              <w:rPr>
                <w:rFonts w:hAnsi="Calibri"/>
                <w:szCs w:val="21"/>
              </w:rPr>
              <w:t xml:space="preserve"> </w:t>
            </w:r>
            <w:r>
              <w:rPr>
                <w:rFonts w:hint="eastAsia" w:hAnsi="Calibri"/>
                <w:szCs w:val="21"/>
              </w:rPr>
              <w:t>月至</w:t>
            </w:r>
            <w:r>
              <w:rPr>
                <w:rFonts w:hAnsi="Calibri"/>
                <w:szCs w:val="21"/>
              </w:rPr>
              <w:t>20</w:t>
            </w:r>
            <w:r>
              <w:rPr>
                <w:rFonts w:hint="eastAsia" w:hAnsi="Calibri"/>
                <w:szCs w:val="21"/>
              </w:rPr>
              <w:t>20</w:t>
            </w:r>
            <w:r>
              <w:rPr>
                <w:rFonts w:hAnsi="Calibri"/>
                <w:szCs w:val="21"/>
              </w:rPr>
              <w:t xml:space="preserve"> </w:t>
            </w:r>
            <w:r>
              <w:rPr>
                <w:rFonts w:hint="eastAsia" w:hAnsi="Calibri"/>
                <w:szCs w:val="21"/>
              </w:rPr>
              <w:t>年3</w:t>
            </w:r>
            <w:r>
              <w:rPr>
                <w:rFonts w:hAnsi="Calibri"/>
                <w:szCs w:val="21"/>
              </w:rPr>
              <w:t xml:space="preserve"> </w:t>
            </w:r>
            <w:r>
              <w:rPr>
                <w:rFonts w:hint="eastAsia" w:hAnsi="Calibri"/>
                <w:szCs w:val="21"/>
              </w:rPr>
              <w:t>月）在投标人公司购买养老保险的所属养老保险缴费证明（并加盖缴费证明专用章）或其他能够证明参加养老保险的有效证明材料（并加盖养老保险机构单位章）。评标时可能要求投标人当场在网上查询有社保要求的人员的社保，请投标人备好网址、账号、密码，并保持电话畅通。原件核查，原件不齐或没有提供原件的相应项不得分。</w:t>
            </w:r>
            <w:r>
              <w:rPr>
                <w:b/>
                <w:sz w:val="21"/>
              </w:rPr>
              <w:t>如招标文件要求投标人提供的相关证书（或证件）已实行电子化证书的只需提供电子证书打印件并加盖公章或相关网站查询途径。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adjustRightInd w:val="0"/>
              <w:jc w:val="center"/>
              <w:rPr>
                <w:rFonts w:hAnsi="Calibri"/>
                <w:szCs w:val="21"/>
              </w:rPr>
            </w:pPr>
            <w:r>
              <w:rPr>
                <w:rFonts w:hint="eastAsia" w:hAnsi="Calibri"/>
                <w:szCs w:val="21"/>
              </w:rPr>
              <w:t>设计企业荣誉得分</w:t>
            </w:r>
          </w:p>
          <w:p>
            <w:pPr>
              <w:adjustRightInd w:val="0"/>
              <w:ind w:firstLine="330" w:firstLineChars="150"/>
              <w:jc w:val="center"/>
              <w:rPr>
                <w:rFonts w:hAnsi="Calibri"/>
                <w:szCs w:val="21"/>
              </w:rPr>
            </w:pPr>
            <w:r>
              <w:rPr>
                <w:rFonts w:hint="eastAsia" w:hAnsi="Calibri"/>
                <w:szCs w:val="21"/>
              </w:rPr>
              <w:t>（3分）</w:t>
            </w:r>
          </w:p>
        </w:tc>
        <w:tc>
          <w:tcPr>
            <w:tcW w:w="5387" w:type="dxa"/>
            <w:vAlign w:val="center"/>
          </w:tcPr>
          <w:p>
            <w:pPr>
              <w:adjustRightInd w:val="0"/>
              <w:ind w:firstLine="440" w:firstLineChars="200"/>
              <w:rPr>
                <w:rFonts w:hAnsi="Calibri"/>
                <w:szCs w:val="21"/>
              </w:rPr>
            </w:pPr>
            <w:r>
              <w:rPr>
                <w:rFonts w:hAnsi="Calibri"/>
                <w:szCs w:val="21"/>
              </w:rPr>
              <w:t>投标人（若为联合体，指</w:t>
            </w:r>
            <w:r>
              <w:rPr>
                <w:rFonts w:hint="eastAsia" w:hAnsi="Calibri"/>
                <w:szCs w:val="21"/>
              </w:rPr>
              <w:t>设计</w:t>
            </w:r>
            <w:r>
              <w:rPr>
                <w:rFonts w:hAnsi="Calibri"/>
                <w:szCs w:val="21"/>
              </w:rPr>
              <w:t xml:space="preserve">方）自 2015 年 1 月 1 日至今获得过“守合同重信用”荣誉称号的得 </w:t>
            </w:r>
            <w:r>
              <w:rPr>
                <w:rFonts w:hint="eastAsia" w:hAnsi="Calibri"/>
                <w:szCs w:val="21"/>
              </w:rPr>
              <w:t>1</w:t>
            </w:r>
            <w:r>
              <w:rPr>
                <w:rFonts w:hAnsi="Calibri"/>
                <w:szCs w:val="21"/>
              </w:rPr>
              <w:t>分</w:t>
            </w:r>
            <w:r>
              <w:rPr>
                <w:rFonts w:hint="eastAsia" w:hAnsi="Calibri"/>
                <w:szCs w:val="21"/>
              </w:rPr>
              <w:t>，</w:t>
            </w:r>
            <w:r>
              <w:rPr>
                <w:rFonts w:hAnsi="Calibri"/>
                <w:szCs w:val="21"/>
              </w:rPr>
              <w:t xml:space="preserve">连续 </w:t>
            </w:r>
            <w:r>
              <w:rPr>
                <w:rFonts w:hint="eastAsia" w:hAnsi="Calibri"/>
                <w:szCs w:val="21"/>
              </w:rPr>
              <w:t>2</w:t>
            </w:r>
            <w:r>
              <w:rPr>
                <w:rFonts w:hAnsi="Calibri"/>
                <w:szCs w:val="21"/>
              </w:rPr>
              <w:t xml:space="preserve"> 年或以上（含 </w:t>
            </w:r>
            <w:r>
              <w:rPr>
                <w:rFonts w:hint="eastAsia" w:hAnsi="Calibri"/>
                <w:szCs w:val="21"/>
              </w:rPr>
              <w:t>2</w:t>
            </w:r>
            <w:r>
              <w:rPr>
                <w:rFonts w:hAnsi="Calibri"/>
                <w:szCs w:val="21"/>
              </w:rPr>
              <w:t xml:space="preserve">年）获得过地级市或以上“守合同重信用”荣誉称号的得 </w:t>
            </w:r>
            <w:r>
              <w:rPr>
                <w:rFonts w:hint="eastAsia" w:hAnsi="Calibri"/>
                <w:szCs w:val="21"/>
              </w:rPr>
              <w:t>3</w:t>
            </w:r>
            <w:r>
              <w:rPr>
                <w:rFonts w:hAnsi="Calibri"/>
                <w:szCs w:val="21"/>
              </w:rPr>
              <w:t xml:space="preserve"> 分</w:t>
            </w:r>
            <w:r>
              <w:rPr>
                <w:rFonts w:hint="eastAsia" w:hAnsi="Calibri"/>
                <w:szCs w:val="21"/>
              </w:rPr>
              <w:t>，本项最多得3分。</w:t>
            </w:r>
          </w:p>
          <w:p>
            <w:pPr>
              <w:adjustRightInd w:val="0"/>
              <w:ind w:firstLine="440" w:firstLineChars="200"/>
              <w:rPr>
                <w:rFonts w:hAnsi="Calibri"/>
                <w:szCs w:val="21"/>
              </w:rPr>
            </w:pPr>
            <w:r>
              <w:rPr>
                <w:rFonts w:hint="eastAsia" w:hAnsi="Calibri"/>
                <w:szCs w:val="21"/>
              </w:rPr>
              <w:t>注：投标时须提供投标人获奖证书复印件，奖项的时间以颁奖的时间为准，原件核查，没有原件或原件不齐的不得分。另外须打印工商行政管理部门网站“守合同重信用”连续公示该信息页面，否则不得分。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snapToGrid w:val="0"/>
              <w:jc w:val="center"/>
              <w:rPr>
                <w:szCs w:val="21"/>
              </w:rPr>
            </w:pPr>
            <w:r>
              <w:rPr>
                <w:rFonts w:hint="eastAsia"/>
                <w:szCs w:val="21"/>
                <w:highlight w:val="yellow"/>
              </w:rPr>
              <w:t>施工企业项目管理机构人员得分（4 分）</w:t>
            </w:r>
          </w:p>
        </w:tc>
        <w:tc>
          <w:tcPr>
            <w:tcW w:w="5387" w:type="dxa"/>
            <w:vAlign w:val="center"/>
          </w:tcPr>
          <w:p>
            <w:pPr>
              <w:adjustRightInd w:val="0"/>
              <w:ind w:firstLine="440" w:firstLineChars="200"/>
              <w:rPr>
                <w:rFonts w:hAnsi="Calibri"/>
                <w:szCs w:val="21"/>
                <w:highlight w:val="yellow"/>
              </w:rPr>
            </w:pPr>
            <w:r>
              <w:rPr>
                <w:rFonts w:hint="eastAsia" w:hAnsi="Calibri"/>
                <w:szCs w:val="21"/>
                <w:highlight w:val="yellow"/>
              </w:rPr>
              <w:t>投标人（若为联合体，指施工方）拟派项目管理机专业工程师人员齐全，配备的专业工程师包括：①建筑施工工程师、②装修（装饰）工程师、③建筑机电或建筑电气工程师、④建筑给水排水工程师、⑤造价或经济工程师、⑥风景园林施工工程师、⑦、暖通与空调设备安装工程师、⑧建筑机械施工工程师、⑨市政路桥施工工程师，全部满足的得4分，满足7-8个的得3分，满足5-6的得2分，满足4个以下的不得分。</w:t>
            </w:r>
          </w:p>
          <w:p>
            <w:pPr>
              <w:adjustRightInd w:val="0"/>
              <w:ind w:firstLine="440" w:firstLineChars="200"/>
              <w:rPr>
                <w:rFonts w:hAnsi="Calibri"/>
                <w:color w:val="FF0000"/>
                <w:szCs w:val="21"/>
              </w:rPr>
            </w:pPr>
            <w:r>
              <w:rPr>
                <w:rFonts w:hint="eastAsia" w:hAnsi="Calibri"/>
                <w:szCs w:val="21"/>
                <w:highlight w:val="yellow"/>
              </w:rPr>
              <w:t>本项合计最多得4分。</w:t>
            </w:r>
          </w:p>
          <w:p>
            <w:pPr>
              <w:adjustRightInd w:val="0"/>
              <w:ind w:firstLine="440" w:firstLineChars="200"/>
              <w:rPr>
                <w:rFonts w:hAnsi="Calibri"/>
                <w:szCs w:val="21"/>
              </w:rPr>
            </w:pPr>
            <w:r>
              <w:rPr>
                <w:rFonts w:hint="eastAsia" w:hAnsi="Calibri"/>
                <w:szCs w:val="21"/>
              </w:rPr>
              <w:t>注：以上人员需提供身份证、职称证书（或注册证书）、养老保险证明复印件，专业以职称证书或注册证书所示专业为准，其中职称证书须由按国家规定有资格颁发的企业或政府主管部门颁发的，养老保险证明须提供投标人为该人员近三个月（</w:t>
            </w:r>
            <w:r>
              <w:rPr>
                <w:rFonts w:hAnsi="Calibri"/>
                <w:szCs w:val="21"/>
              </w:rPr>
              <w:t>20</w:t>
            </w:r>
            <w:r>
              <w:rPr>
                <w:rFonts w:hint="eastAsia" w:hAnsi="Calibri"/>
                <w:szCs w:val="21"/>
              </w:rPr>
              <w:t>20</w:t>
            </w:r>
            <w:r>
              <w:rPr>
                <w:rFonts w:hAnsi="Calibri"/>
                <w:szCs w:val="21"/>
              </w:rPr>
              <w:t xml:space="preserve"> </w:t>
            </w:r>
            <w:r>
              <w:rPr>
                <w:rFonts w:hint="eastAsia" w:hAnsi="Calibri"/>
                <w:szCs w:val="21"/>
              </w:rPr>
              <w:t>年1</w:t>
            </w:r>
            <w:r>
              <w:rPr>
                <w:rFonts w:hAnsi="Calibri"/>
                <w:szCs w:val="21"/>
              </w:rPr>
              <w:t xml:space="preserve"> </w:t>
            </w:r>
            <w:r>
              <w:rPr>
                <w:rFonts w:hint="eastAsia" w:hAnsi="Calibri"/>
                <w:szCs w:val="21"/>
              </w:rPr>
              <w:t>月至</w:t>
            </w:r>
            <w:r>
              <w:rPr>
                <w:rFonts w:hAnsi="Calibri"/>
                <w:szCs w:val="21"/>
              </w:rPr>
              <w:t>20</w:t>
            </w:r>
            <w:r>
              <w:rPr>
                <w:rFonts w:hint="eastAsia" w:hAnsi="Calibri"/>
                <w:szCs w:val="21"/>
              </w:rPr>
              <w:t>20</w:t>
            </w:r>
            <w:r>
              <w:rPr>
                <w:rFonts w:hAnsi="Calibri"/>
                <w:szCs w:val="21"/>
              </w:rPr>
              <w:t xml:space="preserve"> </w:t>
            </w:r>
            <w:r>
              <w:rPr>
                <w:rFonts w:hint="eastAsia" w:hAnsi="Calibri"/>
                <w:szCs w:val="21"/>
              </w:rPr>
              <w:t>年3</w:t>
            </w:r>
            <w:r>
              <w:rPr>
                <w:rFonts w:hAnsi="Calibri"/>
                <w:szCs w:val="21"/>
              </w:rPr>
              <w:t xml:space="preserve"> </w:t>
            </w:r>
            <w:r>
              <w:rPr>
                <w:rFonts w:hint="eastAsia" w:hAnsi="Calibri"/>
                <w:szCs w:val="21"/>
              </w:rPr>
              <w:t>月）在投标人公司购买养老保险的所属社保机构出具的养老保险缴费证明（并加盖缴费证明专用章）或其他能够证明参加养老保险的有效证明材料（并加盖社保机构单位章）。评标时可能要求投标人当场在网上查询有社保要求的人员的社保，请投标人备好网址、账号、密码，并保持电话畅通。原件核查，原件不齐或没有提供原件的相应项不得分。</w:t>
            </w:r>
            <w:r>
              <w:rPr>
                <w:b/>
                <w:sz w:val="21"/>
              </w:rPr>
              <w:t>如招标文件要求投标人提供的相关证书（或证件）已实行电子化证书的只需提供电子证书打印件并加盖公章或相关网站查询途径。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adjustRightInd w:val="0"/>
              <w:jc w:val="center"/>
              <w:rPr>
                <w:rFonts w:hAnsi="Calibri"/>
                <w:szCs w:val="21"/>
              </w:rPr>
            </w:pPr>
            <w:r>
              <w:rPr>
                <w:rFonts w:hint="eastAsia"/>
                <w:szCs w:val="21"/>
              </w:rPr>
              <w:t>施工企业</w:t>
            </w:r>
            <w:r>
              <w:rPr>
                <w:rFonts w:hint="eastAsia" w:hAnsi="Calibri"/>
                <w:szCs w:val="21"/>
              </w:rPr>
              <w:t>项目经理得分</w:t>
            </w:r>
          </w:p>
          <w:p>
            <w:pPr>
              <w:adjustRightInd w:val="0"/>
              <w:jc w:val="center"/>
              <w:rPr>
                <w:rFonts w:hAnsi="Calibri"/>
                <w:szCs w:val="21"/>
              </w:rPr>
            </w:pPr>
            <w:r>
              <w:rPr>
                <w:rFonts w:hint="eastAsia" w:hAnsi="Calibri"/>
                <w:szCs w:val="21"/>
              </w:rPr>
              <w:t>（</w:t>
            </w:r>
            <w:r>
              <w:rPr>
                <w:rFonts w:hint="eastAsia" w:ascii="TimesNewRomanPSMT" w:hAnsi="Calibri" w:cs="TimesNewRomanPSMT" w:eastAsiaTheme="minorEastAsia"/>
                <w:szCs w:val="21"/>
              </w:rPr>
              <w:t>5</w:t>
            </w:r>
            <w:r>
              <w:rPr>
                <w:rFonts w:ascii="TimesNewRomanPSMT" w:hAnsi="Calibri" w:eastAsia="TimesNewRomanPSMT" w:cs="TimesNewRomanPSMT"/>
                <w:szCs w:val="21"/>
              </w:rPr>
              <w:t xml:space="preserve"> </w:t>
            </w:r>
            <w:r>
              <w:rPr>
                <w:rFonts w:hint="eastAsia" w:hAnsi="Calibri"/>
                <w:szCs w:val="21"/>
              </w:rPr>
              <w:t>分）</w:t>
            </w:r>
          </w:p>
          <w:p>
            <w:pPr>
              <w:adjustRightInd w:val="0"/>
              <w:rPr>
                <w:rFonts w:hAnsi="Calibri"/>
                <w:szCs w:val="21"/>
              </w:rPr>
            </w:pPr>
          </w:p>
        </w:tc>
        <w:tc>
          <w:tcPr>
            <w:tcW w:w="5387" w:type="dxa"/>
            <w:vAlign w:val="center"/>
          </w:tcPr>
          <w:p>
            <w:pPr>
              <w:adjustRightInd w:val="0"/>
              <w:ind w:firstLine="440" w:firstLineChars="200"/>
              <w:rPr>
                <w:rFonts w:hAnsi="Calibri"/>
                <w:szCs w:val="21"/>
              </w:rPr>
            </w:pPr>
            <w:r>
              <w:rPr>
                <w:rFonts w:hint="eastAsia" w:hAnsi="Calibri"/>
                <w:szCs w:val="21"/>
              </w:rPr>
              <w:t>1、投标人（若为联合体，指施工方）拟派项目经理具有工程师或以上职称的得2分；具有助理工程师职称的得</w:t>
            </w:r>
            <w:r>
              <w:rPr>
                <w:rFonts w:hAnsi="Calibri"/>
                <w:szCs w:val="21"/>
              </w:rPr>
              <w:t xml:space="preserve">1 </w:t>
            </w:r>
            <w:r>
              <w:rPr>
                <w:rFonts w:hint="eastAsia" w:hAnsi="Calibri"/>
                <w:szCs w:val="21"/>
              </w:rPr>
              <w:t>分，没有的不得分，本项最多得2分；</w:t>
            </w:r>
          </w:p>
          <w:p>
            <w:pPr>
              <w:adjustRightInd w:val="0"/>
              <w:ind w:firstLine="440" w:firstLineChars="200"/>
              <w:rPr>
                <w:rFonts w:hAnsi="Calibri"/>
                <w:szCs w:val="21"/>
              </w:rPr>
            </w:pPr>
            <w:r>
              <w:rPr>
                <w:rFonts w:hint="eastAsia" w:hAnsi="Calibri"/>
                <w:szCs w:val="21"/>
              </w:rPr>
              <w:t>2、投标人（若为联合体，指施工方）拟派项目经理</w:t>
            </w:r>
            <w:r>
              <w:rPr>
                <w:rFonts w:hAnsi="Calibri"/>
                <w:szCs w:val="21"/>
              </w:rPr>
              <w:t>201</w:t>
            </w:r>
            <w:r>
              <w:rPr>
                <w:rFonts w:hint="eastAsia" w:hAnsi="Calibri"/>
                <w:szCs w:val="21"/>
              </w:rPr>
              <w:t>5</w:t>
            </w:r>
            <w:r>
              <w:rPr>
                <w:rFonts w:hAnsi="Calibri"/>
                <w:szCs w:val="21"/>
              </w:rPr>
              <w:t xml:space="preserve"> </w:t>
            </w:r>
            <w:r>
              <w:rPr>
                <w:rFonts w:hint="eastAsia" w:hAnsi="Calibri"/>
                <w:szCs w:val="21"/>
              </w:rPr>
              <w:t>年</w:t>
            </w:r>
            <w:r>
              <w:rPr>
                <w:rFonts w:hAnsi="Calibri"/>
                <w:szCs w:val="21"/>
              </w:rPr>
              <w:t xml:space="preserve">1 </w:t>
            </w:r>
            <w:r>
              <w:rPr>
                <w:rFonts w:hint="eastAsia" w:hAnsi="Calibri"/>
                <w:szCs w:val="21"/>
              </w:rPr>
              <w:t>月</w:t>
            </w:r>
            <w:r>
              <w:rPr>
                <w:rFonts w:hAnsi="Calibri"/>
                <w:szCs w:val="21"/>
              </w:rPr>
              <w:t xml:space="preserve">1 </w:t>
            </w:r>
            <w:r>
              <w:rPr>
                <w:rFonts w:hint="eastAsia" w:hAnsi="Calibri"/>
                <w:szCs w:val="21"/>
              </w:rPr>
              <w:t>日至今（以竣工验收报告时间为准）完成过类似的建筑工程业绩的得3分，本项最多得3分。</w:t>
            </w:r>
          </w:p>
          <w:p>
            <w:pPr>
              <w:adjustRightInd w:val="0"/>
              <w:ind w:firstLine="440" w:firstLineChars="200"/>
              <w:rPr>
                <w:rFonts w:hAnsi="Calibri"/>
                <w:szCs w:val="21"/>
              </w:rPr>
            </w:pPr>
            <w:r>
              <w:rPr>
                <w:rFonts w:hint="eastAsia" w:hAnsi="Calibri"/>
                <w:szCs w:val="21"/>
              </w:rPr>
              <w:t>本项1、2合计最多得5分。</w:t>
            </w:r>
          </w:p>
          <w:p>
            <w:pPr>
              <w:adjustRightInd w:val="0"/>
              <w:ind w:firstLine="440" w:firstLineChars="200"/>
              <w:rPr>
                <w:rFonts w:hAnsi="Calibri"/>
                <w:szCs w:val="21"/>
              </w:rPr>
            </w:pPr>
            <w:r>
              <w:rPr>
                <w:rFonts w:hint="eastAsia" w:hAnsi="Calibri"/>
                <w:szCs w:val="21"/>
              </w:rPr>
              <w:t>注：须提供中标通知书（如有）、合同协议书、竣工验收报告（或竣工验收备案表）复印件。原件核查，没有原件或不齐的不得分。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restart"/>
          </w:tcPr>
          <w:p>
            <w:pPr>
              <w:pStyle w:val="36"/>
              <w:spacing w:before="141"/>
              <w:ind w:right="693" w:firstLine="310" w:firstLineChars="147"/>
              <w:rPr>
                <w:b/>
                <w:sz w:val="21"/>
              </w:rPr>
            </w:pPr>
          </w:p>
        </w:tc>
        <w:tc>
          <w:tcPr>
            <w:tcW w:w="1066" w:type="dxa"/>
            <w:gridSpan w:val="2"/>
            <w:vMerge w:val="restart"/>
          </w:tcPr>
          <w:p>
            <w:pPr>
              <w:pStyle w:val="36"/>
              <w:ind w:left="109"/>
              <w:rPr>
                <w:sz w:val="21"/>
              </w:rPr>
            </w:pPr>
          </w:p>
        </w:tc>
        <w:tc>
          <w:tcPr>
            <w:tcW w:w="3403" w:type="dxa"/>
            <w:vAlign w:val="center"/>
          </w:tcPr>
          <w:p>
            <w:pPr>
              <w:snapToGrid w:val="0"/>
              <w:jc w:val="center"/>
              <w:rPr>
                <w:szCs w:val="21"/>
              </w:rPr>
            </w:pPr>
            <w:r>
              <w:rPr>
                <w:rFonts w:hint="eastAsia"/>
                <w:szCs w:val="21"/>
              </w:rPr>
              <w:t>施工企业获奖</w:t>
            </w:r>
          </w:p>
          <w:p>
            <w:pPr>
              <w:snapToGrid w:val="0"/>
              <w:jc w:val="center"/>
              <w:rPr>
                <w:szCs w:val="21"/>
              </w:rPr>
            </w:pPr>
            <w:r>
              <w:rPr>
                <w:rFonts w:hint="eastAsia"/>
                <w:szCs w:val="21"/>
              </w:rPr>
              <w:t>得分（6 分）</w:t>
            </w:r>
          </w:p>
        </w:tc>
        <w:tc>
          <w:tcPr>
            <w:tcW w:w="5387" w:type="dxa"/>
            <w:vAlign w:val="center"/>
          </w:tcPr>
          <w:p>
            <w:pPr>
              <w:adjustRightInd w:val="0"/>
              <w:ind w:firstLine="440" w:firstLineChars="200"/>
              <w:rPr>
                <w:rFonts w:hAnsi="Calibri"/>
                <w:szCs w:val="21"/>
              </w:rPr>
            </w:pPr>
            <w:r>
              <w:rPr>
                <w:rFonts w:hint="eastAsia" w:hAnsi="Calibri"/>
                <w:szCs w:val="21"/>
              </w:rPr>
              <w:t>投标人（若为联合体，指施工方）</w:t>
            </w:r>
            <w:r>
              <w:rPr>
                <w:rFonts w:hAnsi="Calibri"/>
                <w:szCs w:val="21"/>
              </w:rPr>
              <w:t>201</w:t>
            </w:r>
            <w:r>
              <w:rPr>
                <w:rFonts w:hint="eastAsia" w:hAnsi="Calibri"/>
                <w:szCs w:val="21"/>
              </w:rPr>
              <w:t>5</w:t>
            </w:r>
            <w:r>
              <w:rPr>
                <w:rFonts w:hAnsi="Calibri"/>
                <w:szCs w:val="21"/>
              </w:rPr>
              <w:t xml:space="preserve"> </w:t>
            </w:r>
            <w:r>
              <w:rPr>
                <w:rFonts w:hint="eastAsia" w:hAnsi="Calibri"/>
                <w:szCs w:val="21"/>
              </w:rPr>
              <w:t>年</w:t>
            </w:r>
            <w:r>
              <w:rPr>
                <w:rFonts w:hAnsi="Calibri"/>
                <w:szCs w:val="21"/>
              </w:rPr>
              <w:t xml:space="preserve">1 </w:t>
            </w:r>
            <w:r>
              <w:rPr>
                <w:rFonts w:hint="eastAsia" w:hAnsi="Calibri"/>
                <w:szCs w:val="21"/>
              </w:rPr>
              <w:t>月</w:t>
            </w:r>
            <w:r>
              <w:rPr>
                <w:rFonts w:hAnsi="Calibri"/>
                <w:szCs w:val="21"/>
              </w:rPr>
              <w:t xml:space="preserve">1 </w:t>
            </w:r>
            <w:r>
              <w:rPr>
                <w:rFonts w:hint="eastAsia" w:hAnsi="Calibri"/>
                <w:szCs w:val="21"/>
              </w:rPr>
              <w:t>日起至今（以奖状的发证时间为准）的公共建筑工程业绩获得过国家级质量奖的得6分，获得过省级质量奖的得3分，获得过地市级质量奖的得1分，本项最多得6分；</w:t>
            </w:r>
          </w:p>
          <w:p>
            <w:pPr>
              <w:adjustRightInd w:val="0"/>
              <w:ind w:firstLine="440" w:firstLineChars="200"/>
              <w:rPr>
                <w:rFonts w:hAnsi="Calibri"/>
                <w:szCs w:val="21"/>
              </w:rPr>
            </w:pPr>
            <w:r>
              <w:rPr>
                <w:rFonts w:hint="eastAsia" w:hAnsi="Calibri"/>
                <w:szCs w:val="21"/>
              </w:rPr>
              <w:t>注：</w:t>
            </w:r>
            <w:r>
              <w:rPr>
                <w:rFonts w:hAnsi="Calibri"/>
                <w:szCs w:val="21"/>
              </w:rPr>
              <w:t>1.</w:t>
            </w:r>
            <w:r>
              <w:rPr>
                <w:rFonts w:hint="eastAsia" w:hAnsi="Calibri"/>
                <w:szCs w:val="21"/>
              </w:rPr>
              <w:t>本项同一项目不重复计算，只计取最高奖项得分。投标时须提供投标人获奖证书复印件，奖项的时间以颁奖的时间为准，原件核查，没有原件或原件不齐的不得分。</w:t>
            </w:r>
          </w:p>
          <w:p>
            <w:pPr>
              <w:adjustRightInd w:val="0"/>
              <w:ind w:firstLine="440" w:firstLineChars="200"/>
              <w:rPr>
                <w:rFonts w:hAnsi="Calibri"/>
                <w:szCs w:val="21"/>
              </w:rPr>
            </w:pPr>
            <w:r>
              <w:rPr>
                <w:rFonts w:hAnsi="Calibri"/>
                <w:szCs w:val="21"/>
              </w:rPr>
              <w:t xml:space="preserve">2. </w:t>
            </w:r>
            <w:r>
              <w:rPr>
                <w:rFonts w:hint="eastAsia" w:hAnsi="Calibri"/>
                <w:szCs w:val="21"/>
              </w:rPr>
              <w:t>国家级质量奖指：鲁班奖、国家优质工程金奖、国家优质工程奖、詹天佑奖。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snapToGrid w:val="0"/>
              <w:jc w:val="center"/>
              <w:rPr>
                <w:rFonts w:hAnsi="Calibri"/>
                <w:szCs w:val="21"/>
              </w:rPr>
            </w:pPr>
            <w:r>
              <w:rPr>
                <w:rFonts w:hint="eastAsia" w:hAnsi="Calibri"/>
                <w:szCs w:val="21"/>
              </w:rPr>
              <w:t>施工企业荣誉得分</w:t>
            </w:r>
          </w:p>
          <w:p>
            <w:pPr>
              <w:snapToGrid w:val="0"/>
              <w:jc w:val="center"/>
              <w:rPr>
                <w:szCs w:val="21"/>
              </w:rPr>
            </w:pPr>
            <w:r>
              <w:rPr>
                <w:rFonts w:hint="eastAsia" w:hAnsi="Calibri"/>
                <w:szCs w:val="21"/>
              </w:rPr>
              <w:t>（4分）</w:t>
            </w:r>
          </w:p>
        </w:tc>
        <w:tc>
          <w:tcPr>
            <w:tcW w:w="5387" w:type="dxa"/>
            <w:vAlign w:val="center"/>
          </w:tcPr>
          <w:p>
            <w:pPr>
              <w:adjustRightInd w:val="0"/>
              <w:ind w:firstLine="440" w:firstLineChars="200"/>
              <w:rPr>
                <w:rFonts w:hAnsi="Calibri"/>
                <w:szCs w:val="21"/>
              </w:rPr>
            </w:pPr>
            <w:r>
              <w:rPr>
                <w:rFonts w:hAnsi="Calibri"/>
                <w:szCs w:val="21"/>
              </w:rPr>
              <w:t>1</w:t>
            </w:r>
            <w:r>
              <w:rPr>
                <w:rFonts w:hint="eastAsia" w:hAnsi="Calibri"/>
                <w:szCs w:val="21"/>
              </w:rPr>
              <w:t>、投标人</w:t>
            </w:r>
            <w:r>
              <w:rPr>
                <w:rFonts w:hAnsi="Calibri"/>
                <w:szCs w:val="21"/>
              </w:rPr>
              <w:t>（若为联合体，指</w:t>
            </w:r>
            <w:r>
              <w:rPr>
                <w:rFonts w:hint="eastAsia" w:hAnsi="Calibri"/>
                <w:szCs w:val="21"/>
              </w:rPr>
              <w:t>施工</w:t>
            </w:r>
            <w:r>
              <w:rPr>
                <w:rFonts w:hAnsi="Calibri"/>
                <w:szCs w:val="21"/>
              </w:rPr>
              <w:t>方）201</w:t>
            </w:r>
            <w:r>
              <w:rPr>
                <w:rFonts w:hint="eastAsia" w:hAnsi="Calibri"/>
                <w:szCs w:val="21"/>
              </w:rPr>
              <w:t>5</w:t>
            </w:r>
            <w:r>
              <w:rPr>
                <w:rFonts w:hAnsi="Calibri"/>
                <w:szCs w:val="21"/>
              </w:rPr>
              <w:t xml:space="preserve"> </w:t>
            </w:r>
            <w:r>
              <w:rPr>
                <w:rFonts w:hint="eastAsia" w:hAnsi="Calibri"/>
                <w:szCs w:val="21"/>
              </w:rPr>
              <w:t>年</w:t>
            </w:r>
            <w:r>
              <w:rPr>
                <w:rFonts w:hAnsi="Calibri"/>
                <w:szCs w:val="21"/>
              </w:rPr>
              <w:t xml:space="preserve">1 </w:t>
            </w:r>
            <w:r>
              <w:rPr>
                <w:rFonts w:hint="eastAsia" w:hAnsi="Calibri"/>
                <w:szCs w:val="21"/>
              </w:rPr>
              <w:t>月</w:t>
            </w:r>
            <w:r>
              <w:rPr>
                <w:rFonts w:hAnsi="Calibri"/>
                <w:szCs w:val="21"/>
              </w:rPr>
              <w:t xml:space="preserve">1 </w:t>
            </w:r>
            <w:r>
              <w:rPr>
                <w:rFonts w:hint="eastAsia" w:hAnsi="Calibri"/>
                <w:szCs w:val="21"/>
              </w:rPr>
              <w:t>日起至今曾获得全国建筑业先进企业称号的得2分，曾获得省级建筑业先进企业称号的得1分，曾获得地市级建筑业先进企业称号的得0.5分，本项最多得2分；</w:t>
            </w:r>
          </w:p>
          <w:p>
            <w:pPr>
              <w:adjustRightInd w:val="0"/>
              <w:ind w:firstLine="550" w:firstLineChars="250"/>
              <w:rPr>
                <w:rFonts w:hAnsi="Calibri"/>
                <w:szCs w:val="21"/>
              </w:rPr>
            </w:pPr>
            <w:r>
              <w:rPr>
                <w:rFonts w:hAnsi="Calibri"/>
                <w:szCs w:val="21"/>
              </w:rPr>
              <w:t>2</w:t>
            </w:r>
            <w:r>
              <w:rPr>
                <w:rFonts w:hint="eastAsia" w:hAnsi="Calibri"/>
                <w:szCs w:val="21"/>
              </w:rPr>
              <w:t>、</w:t>
            </w:r>
            <w:r>
              <w:rPr>
                <w:rFonts w:hAnsi="Calibri"/>
                <w:szCs w:val="21"/>
              </w:rPr>
              <w:t>投标人（若为联合体，指</w:t>
            </w:r>
            <w:r>
              <w:rPr>
                <w:rFonts w:hint="eastAsia" w:hAnsi="Calibri"/>
                <w:szCs w:val="21"/>
              </w:rPr>
              <w:t>施工</w:t>
            </w:r>
            <w:r>
              <w:rPr>
                <w:rFonts w:hAnsi="Calibri"/>
                <w:szCs w:val="21"/>
              </w:rPr>
              <w:t>方） 2015 年 1 月 1 日至今获得过“守合同重信用”荣誉称号的得</w:t>
            </w:r>
            <w:r>
              <w:rPr>
                <w:rFonts w:hint="eastAsia" w:hAnsi="Calibri"/>
                <w:szCs w:val="21"/>
              </w:rPr>
              <w:t>1</w:t>
            </w:r>
            <w:r>
              <w:rPr>
                <w:rFonts w:hAnsi="Calibri"/>
                <w:szCs w:val="21"/>
              </w:rPr>
              <w:t>分</w:t>
            </w:r>
            <w:r>
              <w:rPr>
                <w:rFonts w:hint="eastAsia" w:hAnsi="Calibri"/>
                <w:szCs w:val="21"/>
              </w:rPr>
              <w:t>，</w:t>
            </w:r>
            <w:r>
              <w:rPr>
                <w:rFonts w:hAnsi="Calibri"/>
                <w:szCs w:val="21"/>
              </w:rPr>
              <w:t xml:space="preserve">连续 </w:t>
            </w:r>
            <w:r>
              <w:rPr>
                <w:rFonts w:hint="eastAsia" w:hAnsi="Calibri"/>
                <w:szCs w:val="21"/>
              </w:rPr>
              <w:t>3</w:t>
            </w:r>
            <w:r>
              <w:rPr>
                <w:rFonts w:hAnsi="Calibri"/>
                <w:szCs w:val="21"/>
              </w:rPr>
              <w:t xml:space="preserve"> 年或以上（含 </w:t>
            </w:r>
            <w:r>
              <w:rPr>
                <w:rFonts w:hint="eastAsia" w:hAnsi="Calibri"/>
                <w:szCs w:val="21"/>
              </w:rPr>
              <w:t>3</w:t>
            </w:r>
            <w:r>
              <w:rPr>
                <w:rFonts w:hAnsi="Calibri"/>
                <w:szCs w:val="21"/>
              </w:rPr>
              <w:t xml:space="preserve">年）获得过地级市或以上“守合同重信用”荣誉称号的，得 </w:t>
            </w:r>
            <w:r>
              <w:rPr>
                <w:rFonts w:hint="eastAsia" w:hAnsi="Calibri"/>
                <w:szCs w:val="21"/>
              </w:rPr>
              <w:t>2</w:t>
            </w:r>
            <w:r>
              <w:rPr>
                <w:rFonts w:hAnsi="Calibri"/>
                <w:szCs w:val="21"/>
              </w:rPr>
              <w:t xml:space="preserve"> 分</w:t>
            </w:r>
            <w:r>
              <w:rPr>
                <w:rFonts w:hint="eastAsia" w:hAnsi="Calibri"/>
                <w:szCs w:val="21"/>
              </w:rPr>
              <w:t>，本项最多得2分。</w:t>
            </w:r>
          </w:p>
          <w:p>
            <w:pPr>
              <w:snapToGrid w:val="0"/>
              <w:ind w:firstLine="440" w:firstLineChars="200"/>
              <w:rPr>
                <w:rFonts w:hAnsi="Calibri"/>
                <w:szCs w:val="21"/>
              </w:rPr>
            </w:pPr>
            <w:r>
              <w:rPr>
                <w:rFonts w:hint="eastAsia" w:hAnsi="Calibri"/>
                <w:szCs w:val="21"/>
              </w:rPr>
              <w:t>本项</w:t>
            </w:r>
            <w:r>
              <w:rPr>
                <w:rFonts w:hAnsi="Calibri"/>
                <w:szCs w:val="21"/>
              </w:rPr>
              <w:t>1</w:t>
            </w:r>
            <w:r>
              <w:rPr>
                <w:rFonts w:hint="eastAsia" w:hAnsi="Calibri"/>
                <w:szCs w:val="21"/>
              </w:rPr>
              <w:t>、</w:t>
            </w:r>
            <w:r>
              <w:rPr>
                <w:rFonts w:hAnsi="Calibri"/>
                <w:szCs w:val="21"/>
              </w:rPr>
              <w:t xml:space="preserve">2 </w:t>
            </w:r>
            <w:r>
              <w:rPr>
                <w:rFonts w:hint="eastAsia" w:hAnsi="Calibri"/>
                <w:szCs w:val="21"/>
              </w:rPr>
              <w:t>合计得最多得4分。</w:t>
            </w:r>
          </w:p>
          <w:p>
            <w:pPr>
              <w:adjustRightInd w:val="0"/>
              <w:rPr>
                <w:rFonts w:hAnsi="Calibri"/>
                <w:szCs w:val="21"/>
              </w:rPr>
            </w:pPr>
            <w:r>
              <w:rPr>
                <w:rFonts w:hint="eastAsia" w:hAnsi="Calibri"/>
                <w:szCs w:val="21"/>
              </w:rPr>
              <w:t>注：投标时须提供投标人获奖证书复印件，奖项的时间以颁奖的时间为准，原件核查，没有原件或原件不齐的不得分。另外须打印工商行政管理部门网站“守合同重信用”连续公示该信息页面，否则不得分。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Merge w:val="continue"/>
          </w:tcPr>
          <w:p>
            <w:pPr>
              <w:pStyle w:val="36"/>
              <w:spacing w:before="141"/>
              <w:ind w:right="693" w:firstLine="310" w:firstLineChars="147"/>
              <w:rPr>
                <w:b/>
                <w:sz w:val="21"/>
              </w:rPr>
            </w:pPr>
          </w:p>
        </w:tc>
        <w:tc>
          <w:tcPr>
            <w:tcW w:w="1066" w:type="dxa"/>
            <w:gridSpan w:val="2"/>
            <w:vMerge w:val="continue"/>
          </w:tcPr>
          <w:p>
            <w:pPr>
              <w:pStyle w:val="36"/>
              <w:ind w:left="109"/>
              <w:rPr>
                <w:sz w:val="21"/>
              </w:rPr>
            </w:pPr>
          </w:p>
        </w:tc>
        <w:tc>
          <w:tcPr>
            <w:tcW w:w="3403" w:type="dxa"/>
            <w:vAlign w:val="center"/>
          </w:tcPr>
          <w:p>
            <w:pPr>
              <w:snapToGrid w:val="0"/>
              <w:jc w:val="center"/>
              <w:rPr>
                <w:szCs w:val="21"/>
              </w:rPr>
            </w:pPr>
            <w:r>
              <w:rPr>
                <w:rFonts w:hint="eastAsia"/>
                <w:szCs w:val="21"/>
              </w:rPr>
              <w:t>施工企业技术创新</w:t>
            </w:r>
          </w:p>
          <w:p>
            <w:pPr>
              <w:snapToGrid w:val="0"/>
              <w:jc w:val="center"/>
              <w:rPr>
                <w:szCs w:val="21"/>
              </w:rPr>
            </w:pPr>
            <w:r>
              <w:rPr>
                <w:rFonts w:hint="eastAsia"/>
                <w:szCs w:val="21"/>
              </w:rPr>
              <w:t>（3分）</w:t>
            </w:r>
          </w:p>
        </w:tc>
        <w:tc>
          <w:tcPr>
            <w:tcW w:w="5387" w:type="dxa"/>
            <w:vAlign w:val="center"/>
          </w:tcPr>
          <w:p>
            <w:pPr>
              <w:adjustRightInd w:val="0"/>
              <w:ind w:firstLine="440" w:firstLineChars="200"/>
              <w:rPr>
                <w:rFonts w:hAnsi="Calibri"/>
                <w:szCs w:val="21"/>
              </w:rPr>
            </w:pPr>
            <w:r>
              <w:rPr>
                <w:rFonts w:hint="eastAsia" w:hAnsi="Calibri"/>
                <w:szCs w:val="21"/>
              </w:rPr>
              <w:t>投标人</w:t>
            </w:r>
            <w:r>
              <w:rPr>
                <w:rFonts w:hAnsi="Calibri"/>
                <w:szCs w:val="21"/>
              </w:rPr>
              <w:t>（若为联合体，指</w:t>
            </w:r>
            <w:r>
              <w:rPr>
                <w:rFonts w:hint="eastAsia" w:hAnsi="Calibri"/>
                <w:szCs w:val="21"/>
              </w:rPr>
              <w:t>施工</w:t>
            </w:r>
            <w:r>
              <w:rPr>
                <w:rFonts w:hAnsi="Calibri"/>
                <w:szCs w:val="21"/>
              </w:rPr>
              <w:t>方）</w:t>
            </w:r>
            <w:r>
              <w:rPr>
                <w:rFonts w:hint="eastAsia" w:hAnsi="Calibri"/>
                <w:szCs w:val="21"/>
              </w:rPr>
              <w:t>获得过由国家级建设行政主管部门颁发的国家级工法的得3分，获得过省级建设行政主管部门颁发的省级工法的得2分，本项最多得3分。</w:t>
            </w:r>
          </w:p>
          <w:p>
            <w:pPr>
              <w:adjustRightInd w:val="0"/>
              <w:ind w:firstLine="440" w:firstLineChars="200"/>
              <w:rPr>
                <w:rFonts w:hAnsi="Calibri"/>
                <w:szCs w:val="21"/>
              </w:rPr>
            </w:pPr>
            <w:r>
              <w:rPr>
                <w:rFonts w:hint="eastAsia" w:hAnsi="Calibri"/>
                <w:szCs w:val="21"/>
              </w:rPr>
              <w:t>注：投标时须提供工法证书复印件，原件核查，没有原件或原件不齐的不得分。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1847" w:type="dxa"/>
            <w:gridSpan w:val="3"/>
          </w:tcPr>
          <w:p>
            <w:pPr>
              <w:pStyle w:val="36"/>
              <w:spacing w:before="141"/>
              <w:ind w:right="693" w:firstLine="323" w:firstLineChars="147"/>
              <w:rPr>
                <w:b/>
                <w:sz w:val="21"/>
              </w:rPr>
            </w:pPr>
            <w:r>
              <w:rPr>
                <w:rFonts w:hint="eastAsia"/>
                <w:szCs w:val="21"/>
              </w:rPr>
              <w:t>条款号</w:t>
            </w:r>
          </w:p>
          <w:p>
            <w:pPr>
              <w:pStyle w:val="36"/>
              <w:ind w:left="109"/>
              <w:rPr>
                <w:sz w:val="21"/>
              </w:rPr>
            </w:pPr>
          </w:p>
        </w:tc>
        <w:tc>
          <w:tcPr>
            <w:tcW w:w="8790" w:type="dxa"/>
            <w:gridSpan w:val="2"/>
            <w:vAlign w:val="center"/>
          </w:tcPr>
          <w:p>
            <w:pPr>
              <w:adjustRightInd w:val="0"/>
              <w:ind w:firstLine="440" w:firstLineChars="200"/>
              <w:jc w:val="center"/>
              <w:rPr>
                <w:rFonts w:hAnsi="Calibri"/>
                <w:szCs w:val="21"/>
              </w:rPr>
            </w:pPr>
            <w:r>
              <w:rPr>
                <w:rFonts w:hint="eastAsia"/>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Align w:val="center"/>
          </w:tcPr>
          <w:p>
            <w:pPr>
              <w:jc w:val="center"/>
              <w:rPr>
                <w:szCs w:val="21"/>
              </w:rPr>
            </w:pPr>
            <w:r>
              <w:rPr>
                <w:rFonts w:hint="eastAsia"/>
                <w:szCs w:val="21"/>
              </w:rPr>
              <w:t>3</w:t>
            </w:r>
          </w:p>
        </w:tc>
        <w:tc>
          <w:tcPr>
            <w:tcW w:w="1066" w:type="dxa"/>
            <w:gridSpan w:val="2"/>
            <w:vAlign w:val="center"/>
          </w:tcPr>
          <w:p>
            <w:pPr>
              <w:jc w:val="center"/>
              <w:rPr>
                <w:szCs w:val="21"/>
              </w:rPr>
            </w:pPr>
            <w:r>
              <w:rPr>
                <w:rFonts w:hint="eastAsia"/>
                <w:szCs w:val="21"/>
              </w:rPr>
              <w:t>评   标</w:t>
            </w:r>
          </w:p>
          <w:p>
            <w:pPr>
              <w:jc w:val="center"/>
              <w:rPr>
                <w:szCs w:val="21"/>
              </w:rPr>
            </w:pPr>
            <w:r>
              <w:rPr>
                <w:rFonts w:hint="eastAsia"/>
                <w:szCs w:val="21"/>
              </w:rPr>
              <w:t>程   序</w:t>
            </w:r>
          </w:p>
        </w:tc>
        <w:tc>
          <w:tcPr>
            <w:tcW w:w="8790" w:type="dxa"/>
            <w:gridSpan w:val="2"/>
            <w:vAlign w:val="center"/>
          </w:tcPr>
          <w:p>
            <w:pPr>
              <w:jc w:val="center"/>
              <w:rPr>
                <w:szCs w:val="21"/>
              </w:rPr>
            </w:pPr>
            <w:r>
              <w:rPr>
                <w:rFonts w:hint="eastAsia"/>
                <w:szCs w:val="21"/>
              </w:rPr>
              <w:t>详见本章附件A：评标详细程序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trPr>
        <w:tc>
          <w:tcPr>
            <w:tcW w:w="781" w:type="dxa"/>
            <w:vAlign w:val="center"/>
          </w:tcPr>
          <w:p>
            <w:pPr>
              <w:jc w:val="center"/>
              <w:rPr>
                <w:szCs w:val="21"/>
              </w:rPr>
            </w:pPr>
            <w:r>
              <w:rPr>
                <w:rFonts w:hint="eastAsia"/>
                <w:szCs w:val="21"/>
              </w:rPr>
              <w:t>3.1.2</w:t>
            </w:r>
          </w:p>
        </w:tc>
        <w:tc>
          <w:tcPr>
            <w:tcW w:w="1066" w:type="dxa"/>
            <w:gridSpan w:val="2"/>
            <w:vAlign w:val="center"/>
          </w:tcPr>
          <w:p>
            <w:pPr>
              <w:jc w:val="center"/>
              <w:rPr>
                <w:szCs w:val="21"/>
              </w:rPr>
            </w:pPr>
            <w:r>
              <w:rPr>
                <w:rFonts w:hint="eastAsia"/>
                <w:szCs w:val="21"/>
              </w:rPr>
              <w:t>否决性条件</w:t>
            </w:r>
          </w:p>
        </w:tc>
        <w:tc>
          <w:tcPr>
            <w:tcW w:w="8790" w:type="dxa"/>
            <w:gridSpan w:val="2"/>
            <w:vAlign w:val="center"/>
          </w:tcPr>
          <w:p>
            <w:pPr>
              <w:jc w:val="center"/>
              <w:rPr>
                <w:szCs w:val="21"/>
              </w:rPr>
            </w:pPr>
            <w:r>
              <w:rPr>
                <w:rFonts w:hint="eastAsia"/>
                <w:szCs w:val="21"/>
              </w:rPr>
              <w:t>详见：</w:t>
            </w:r>
            <w:r>
              <w:rPr>
                <w:rFonts w:hint="eastAsia"/>
              </w:rPr>
              <w:t>投标文件否决性条款摘要</w:t>
            </w:r>
          </w:p>
        </w:tc>
      </w:tr>
    </w:tbl>
    <w:p>
      <w:pPr>
        <w:rPr>
          <w:sz w:val="21"/>
        </w:rPr>
      </w:pPr>
    </w:p>
    <w:p>
      <w:pPr>
        <w:rPr>
          <w:sz w:val="21"/>
        </w:rPr>
      </w:pPr>
    </w:p>
    <w:p>
      <w:pPr>
        <w:rPr>
          <w:sz w:val="21"/>
        </w:rPr>
      </w:pPr>
    </w:p>
    <w:p>
      <w:pPr>
        <w:rPr>
          <w:sz w:val="21"/>
        </w:rPr>
      </w:pPr>
    </w:p>
    <w:p>
      <w:pPr>
        <w:rPr>
          <w:sz w:val="21"/>
        </w:rPr>
      </w:pPr>
    </w:p>
    <w:p>
      <w:pPr>
        <w:rPr>
          <w:sz w:val="21"/>
        </w:rPr>
      </w:pPr>
    </w:p>
    <w:p>
      <w:pPr>
        <w:pStyle w:val="35"/>
        <w:numPr>
          <w:ilvl w:val="0"/>
          <w:numId w:val="22"/>
        </w:numPr>
        <w:tabs>
          <w:tab w:val="left" w:pos="641"/>
        </w:tabs>
        <w:spacing w:before="44"/>
        <w:ind w:hanging="429"/>
        <w:outlineLvl w:val="1"/>
        <w:rPr>
          <w:rFonts w:ascii="黑体" w:eastAsia="黑体"/>
          <w:b/>
          <w:sz w:val="32"/>
        </w:rPr>
      </w:pPr>
      <w:bookmarkStart w:id="93" w:name="_bookmark68"/>
      <w:bookmarkEnd w:id="93"/>
      <w:bookmarkStart w:id="94" w:name="_Toc37926035"/>
      <w:r>
        <w:rPr>
          <w:rFonts w:hint="eastAsia" w:ascii="黑体" w:eastAsia="黑体"/>
          <w:b/>
          <w:sz w:val="32"/>
        </w:rPr>
        <w:t>评标方法</w:t>
      </w:r>
      <w:bookmarkEnd w:id="94"/>
    </w:p>
    <w:p>
      <w:pPr>
        <w:pStyle w:val="10"/>
        <w:spacing w:before="4"/>
        <w:rPr>
          <w:rFonts w:ascii="黑体"/>
          <w:b/>
          <w:sz w:val="37"/>
        </w:rPr>
      </w:pPr>
    </w:p>
    <w:p>
      <w:pPr>
        <w:pStyle w:val="10"/>
        <w:spacing w:before="132" w:line="357" w:lineRule="auto"/>
        <w:ind w:left="211" w:leftChars="96" w:right="440" w:firstLine="210" w:firstLineChars="100"/>
      </w:pPr>
      <w:r>
        <w:rPr>
          <w:rFonts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如果评标总得分相同的，以信用等级高的排前。如是联合体投标的，以联合体牵头人（主办方）或投标人主办资质类别信用等级高的排前；如果评标总得分、信用等级均相同的，则对信用等级相同的投标人，按中标候选人数量的规定，由评标委员会采用随机抽取的方式，确定中标候选人排序</w:t>
      </w:r>
      <w:r>
        <w:rPr>
          <w:spacing w:val="-5"/>
        </w:rPr>
        <w:t>。</w:t>
      </w:r>
    </w:p>
    <w:p>
      <w:pPr>
        <w:pStyle w:val="10"/>
        <w:spacing w:before="11"/>
        <w:rPr>
          <w:sz w:val="19"/>
        </w:rPr>
      </w:pPr>
    </w:p>
    <w:p>
      <w:pPr>
        <w:pStyle w:val="3"/>
        <w:numPr>
          <w:ilvl w:val="0"/>
          <w:numId w:val="22"/>
        </w:numPr>
        <w:tabs>
          <w:tab w:val="left" w:pos="641"/>
        </w:tabs>
        <w:ind w:hanging="429"/>
      </w:pPr>
      <w:bookmarkStart w:id="95" w:name="_bookmark69"/>
      <w:bookmarkEnd w:id="95"/>
      <w:bookmarkStart w:id="96" w:name="_Toc37926036"/>
      <w:r>
        <w:t>评审标准</w:t>
      </w:r>
      <w:bookmarkEnd w:id="96"/>
    </w:p>
    <w:p>
      <w:pPr>
        <w:pStyle w:val="10"/>
        <w:spacing w:before="2"/>
        <w:rPr>
          <w:rFonts w:ascii="黑体"/>
          <w:b/>
          <w:sz w:val="39"/>
        </w:rPr>
      </w:pPr>
    </w:p>
    <w:p>
      <w:pPr>
        <w:pStyle w:val="38"/>
        <w:spacing w:line="360" w:lineRule="auto"/>
        <w:outlineLvl w:val="9"/>
      </w:pPr>
      <w:bookmarkStart w:id="97" w:name="_bookmark70"/>
      <w:bookmarkEnd w:id="97"/>
      <w:bookmarkStart w:id="98" w:name="_Toc144974569"/>
      <w:bookmarkStart w:id="99" w:name="_Toc152042379"/>
      <w:bookmarkStart w:id="100" w:name="_Toc152045602"/>
      <w:bookmarkStart w:id="101" w:name="_Toc179632620"/>
      <w:bookmarkStart w:id="102" w:name="_Toc37926037"/>
      <w:r>
        <w:rPr>
          <w:rFonts w:hint="eastAsia"/>
        </w:rPr>
        <w:t>2.1 初步评审标准</w:t>
      </w:r>
      <w:bookmarkEnd w:id="98"/>
      <w:bookmarkEnd w:id="99"/>
      <w:bookmarkEnd w:id="100"/>
      <w:bookmarkEnd w:id="101"/>
      <w:bookmarkEnd w:id="102"/>
    </w:p>
    <w:p>
      <w:pPr>
        <w:spacing w:line="360" w:lineRule="auto"/>
        <w:ind w:firstLine="440" w:firstLineChars="200"/>
      </w:pPr>
      <w:r>
        <w:rPr>
          <w:rFonts w:hint="eastAsia"/>
        </w:rPr>
        <w:t>2.1.1 形式评审标准：见评标办法前附表。</w:t>
      </w:r>
    </w:p>
    <w:p>
      <w:pPr>
        <w:spacing w:line="360" w:lineRule="auto"/>
        <w:ind w:firstLine="440" w:firstLineChars="200"/>
      </w:pPr>
      <w:r>
        <w:rPr>
          <w:rFonts w:hint="eastAsia"/>
        </w:rPr>
        <w:t>2.1.2 资格评审标准：见评标办法前附表（适用资格后审的）。</w:t>
      </w:r>
    </w:p>
    <w:p>
      <w:pPr>
        <w:spacing w:line="360" w:lineRule="auto"/>
        <w:ind w:firstLine="440" w:firstLineChars="200"/>
      </w:pPr>
      <w:r>
        <w:rPr>
          <w:rFonts w:hint="eastAsia"/>
        </w:rPr>
        <w:t>2.1.3 响应性评审标准：见评标办法前附表。</w:t>
      </w:r>
    </w:p>
    <w:p>
      <w:pPr>
        <w:pStyle w:val="38"/>
        <w:spacing w:line="360" w:lineRule="auto"/>
        <w:outlineLvl w:val="9"/>
      </w:pPr>
      <w:bookmarkStart w:id="103" w:name="_Toc144974570"/>
      <w:bookmarkStart w:id="104" w:name="_Toc152042380"/>
      <w:bookmarkStart w:id="105" w:name="_Toc152045603"/>
      <w:bookmarkStart w:id="106" w:name="_Toc179632621"/>
      <w:bookmarkStart w:id="107" w:name="_Toc37926038"/>
      <w:r>
        <w:rPr>
          <w:rFonts w:hint="eastAsia"/>
        </w:rPr>
        <w:t>2.2 分值构成与评分标准</w:t>
      </w:r>
      <w:bookmarkEnd w:id="103"/>
      <w:bookmarkEnd w:id="104"/>
      <w:bookmarkEnd w:id="105"/>
      <w:bookmarkEnd w:id="106"/>
      <w:bookmarkEnd w:id="107"/>
    </w:p>
    <w:p>
      <w:pPr>
        <w:spacing w:line="360" w:lineRule="auto"/>
        <w:ind w:firstLine="440" w:firstLineChars="200"/>
      </w:pPr>
      <w:r>
        <w:rPr>
          <w:rFonts w:hint="eastAsia"/>
        </w:rPr>
        <w:t>2.2.1 分值构成</w:t>
      </w:r>
    </w:p>
    <w:p>
      <w:pPr>
        <w:spacing w:line="360" w:lineRule="auto"/>
        <w:ind w:firstLine="752" w:firstLineChars="342"/>
      </w:pPr>
      <w:r>
        <w:rPr>
          <w:rFonts w:hint="eastAsia"/>
        </w:rPr>
        <w:t>（1）技术标：见评标办法前附表；</w:t>
      </w:r>
    </w:p>
    <w:p>
      <w:pPr>
        <w:spacing w:line="360" w:lineRule="auto"/>
        <w:ind w:firstLine="752" w:firstLineChars="342"/>
      </w:pPr>
      <w:r>
        <w:rPr>
          <w:rFonts w:hint="eastAsia"/>
        </w:rPr>
        <w:t>（2）商务报价：见评标办法前附表；</w:t>
      </w:r>
    </w:p>
    <w:p>
      <w:pPr>
        <w:spacing w:line="360" w:lineRule="auto"/>
        <w:ind w:firstLine="752" w:firstLineChars="342"/>
      </w:pPr>
      <w:r>
        <w:rPr>
          <w:rFonts w:hint="eastAsia"/>
        </w:rPr>
        <w:t>（3）信用因素：见评标办法前附表。</w:t>
      </w:r>
    </w:p>
    <w:p>
      <w:pPr>
        <w:spacing w:line="360" w:lineRule="auto"/>
        <w:ind w:firstLine="440" w:firstLineChars="200"/>
      </w:pPr>
      <w:r>
        <w:rPr>
          <w:rFonts w:hint="eastAsia"/>
        </w:rPr>
        <w:t>2.2.2评分标准</w:t>
      </w:r>
    </w:p>
    <w:p>
      <w:pPr>
        <w:spacing w:line="360" w:lineRule="auto"/>
        <w:ind w:firstLine="752" w:firstLineChars="342"/>
      </w:pPr>
      <w:r>
        <w:rPr>
          <w:rFonts w:hint="eastAsia"/>
        </w:rPr>
        <w:t>（1）技术标评分标准：见评标办法前附表；</w:t>
      </w:r>
    </w:p>
    <w:p>
      <w:pPr>
        <w:spacing w:line="360" w:lineRule="auto"/>
        <w:ind w:firstLine="752" w:firstLineChars="342"/>
      </w:pPr>
      <w:r>
        <w:rPr>
          <w:rFonts w:hint="eastAsia"/>
        </w:rPr>
        <w:t>（2）商务报价评分标准：见评标办法前附表；</w:t>
      </w:r>
    </w:p>
    <w:p>
      <w:pPr>
        <w:spacing w:line="360" w:lineRule="auto"/>
        <w:ind w:firstLine="752" w:firstLineChars="342"/>
      </w:pPr>
      <w:r>
        <w:rPr>
          <w:rFonts w:hint="eastAsia"/>
        </w:rPr>
        <w:t>（3）信用因素评分标准：见评标办法前附表。</w:t>
      </w:r>
    </w:p>
    <w:p>
      <w:pPr>
        <w:pStyle w:val="10"/>
        <w:rPr>
          <w:sz w:val="30"/>
        </w:rPr>
      </w:pPr>
    </w:p>
    <w:p>
      <w:pPr>
        <w:pStyle w:val="3"/>
        <w:numPr>
          <w:ilvl w:val="0"/>
          <w:numId w:val="22"/>
        </w:numPr>
        <w:tabs>
          <w:tab w:val="left" w:pos="641"/>
        </w:tabs>
        <w:ind w:hanging="429"/>
      </w:pPr>
      <w:bookmarkStart w:id="108" w:name="_bookmark72"/>
      <w:bookmarkEnd w:id="108"/>
      <w:bookmarkStart w:id="109" w:name="_Toc37926039"/>
      <w:r>
        <w:t>评标程序</w:t>
      </w:r>
      <w:bookmarkEnd w:id="109"/>
    </w:p>
    <w:p>
      <w:pPr>
        <w:pStyle w:val="10"/>
        <w:spacing w:before="2"/>
        <w:rPr>
          <w:rFonts w:ascii="黑体"/>
          <w:b/>
          <w:sz w:val="39"/>
        </w:rPr>
      </w:pPr>
    </w:p>
    <w:p>
      <w:bookmarkStart w:id="110" w:name="_bookmark73"/>
      <w:bookmarkEnd w:id="110"/>
      <w:r>
        <w:rPr>
          <w:rFonts w:hint="eastAsia"/>
          <w:spacing w:val="-1"/>
        </w:rPr>
        <w:t xml:space="preserve">3.1 </w:t>
      </w:r>
      <w:r>
        <w:rPr>
          <w:rFonts w:hint="eastAsia"/>
        </w:rPr>
        <w:t>初步评审</w:t>
      </w:r>
    </w:p>
    <w:p>
      <w:pPr>
        <w:spacing w:line="360" w:lineRule="auto"/>
        <w:ind w:firstLine="440" w:firstLineChars="200"/>
      </w:pPr>
      <w:r>
        <w:rPr>
          <w:rFonts w:hint="eastAsia"/>
        </w:rPr>
        <w:t>3.1.1 评标委员会可以要求投标人提交第二章“投标人须知”第3.5.1项至第3.5.5项规定的有关证明和证件的原件，以便核验（适用于资格后审的）。评标委员会依据本章第2.1款规定的标准对投标文件进行初步评审。有一项不符合评审标准的，否决其投标。</w:t>
      </w:r>
    </w:p>
    <w:p>
      <w:pPr>
        <w:spacing w:line="360" w:lineRule="auto"/>
        <w:ind w:firstLine="440" w:firstLineChars="200"/>
      </w:pPr>
      <w:r>
        <w:rPr>
          <w:rFonts w:hint="eastAsia"/>
        </w:rPr>
        <w:t>3.1.2 投标人有以下情形之一的，否决其投标：</w:t>
      </w:r>
    </w:p>
    <w:p>
      <w:pPr>
        <w:spacing w:line="360" w:lineRule="auto"/>
        <w:ind w:firstLine="752" w:firstLineChars="342"/>
      </w:pPr>
      <w:r>
        <w:rPr>
          <w:rFonts w:hint="eastAsia"/>
        </w:rPr>
        <w:t>（1）有第二章“投标人须知”第1.4.3项规定的任何一种情形的；</w:t>
      </w:r>
    </w:p>
    <w:p>
      <w:pPr>
        <w:spacing w:line="360" w:lineRule="auto"/>
        <w:ind w:firstLine="752" w:firstLineChars="342"/>
      </w:pPr>
      <w:r>
        <w:rPr>
          <w:rFonts w:hint="eastAsia"/>
        </w:rPr>
        <w:t>（2）有串通投标或弄虚作假或有其他违法行为的；</w:t>
      </w:r>
    </w:p>
    <w:p>
      <w:pPr>
        <w:spacing w:line="360" w:lineRule="auto"/>
        <w:ind w:firstLine="752" w:firstLineChars="342"/>
      </w:pPr>
      <w:r>
        <w:rPr>
          <w:rFonts w:hint="eastAsia"/>
        </w:rPr>
        <w:t>（3）不按评标委员会要求澄清、说明或补正的。</w:t>
      </w:r>
    </w:p>
    <w:p>
      <w:pPr>
        <w:spacing w:line="360" w:lineRule="auto"/>
        <w:ind w:firstLine="440" w:firstLineChars="200"/>
      </w:pPr>
      <w:r>
        <w:rPr>
          <w:rFonts w:hint="eastAsia"/>
        </w:rPr>
        <w:t>3.1.3投标报价有算术错误的，评标委员会按以下原则对投标报价进行修正，修正的价格经投标人书面确认后具有约束力。投标人不接受修正价格的，否决其投标。</w:t>
      </w:r>
    </w:p>
    <w:p>
      <w:pPr>
        <w:spacing w:line="360" w:lineRule="auto"/>
      </w:pPr>
      <w:bookmarkStart w:id="111" w:name="_Toc152042383"/>
      <w:r>
        <w:rPr>
          <w:rFonts w:hint="eastAsia"/>
        </w:rPr>
        <w:t>（1）投标文件中的大写金额与小写金额不一致的，以大写金额为准；</w:t>
      </w:r>
      <w:bookmarkEnd w:id="111"/>
    </w:p>
    <w:p>
      <w:pPr>
        <w:pStyle w:val="10"/>
        <w:spacing w:before="2"/>
        <w:rPr>
          <w:sz w:val="20"/>
        </w:rPr>
      </w:pPr>
      <w:r>
        <w:rPr>
          <w:rFonts w:hint="eastAsia"/>
        </w:rPr>
        <w:t>（2）总价金额与依据单价计算出的结果不一致的，以单价金额为准修正总价，但单价金额小数点有明显错误的除外。</w:t>
      </w:r>
    </w:p>
    <w:p>
      <w:pPr>
        <w:rPr>
          <w:spacing w:val="-1"/>
        </w:rPr>
      </w:pPr>
      <w:bookmarkStart w:id="112" w:name="_bookmark74"/>
      <w:bookmarkEnd w:id="112"/>
    </w:p>
    <w:p>
      <w:r>
        <w:rPr>
          <w:rFonts w:hint="eastAsia"/>
          <w:spacing w:val="-1"/>
        </w:rPr>
        <w:t xml:space="preserve">3.2 </w:t>
      </w:r>
      <w:r>
        <w:rPr>
          <w:rFonts w:hint="eastAsia"/>
        </w:rPr>
        <w:t>详细评审</w:t>
      </w:r>
    </w:p>
    <w:p>
      <w:pPr>
        <w:spacing w:line="360" w:lineRule="auto"/>
        <w:ind w:firstLine="440" w:firstLineChars="200"/>
      </w:pPr>
      <w:r>
        <w:rPr>
          <w:rFonts w:hint="eastAsia"/>
        </w:rPr>
        <w:t>3.2.1 评标委员会按本章第2.2款规定的量化因素和分值进行打分，并计算出综合评估得分。</w:t>
      </w:r>
    </w:p>
    <w:p>
      <w:pPr>
        <w:spacing w:line="360" w:lineRule="auto"/>
        <w:ind w:firstLine="752" w:firstLineChars="342"/>
      </w:pPr>
      <w:r>
        <w:rPr>
          <w:rFonts w:hint="eastAsia"/>
        </w:rPr>
        <w:t>（1）按本章第2.2.2（1）目规定的评审因素和分值对技术标计算出技术标得分；</w:t>
      </w:r>
    </w:p>
    <w:p>
      <w:pPr>
        <w:spacing w:line="360" w:lineRule="auto"/>
        <w:ind w:firstLine="752" w:firstLineChars="342"/>
      </w:pPr>
      <w:r>
        <w:rPr>
          <w:rFonts w:hint="eastAsia"/>
        </w:rPr>
        <w:t>（2）按本章第2.2.2（2）目规定的评审因素和分值对商务报价计算出商务报价得分；</w:t>
      </w:r>
    </w:p>
    <w:p>
      <w:pPr>
        <w:spacing w:line="360" w:lineRule="auto"/>
        <w:ind w:firstLine="752" w:firstLineChars="342"/>
      </w:pPr>
      <w:r>
        <w:rPr>
          <w:rFonts w:hint="eastAsia"/>
        </w:rPr>
        <w:t>（3）按本章第2.2.2（3）目规定的评审因素和分值对信用因素计算出信用因素得分。</w:t>
      </w:r>
    </w:p>
    <w:p>
      <w:pPr>
        <w:spacing w:line="360" w:lineRule="auto"/>
        <w:ind w:firstLine="440" w:firstLineChars="200"/>
      </w:pPr>
      <w:r>
        <w:rPr>
          <w:rFonts w:hint="eastAsia"/>
        </w:rPr>
        <w:t>3.2.2 评分分值计算保留小数点后四位，小数点后第五位“四舍五入”。</w:t>
      </w:r>
    </w:p>
    <w:p>
      <w:pPr>
        <w:spacing w:line="360" w:lineRule="auto"/>
        <w:ind w:firstLine="440" w:firstLineChars="200"/>
      </w:pPr>
      <w:r>
        <w:rPr>
          <w:rFonts w:hint="eastAsia"/>
        </w:rPr>
        <w:t xml:space="preserve">3.2.3 投标人评标总得分（分别乘以权重），见评标办法前附表。 </w:t>
      </w:r>
    </w:p>
    <w:p>
      <w:pPr>
        <w:spacing w:line="360" w:lineRule="auto"/>
        <w:ind w:firstLine="440" w:firstLineChars="200"/>
      </w:pPr>
      <w:r>
        <w:rPr>
          <w:rFonts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pPr>
        <w:pStyle w:val="10"/>
        <w:spacing w:line="357" w:lineRule="auto"/>
        <w:ind w:left="212" w:right="546" w:firstLine="420"/>
        <w:jc w:val="both"/>
        <w:rPr>
          <w:spacing w:val="-5"/>
        </w:rPr>
      </w:pPr>
      <w:r>
        <w:rPr>
          <w:rFonts w:hint="eastAsia"/>
        </w:rPr>
        <w:t>3.2.5当招标文件提供的评审表格不能满足评标委员会评审要求时，评标委员会可根据评审需要编制评审表格或对招标文件评标办法所附评审表格进行修改。</w:t>
      </w:r>
      <w:bookmarkStart w:id="113" w:name="_bookmark75"/>
      <w:bookmarkEnd w:id="113"/>
    </w:p>
    <w:p>
      <w:pPr>
        <w:pStyle w:val="10"/>
        <w:spacing w:line="357" w:lineRule="auto"/>
        <w:ind w:right="546"/>
        <w:jc w:val="both"/>
        <w:rPr>
          <w:spacing w:val="-5"/>
        </w:rPr>
      </w:pPr>
    </w:p>
    <w:p>
      <w:pPr>
        <w:pStyle w:val="10"/>
        <w:spacing w:line="357" w:lineRule="auto"/>
        <w:ind w:right="546"/>
        <w:jc w:val="both"/>
      </w:pPr>
      <w:r>
        <w:rPr>
          <w:rFonts w:hint="eastAsia"/>
          <w:spacing w:val="-5"/>
        </w:rPr>
        <w:t>3.3</w:t>
      </w:r>
      <w:r>
        <w:rPr>
          <w:rFonts w:hint="eastAsia"/>
        </w:rPr>
        <w:t>投标文件的澄清和补正</w:t>
      </w:r>
    </w:p>
    <w:p>
      <w:pPr>
        <w:spacing w:line="360" w:lineRule="auto"/>
        <w:ind w:firstLine="440" w:firstLineChars="200"/>
      </w:pPr>
      <w:r>
        <w:rPr>
          <w:rFonts w:hint="eastAsia"/>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40" w:firstLineChars="200"/>
      </w:pPr>
      <w:r>
        <w:rPr>
          <w:rFonts w:hint="eastAsia"/>
        </w:rPr>
        <w:t>3.3.2 澄清、说明和补正不得改变投标文件的实质性内容（算术性错误修正的除外）。投标人的书面澄清、说明和补正属于投标文件的组成部分。</w:t>
      </w:r>
    </w:p>
    <w:p>
      <w:pPr>
        <w:tabs>
          <w:tab w:val="left" w:pos="1106"/>
        </w:tabs>
        <w:spacing w:line="357" w:lineRule="auto"/>
        <w:ind w:right="546" w:firstLine="220" w:firstLineChars="100"/>
        <w:jc w:val="both"/>
      </w:pPr>
      <w:r>
        <w:rPr>
          <w:rFonts w:hint="eastAsia"/>
        </w:rPr>
        <w:t>3.3.3 评标委员会对投标人提交的澄清、说明或补正有疑问的，可以要求投标人进一步澄清、说明或补正，直至满足评标委员会的要求</w:t>
      </w:r>
      <w:r>
        <w:rPr>
          <w:spacing w:val="-6"/>
          <w:sz w:val="21"/>
        </w:rPr>
        <w:t>。</w:t>
      </w:r>
      <w:bookmarkStart w:id="114" w:name="_bookmark76"/>
      <w:bookmarkEnd w:id="114"/>
    </w:p>
    <w:p>
      <w:pPr>
        <w:tabs>
          <w:tab w:val="left" w:pos="1106"/>
        </w:tabs>
        <w:spacing w:line="357" w:lineRule="auto"/>
        <w:ind w:right="546" w:firstLine="108" w:firstLineChars="50"/>
        <w:jc w:val="both"/>
      </w:pPr>
      <w:r>
        <w:rPr>
          <w:rFonts w:hint="eastAsia"/>
          <w:spacing w:val="-2"/>
        </w:rPr>
        <w:t xml:space="preserve">3.4 </w:t>
      </w:r>
      <w:r>
        <w:t>评标结果</w:t>
      </w:r>
    </w:p>
    <w:p>
      <w:pPr>
        <w:spacing w:line="360" w:lineRule="auto"/>
        <w:ind w:firstLine="110" w:firstLineChars="50"/>
      </w:pPr>
      <w:r>
        <w:rPr>
          <w:rFonts w:hint="eastAsia"/>
        </w:rPr>
        <w:t>3.4.1除第二章“投标人须知”前附表授权直接确定中标人外，评标委员会按照得分由高到低的顺序推荐中标候选人。</w:t>
      </w:r>
    </w:p>
    <w:p>
      <w:pPr>
        <w:ind w:firstLine="110" w:firstLineChars="50"/>
        <w:rPr>
          <w:b/>
          <w:spacing w:val="-7"/>
        </w:rPr>
      </w:pPr>
      <w:r>
        <w:rPr>
          <w:rFonts w:hint="eastAsia"/>
        </w:rPr>
        <w:t>3.4.2 评标委员会完成评标后，应当向招标人提交书面评标报告</w:t>
      </w:r>
      <w:r>
        <w:rPr>
          <w:b/>
          <w:spacing w:val="-7"/>
        </w:rPr>
        <w:t>。</w:t>
      </w:r>
    </w:p>
    <w:p>
      <w:pPr>
        <w:ind w:firstLine="103" w:firstLineChars="50"/>
        <w:rPr>
          <w:b/>
          <w:spacing w:val="-7"/>
        </w:rPr>
      </w:pPr>
    </w:p>
    <w:p>
      <w:pPr>
        <w:ind w:firstLine="110" w:firstLineChars="50"/>
        <w:rPr>
          <w:rFonts w:ascii="Times New Roman" w:eastAsiaTheme="minorEastAsia"/>
          <w:b/>
        </w:rPr>
      </w:pPr>
    </w:p>
    <w:p>
      <w:pPr>
        <w:ind w:firstLine="110" w:firstLineChars="50"/>
        <w:rPr>
          <w:rFonts w:ascii="Times New Roman" w:eastAsiaTheme="minorEastAsia"/>
          <w:b/>
        </w:rPr>
      </w:pPr>
    </w:p>
    <w:p>
      <w:pPr>
        <w:ind w:firstLine="110" w:firstLineChars="50"/>
        <w:rPr>
          <w:rFonts w:ascii="Times New Roman" w:eastAsiaTheme="minorEastAsia"/>
          <w:b/>
        </w:rPr>
      </w:pPr>
    </w:p>
    <w:p>
      <w:pPr>
        <w:spacing w:line="360" w:lineRule="auto"/>
        <w:rPr>
          <w:rFonts w:ascii="黑体" w:eastAsia="黑体"/>
          <w:sz w:val="24"/>
        </w:rPr>
      </w:pPr>
      <w:r>
        <w:rPr>
          <w:rFonts w:hint="eastAsia" w:ascii="黑体" w:eastAsia="黑体"/>
          <w:sz w:val="24"/>
        </w:rPr>
        <w:t>附件A:评标详细程序</w:t>
      </w:r>
    </w:p>
    <w:p>
      <w:pPr>
        <w:pStyle w:val="3"/>
        <w:jc w:val="center"/>
        <w:rPr>
          <w:rFonts w:hAnsi="宋体"/>
          <w:sz w:val="28"/>
          <w:szCs w:val="28"/>
        </w:rPr>
      </w:pPr>
      <w:bookmarkStart w:id="115" w:name="_Toc37926040"/>
      <w:r>
        <w:rPr>
          <w:rFonts w:hint="eastAsia" w:hAnsi="宋体"/>
          <w:sz w:val="28"/>
          <w:szCs w:val="28"/>
        </w:rPr>
        <w:t>评标详细程序</w:t>
      </w:r>
      <w:bookmarkEnd w:id="115"/>
    </w:p>
    <w:p>
      <w:pPr>
        <w:rPr>
          <w:b/>
          <w:szCs w:val="21"/>
        </w:rPr>
      </w:pPr>
      <w:r>
        <w:rPr>
          <w:rFonts w:hint="eastAsia"/>
          <w:b/>
          <w:szCs w:val="21"/>
        </w:rPr>
        <w:t>A0.总  则</w:t>
      </w:r>
    </w:p>
    <w:p>
      <w:pPr>
        <w:spacing w:line="360" w:lineRule="auto"/>
        <w:ind w:firstLine="440" w:firstLineChars="200"/>
        <w:rPr>
          <w:szCs w:val="21"/>
        </w:rPr>
      </w:pPr>
      <w:r>
        <w:rPr>
          <w:rFonts w:hint="eastAsia"/>
          <w:szCs w:val="21"/>
        </w:rPr>
        <w:t>本附件是本章“评标办法”的组成部分，是对本章第3条所规定的评标程序的进一步细化，评标委员会应当按照本附件所规定的详细程序开展并完成评标工作。</w:t>
      </w:r>
    </w:p>
    <w:p>
      <w:pPr>
        <w:rPr>
          <w:b/>
          <w:szCs w:val="21"/>
        </w:rPr>
      </w:pPr>
      <w:r>
        <w:rPr>
          <w:rFonts w:hint="eastAsia"/>
          <w:b/>
          <w:szCs w:val="21"/>
        </w:rPr>
        <w:t>A1.基本程序</w:t>
      </w:r>
    </w:p>
    <w:p>
      <w:pPr>
        <w:spacing w:line="360" w:lineRule="auto"/>
        <w:ind w:firstLine="440" w:firstLineChars="200"/>
        <w:rPr>
          <w:szCs w:val="21"/>
        </w:rPr>
      </w:pPr>
      <w:r>
        <w:rPr>
          <w:rFonts w:hint="eastAsia"/>
          <w:szCs w:val="21"/>
        </w:rPr>
        <w:t>评标活动将按以下五个步骤进行：</w:t>
      </w:r>
    </w:p>
    <w:p>
      <w:pPr>
        <w:spacing w:beforeLines="30" w:line="360" w:lineRule="auto"/>
        <w:ind w:firstLine="440" w:firstLineChars="200"/>
        <w:rPr>
          <w:szCs w:val="21"/>
        </w:rPr>
      </w:pPr>
      <w:r>
        <w:rPr>
          <w:rFonts w:hint="eastAsia"/>
          <w:szCs w:val="21"/>
        </w:rPr>
        <w:t>（1）评标准备；</w:t>
      </w:r>
    </w:p>
    <w:p>
      <w:pPr>
        <w:spacing w:beforeLines="30" w:line="360" w:lineRule="auto"/>
        <w:ind w:firstLine="440" w:firstLineChars="200"/>
        <w:rPr>
          <w:szCs w:val="21"/>
        </w:rPr>
      </w:pPr>
      <w:r>
        <w:rPr>
          <w:rFonts w:hint="eastAsia"/>
          <w:szCs w:val="21"/>
        </w:rPr>
        <w:t>（2）初步评审；</w:t>
      </w:r>
    </w:p>
    <w:p>
      <w:pPr>
        <w:spacing w:beforeLines="30" w:line="360" w:lineRule="auto"/>
        <w:ind w:firstLine="440" w:firstLineChars="200"/>
        <w:rPr>
          <w:szCs w:val="21"/>
        </w:rPr>
      </w:pPr>
      <w:r>
        <w:rPr>
          <w:rFonts w:hint="eastAsia"/>
          <w:szCs w:val="21"/>
        </w:rPr>
        <w:t>（3）详细评审；</w:t>
      </w:r>
    </w:p>
    <w:p>
      <w:pPr>
        <w:spacing w:beforeLines="30" w:line="360" w:lineRule="auto"/>
        <w:ind w:firstLine="440" w:firstLineChars="200"/>
        <w:rPr>
          <w:szCs w:val="21"/>
        </w:rPr>
      </w:pPr>
      <w:r>
        <w:rPr>
          <w:rFonts w:hint="eastAsia"/>
          <w:szCs w:val="21"/>
        </w:rPr>
        <w:t>（4）澄清、说明或补正；</w:t>
      </w:r>
    </w:p>
    <w:p>
      <w:pPr>
        <w:spacing w:beforeLines="30" w:afterLines="30" w:line="360" w:lineRule="auto"/>
        <w:ind w:firstLine="440" w:firstLineChars="200"/>
        <w:rPr>
          <w:szCs w:val="21"/>
        </w:rPr>
      </w:pPr>
      <w:r>
        <w:rPr>
          <w:rFonts w:hint="eastAsia"/>
          <w:szCs w:val="21"/>
        </w:rPr>
        <w:t>（5）推荐中标候选人或者直接确定中标人及提交评标报告。</w:t>
      </w:r>
    </w:p>
    <w:p>
      <w:pPr>
        <w:rPr>
          <w:b/>
          <w:szCs w:val="21"/>
        </w:rPr>
      </w:pPr>
      <w:r>
        <w:rPr>
          <w:rFonts w:hint="eastAsia"/>
          <w:b/>
          <w:szCs w:val="21"/>
        </w:rPr>
        <w:t>A2.评标准备</w:t>
      </w:r>
    </w:p>
    <w:p>
      <w:pPr>
        <w:rPr>
          <w:b/>
          <w:szCs w:val="21"/>
        </w:rPr>
      </w:pPr>
      <w:r>
        <w:rPr>
          <w:rFonts w:hint="eastAsia"/>
          <w:b/>
          <w:szCs w:val="21"/>
        </w:rPr>
        <w:t>A2.1评标委员会成员签到</w:t>
      </w:r>
    </w:p>
    <w:p>
      <w:pPr>
        <w:spacing w:line="360" w:lineRule="auto"/>
        <w:ind w:firstLine="440" w:firstLineChars="200"/>
        <w:rPr>
          <w:szCs w:val="21"/>
        </w:rPr>
      </w:pPr>
      <w:r>
        <w:rPr>
          <w:rFonts w:hint="eastAsia"/>
          <w:szCs w:val="21"/>
        </w:rPr>
        <w:t>评标委员会成员到达评标现场时应在签到表上签到以证明其出席。评标委员会签到表见附表A-1。</w:t>
      </w:r>
    </w:p>
    <w:p>
      <w:pPr>
        <w:rPr>
          <w:b/>
          <w:szCs w:val="21"/>
        </w:rPr>
      </w:pPr>
      <w:r>
        <w:rPr>
          <w:rFonts w:hint="eastAsia"/>
          <w:b/>
          <w:szCs w:val="21"/>
        </w:rPr>
        <w:t>A2.2评标委员会的分工</w:t>
      </w:r>
    </w:p>
    <w:p>
      <w:pPr>
        <w:spacing w:line="360" w:lineRule="auto"/>
        <w:ind w:firstLine="440" w:firstLineChars="200"/>
        <w:rPr>
          <w:szCs w:val="21"/>
        </w:rPr>
      </w:pPr>
      <w:r>
        <w:rPr>
          <w:rFonts w:hint="eastAsia"/>
          <w:szCs w:val="21"/>
        </w:rPr>
        <w:t>评标委员会首先推选一名评标委员会组长。招标人也可以直接指定评标委员会组长。评标委员会组长负责评标活动的组织领导工作。评标委员会组长在与其他评标委员会成员商议的基础上可以将评标委员会划分为技术组和商务组。</w:t>
      </w:r>
    </w:p>
    <w:p>
      <w:pPr>
        <w:rPr>
          <w:b/>
          <w:szCs w:val="21"/>
        </w:rPr>
      </w:pPr>
      <w:r>
        <w:rPr>
          <w:rFonts w:hint="eastAsia"/>
          <w:b/>
          <w:szCs w:val="21"/>
        </w:rPr>
        <w:t>A2.3熟悉文件资料</w:t>
      </w:r>
    </w:p>
    <w:p>
      <w:pPr>
        <w:spacing w:line="360" w:lineRule="auto"/>
        <w:ind w:firstLine="440" w:firstLineChars="200"/>
        <w:rPr>
          <w:szCs w:val="21"/>
        </w:rPr>
      </w:pPr>
      <w:r>
        <w:rPr>
          <w:rFonts w:hint="eastAsia"/>
          <w:szCs w:val="21"/>
        </w:rPr>
        <w:t>A2.3.1评标委员会组长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360" w:lineRule="auto"/>
        <w:ind w:firstLine="440" w:firstLineChars="200"/>
        <w:rPr>
          <w:szCs w:val="21"/>
        </w:rPr>
      </w:pPr>
      <w:r>
        <w:rPr>
          <w:rFonts w:hint="eastAsia" w:ascii="黑体" w:eastAsia="黑体"/>
          <w:szCs w:val="21"/>
        </w:rPr>
        <w:t>A2.3.2</w:t>
      </w:r>
      <w:r>
        <w:rPr>
          <w:rFonts w:hint="eastAsia"/>
          <w:szCs w:val="21"/>
        </w:rPr>
        <w:t>招标人或招标代理机构应向评标委员会提供评标所需的信息和数据，包括招标文件、未在开标会上当场拒绝的各投标文件、开标会记录、</w:t>
      </w:r>
      <w:r>
        <w:rPr>
          <w:rFonts w:hint="eastAsia"/>
        </w:rPr>
        <w:t>开标现场抽取的合理报价范围的上限和下限、K值、</w:t>
      </w:r>
      <w:r>
        <w:rPr>
          <w:rFonts w:hint="eastAsia"/>
          <w:szCs w:val="21"/>
        </w:rPr>
        <w:t>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pPr>
        <w:rPr>
          <w:b/>
          <w:szCs w:val="21"/>
        </w:rPr>
      </w:pPr>
      <w:r>
        <w:rPr>
          <w:rFonts w:hint="eastAsia"/>
          <w:b/>
          <w:szCs w:val="21"/>
        </w:rPr>
        <w:t>A2.4暗标编号(适用于对技术标进行暗标评审的)</w:t>
      </w:r>
    </w:p>
    <w:p>
      <w:pPr>
        <w:adjustRightInd w:val="0"/>
        <w:snapToGrid w:val="0"/>
        <w:spacing w:line="360" w:lineRule="auto"/>
        <w:ind w:firstLine="440" w:firstLineChars="200"/>
        <w:rPr>
          <w:szCs w:val="21"/>
        </w:rPr>
      </w:pPr>
      <w:r>
        <w:rPr>
          <w:rFonts w:hint="eastAsia"/>
          <w:szCs w:val="21"/>
        </w:rPr>
        <w:t>第二章“投标人须知”前附表第10．3款要求对技术标采用“暗标”评审方式且第六章“投标文件格式”中对技术标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pPr>
        <w:rPr>
          <w:b/>
          <w:szCs w:val="21"/>
        </w:rPr>
      </w:pPr>
      <w:r>
        <w:rPr>
          <w:rFonts w:hint="eastAsia"/>
          <w:b/>
          <w:szCs w:val="21"/>
        </w:rPr>
        <w:t>A2.5对投标文件进行基础性数据分析和整理工作(清标)</w:t>
      </w:r>
    </w:p>
    <w:p>
      <w:pPr>
        <w:adjustRightInd w:val="0"/>
        <w:snapToGrid w:val="0"/>
        <w:spacing w:line="360" w:lineRule="auto"/>
        <w:ind w:firstLine="440" w:firstLineChars="200"/>
        <w:rPr>
          <w:szCs w:val="21"/>
        </w:rPr>
      </w:pPr>
      <w:r>
        <w:rPr>
          <w:rFonts w:hint="eastAsia" w:ascii="黑体" w:eastAsia="黑体"/>
          <w:szCs w:val="21"/>
        </w:rPr>
        <w:t>A2.5.1</w:t>
      </w:r>
      <w:r>
        <w:rPr>
          <w:rFonts w:hint="eastAsia"/>
          <w:szCs w:val="21"/>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adjustRightInd w:val="0"/>
        <w:snapToGrid w:val="0"/>
        <w:spacing w:line="360" w:lineRule="auto"/>
        <w:ind w:firstLine="440" w:firstLineChars="200"/>
        <w:rPr>
          <w:szCs w:val="21"/>
        </w:rPr>
      </w:pPr>
      <w:r>
        <w:rPr>
          <w:rFonts w:hint="eastAsia" w:ascii="黑体" w:eastAsia="黑体"/>
          <w:szCs w:val="21"/>
        </w:rPr>
        <w:t>A2.5.2</w:t>
      </w:r>
      <w:r>
        <w:rPr>
          <w:rFonts w:hint="eastAsia"/>
          <w:szCs w:val="21"/>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adjustRightInd w:val="0"/>
        <w:snapToGrid w:val="0"/>
        <w:spacing w:line="360" w:lineRule="auto"/>
        <w:ind w:firstLine="440" w:firstLineChars="200"/>
        <w:rPr>
          <w:szCs w:val="21"/>
        </w:rPr>
      </w:pPr>
      <w:r>
        <w:rPr>
          <w:rFonts w:hint="eastAsia" w:ascii="黑体" w:eastAsia="黑体"/>
          <w:szCs w:val="21"/>
        </w:rPr>
        <w:t>A2.5.3</w:t>
      </w:r>
      <w:r>
        <w:rPr>
          <w:rFonts w:hint="eastAsia"/>
          <w:szCs w:val="21"/>
        </w:rPr>
        <w:t>投标人接到评标委员会发出的问题澄清通知后，应按评标委员会的要求提供书面澄清资料并按要求进行密封，在规定的时间递交到指定地点。投标人递交的书面澄清资料由评标委员会开启。</w:t>
      </w:r>
    </w:p>
    <w:p>
      <w:pPr>
        <w:rPr>
          <w:b/>
          <w:szCs w:val="21"/>
        </w:rPr>
      </w:pPr>
      <w:r>
        <w:rPr>
          <w:rFonts w:hint="eastAsia"/>
          <w:b/>
          <w:szCs w:val="21"/>
        </w:rPr>
        <w:t>A3初步评审</w:t>
      </w:r>
    </w:p>
    <w:p>
      <w:pPr>
        <w:rPr>
          <w:b/>
          <w:szCs w:val="21"/>
        </w:rPr>
      </w:pPr>
      <w:r>
        <w:rPr>
          <w:rFonts w:hint="eastAsia"/>
          <w:b/>
          <w:szCs w:val="21"/>
        </w:rPr>
        <w:t>A3.1形式评审</w:t>
      </w:r>
    </w:p>
    <w:p>
      <w:pPr>
        <w:adjustRightInd w:val="0"/>
        <w:snapToGrid w:val="0"/>
        <w:spacing w:line="360" w:lineRule="auto"/>
        <w:ind w:firstLine="440" w:firstLineChars="200"/>
        <w:rPr>
          <w:szCs w:val="21"/>
        </w:rPr>
      </w:pPr>
      <w:r>
        <w:rPr>
          <w:rFonts w:hint="eastAsia"/>
          <w:szCs w:val="21"/>
        </w:rPr>
        <w:t>评标委员会根据评标办法前附表中规定的评审因素和评审标准，对投标人的投标文件进行形式评审，并使用附表A-2记录评审结果。</w:t>
      </w:r>
    </w:p>
    <w:p>
      <w:pPr>
        <w:rPr>
          <w:b/>
          <w:szCs w:val="21"/>
        </w:rPr>
      </w:pPr>
      <w:r>
        <w:rPr>
          <w:rFonts w:hint="eastAsia"/>
          <w:b/>
          <w:szCs w:val="21"/>
        </w:rPr>
        <w:t>A3.2资格评审</w:t>
      </w:r>
    </w:p>
    <w:p>
      <w:pPr>
        <w:adjustRightInd w:val="0"/>
        <w:snapToGrid w:val="0"/>
        <w:spacing w:line="360" w:lineRule="auto"/>
        <w:ind w:firstLine="440" w:firstLineChars="200"/>
        <w:rPr>
          <w:szCs w:val="21"/>
        </w:rPr>
      </w:pPr>
      <w:r>
        <w:rPr>
          <w:rFonts w:hint="eastAsia" w:ascii="黑体" w:eastAsia="黑体"/>
          <w:szCs w:val="21"/>
        </w:rPr>
        <w:t xml:space="preserve">A3.2.1 </w:t>
      </w:r>
      <w:r>
        <w:rPr>
          <w:rFonts w:hint="eastAsia"/>
          <w:szCs w:val="21"/>
        </w:rPr>
        <w:t xml:space="preserve"> 评标委员会根据评标办法前附表中规定的评审因素和评审标准，对投标人的投标文件进行资格评审，并使用附表A-3记录评审结果。(适用于资格后审的)</w:t>
      </w:r>
    </w:p>
    <w:p>
      <w:pPr>
        <w:adjustRightInd w:val="0"/>
        <w:snapToGrid w:val="0"/>
        <w:spacing w:line="360" w:lineRule="auto"/>
        <w:ind w:firstLine="440" w:firstLineChars="200"/>
        <w:rPr>
          <w:szCs w:val="21"/>
        </w:rPr>
      </w:pPr>
      <w:r>
        <w:rPr>
          <w:rFonts w:hint="eastAsia" w:ascii="黑体" w:eastAsia="黑体"/>
          <w:szCs w:val="21"/>
        </w:rPr>
        <w:t>A3.2.1</w:t>
      </w:r>
      <w:r>
        <w:rPr>
          <w:rFonts w:hint="eastAsia"/>
          <w:szCs w:val="21"/>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pPr>
        <w:adjustRightInd w:val="0"/>
        <w:snapToGrid w:val="0"/>
        <w:spacing w:beforeLines="30" w:line="360" w:lineRule="auto"/>
        <w:ind w:firstLine="440" w:firstLineChars="200"/>
        <w:rPr>
          <w:szCs w:val="21"/>
        </w:rPr>
      </w:pPr>
      <w:r>
        <w:rPr>
          <w:rFonts w:hint="eastAsia"/>
          <w:szCs w:val="21"/>
        </w:rPr>
        <w:t>(1)资格预审采用“合格制”的，投标文件中更新的资料应当符合资格预审文件中规定的审查标准，否则否决其投标；</w:t>
      </w:r>
    </w:p>
    <w:p>
      <w:pPr>
        <w:adjustRightInd w:val="0"/>
        <w:snapToGrid w:val="0"/>
        <w:spacing w:beforeLines="30" w:line="360" w:lineRule="auto"/>
        <w:ind w:firstLine="440" w:firstLineChars="200"/>
        <w:rPr>
          <w:szCs w:val="21"/>
        </w:rPr>
      </w:pPr>
      <w:r>
        <w:rPr>
          <w:rFonts w:hint="eastAsia"/>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否决其投标。</w:t>
      </w:r>
    </w:p>
    <w:p>
      <w:pPr>
        <w:rPr>
          <w:b/>
          <w:szCs w:val="21"/>
        </w:rPr>
      </w:pPr>
      <w:r>
        <w:rPr>
          <w:rFonts w:hint="eastAsia" w:ascii="黑体" w:eastAsia="黑体"/>
          <w:b/>
          <w:szCs w:val="21"/>
        </w:rPr>
        <w:t xml:space="preserve">A3．3 </w:t>
      </w:r>
      <w:r>
        <w:rPr>
          <w:rFonts w:hint="eastAsia"/>
          <w:b/>
          <w:szCs w:val="21"/>
        </w:rPr>
        <w:t>响应性评审</w:t>
      </w:r>
    </w:p>
    <w:p>
      <w:pPr>
        <w:adjustRightInd w:val="0"/>
        <w:snapToGrid w:val="0"/>
        <w:spacing w:line="360" w:lineRule="auto"/>
        <w:ind w:firstLine="440" w:firstLineChars="200"/>
        <w:rPr>
          <w:szCs w:val="21"/>
        </w:rPr>
      </w:pPr>
      <w:r>
        <w:rPr>
          <w:rFonts w:hint="eastAsia" w:ascii="黑体" w:eastAsia="黑体"/>
          <w:szCs w:val="21"/>
        </w:rPr>
        <w:t>A3.3.1</w:t>
      </w:r>
      <w:r>
        <w:rPr>
          <w:rFonts w:hint="eastAsia"/>
          <w:szCs w:val="21"/>
        </w:rPr>
        <w:t>评标委员会根据评标办法前附表中规定的评审因素和评审标准，对投标人的投标文件进行响应性评审，并使用附表A-4记录评审结果。</w:t>
      </w:r>
    </w:p>
    <w:p>
      <w:pPr>
        <w:adjustRightInd w:val="0"/>
        <w:snapToGrid w:val="0"/>
        <w:spacing w:line="360" w:lineRule="auto"/>
        <w:ind w:firstLine="440" w:firstLineChars="200"/>
        <w:rPr>
          <w:szCs w:val="21"/>
        </w:rPr>
      </w:pPr>
      <w:r>
        <w:rPr>
          <w:rFonts w:hint="eastAsia" w:ascii="黑体" w:eastAsia="黑体"/>
          <w:szCs w:val="21"/>
        </w:rPr>
        <w:t>A3.3.２</w:t>
      </w:r>
      <w:r>
        <w:rPr>
          <w:rFonts w:hint="eastAsia"/>
          <w:szCs w:val="21"/>
        </w:rPr>
        <w:t>投标人投标价格不得超出(不含等于)按照第二章“投标人须知”前附表第3.2.4款载明的招标控制价，凡投标人的投标价格超出招标控制价的，该投标人的投标文件不能通过响应性评审。</w:t>
      </w:r>
    </w:p>
    <w:p>
      <w:pPr>
        <w:rPr>
          <w:b/>
        </w:rPr>
      </w:pPr>
      <w:r>
        <w:rPr>
          <w:rFonts w:hint="eastAsia" w:ascii="黑体" w:eastAsia="黑体"/>
          <w:b/>
          <w:szCs w:val="21"/>
        </w:rPr>
        <w:t>A3.4</w:t>
      </w:r>
      <w:r>
        <w:rPr>
          <w:rFonts w:hint="eastAsia"/>
          <w:b/>
          <w:szCs w:val="21"/>
        </w:rPr>
        <w:t xml:space="preserve">  </w:t>
      </w:r>
      <w:r>
        <w:rPr>
          <w:rFonts w:hint="eastAsia"/>
          <w:b/>
        </w:rPr>
        <w:t>判断投标是否为被否决</w:t>
      </w:r>
    </w:p>
    <w:p>
      <w:pPr>
        <w:spacing w:line="360" w:lineRule="auto"/>
        <w:ind w:firstLine="440" w:firstLineChars="200"/>
      </w:pPr>
      <w:r>
        <w:rPr>
          <w:rFonts w:hint="eastAsia"/>
        </w:rPr>
        <w:t>A3.4.1判断投标人的投标是否有否决性条件的全部条件（包括本章第3.1.2项中规定的条件）中的条件，在投标文件否决性条款摘要中集中列示。</w:t>
      </w:r>
    </w:p>
    <w:p>
      <w:pPr>
        <w:spacing w:line="360" w:lineRule="auto"/>
        <w:ind w:firstLine="440" w:firstLineChars="200"/>
      </w:pPr>
      <w:r>
        <w:rPr>
          <w:rFonts w:hint="eastAsia"/>
        </w:rPr>
        <w:t>A3.4.2第二章“投标人须知”和本章正文部分包括的否决性条件不应与投标文件否决性条款摘要集中列示的否决性条件抵触，如果出现相互矛盾的情况，以投标文件否决性条款摘要的规定为准。</w:t>
      </w:r>
    </w:p>
    <w:p>
      <w:pPr>
        <w:spacing w:line="360" w:lineRule="auto"/>
        <w:ind w:firstLine="440" w:firstLineChars="200"/>
      </w:pPr>
      <w:r>
        <w:rPr>
          <w:rFonts w:hint="eastAsia"/>
        </w:rPr>
        <w:t>A3.4.3评标委员会在评标（包括初步评审和详细评审）过程中，依据投标文件否决性条款摘要中规定的否决性条件判断投标人的投标是否被否决。</w:t>
      </w:r>
    </w:p>
    <w:p>
      <w:pPr>
        <w:rPr>
          <w:b/>
          <w:szCs w:val="21"/>
        </w:rPr>
      </w:pPr>
      <w:r>
        <w:rPr>
          <w:rFonts w:hint="eastAsia" w:ascii="黑体" w:eastAsia="黑体"/>
          <w:b/>
          <w:szCs w:val="21"/>
        </w:rPr>
        <w:t>A3.5</w:t>
      </w:r>
      <w:r>
        <w:rPr>
          <w:rFonts w:hint="eastAsia"/>
          <w:b/>
          <w:szCs w:val="21"/>
        </w:rPr>
        <w:t>算术错误修正</w:t>
      </w:r>
    </w:p>
    <w:p>
      <w:pPr>
        <w:adjustRightInd w:val="0"/>
        <w:snapToGrid w:val="0"/>
        <w:spacing w:line="360" w:lineRule="auto"/>
        <w:ind w:firstLine="440" w:firstLineChars="200"/>
        <w:rPr>
          <w:szCs w:val="21"/>
        </w:rPr>
      </w:pPr>
      <w:r>
        <w:rPr>
          <w:rFonts w:hint="eastAsia"/>
          <w:szCs w:val="21"/>
        </w:rPr>
        <w:t>评标委员会依据本章中规定的相关原则对投标报价中存在的算术错误进行修正，并根据算术错误修正结果计算评标价。</w:t>
      </w:r>
    </w:p>
    <w:p>
      <w:pPr>
        <w:rPr>
          <w:b/>
          <w:szCs w:val="21"/>
        </w:rPr>
      </w:pPr>
      <w:r>
        <w:rPr>
          <w:rFonts w:hint="eastAsia" w:ascii="黑体" w:eastAsia="黑体"/>
          <w:b/>
          <w:szCs w:val="21"/>
        </w:rPr>
        <w:t>A3．6</w:t>
      </w:r>
      <w:r>
        <w:rPr>
          <w:rFonts w:hint="eastAsia"/>
          <w:b/>
          <w:szCs w:val="21"/>
        </w:rPr>
        <w:t>澄清、说明或补正</w:t>
      </w:r>
    </w:p>
    <w:p>
      <w:pPr>
        <w:adjustRightInd w:val="0"/>
        <w:snapToGrid w:val="0"/>
        <w:spacing w:line="360" w:lineRule="auto"/>
        <w:ind w:firstLine="440" w:firstLineChars="200"/>
        <w:rPr>
          <w:szCs w:val="21"/>
        </w:rPr>
      </w:pPr>
      <w:r>
        <w:rPr>
          <w:rFonts w:hint="eastAsia"/>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rPr>
          <w:b/>
          <w:szCs w:val="21"/>
        </w:rPr>
      </w:pPr>
      <w:r>
        <w:rPr>
          <w:rFonts w:hint="eastAsia" w:ascii="黑体" w:eastAsia="黑体"/>
          <w:b/>
          <w:szCs w:val="21"/>
        </w:rPr>
        <w:t>A4</w:t>
      </w:r>
      <w:r>
        <w:rPr>
          <w:rFonts w:hint="eastAsia"/>
          <w:b/>
          <w:szCs w:val="21"/>
        </w:rPr>
        <w:t>．详细评审</w:t>
      </w:r>
    </w:p>
    <w:p>
      <w:pPr>
        <w:adjustRightInd w:val="0"/>
        <w:snapToGrid w:val="0"/>
        <w:spacing w:line="360" w:lineRule="auto"/>
        <w:ind w:firstLine="440" w:firstLineChars="200"/>
        <w:rPr>
          <w:szCs w:val="21"/>
        </w:rPr>
      </w:pPr>
      <w:r>
        <w:rPr>
          <w:rFonts w:hint="eastAsia"/>
          <w:szCs w:val="21"/>
        </w:rPr>
        <w:t>只有通过了初步评审、被判定为合格的投标方可进入详细评审。</w:t>
      </w:r>
    </w:p>
    <w:p>
      <w:pPr>
        <w:rPr>
          <w:b/>
          <w:szCs w:val="21"/>
        </w:rPr>
      </w:pPr>
      <w:r>
        <w:rPr>
          <w:rFonts w:hint="eastAsia" w:ascii="黑体" w:eastAsia="黑体"/>
          <w:b/>
          <w:szCs w:val="21"/>
        </w:rPr>
        <w:t>A4.1</w:t>
      </w:r>
      <w:r>
        <w:rPr>
          <w:rFonts w:hint="eastAsia"/>
          <w:b/>
          <w:szCs w:val="21"/>
        </w:rPr>
        <w:t>详细评审的程序</w:t>
      </w:r>
    </w:p>
    <w:p>
      <w:pPr>
        <w:adjustRightInd w:val="0"/>
        <w:snapToGrid w:val="0"/>
        <w:spacing w:line="360" w:lineRule="auto"/>
        <w:ind w:firstLine="110" w:firstLineChars="50"/>
        <w:rPr>
          <w:szCs w:val="21"/>
        </w:rPr>
      </w:pPr>
      <w:r>
        <w:rPr>
          <w:rFonts w:hint="eastAsia"/>
          <w:szCs w:val="21"/>
        </w:rPr>
        <w:t>A4.1.1评标委员会按照本章第3．2款中规定的程序进行详细评审：</w:t>
      </w:r>
    </w:p>
    <w:p>
      <w:pPr>
        <w:adjustRightInd w:val="0"/>
        <w:snapToGrid w:val="0"/>
        <w:spacing w:line="360" w:lineRule="auto"/>
        <w:ind w:firstLine="440" w:firstLineChars="200"/>
        <w:rPr>
          <w:szCs w:val="21"/>
        </w:rPr>
      </w:pPr>
      <w:r>
        <w:rPr>
          <w:rFonts w:hint="eastAsia"/>
          <w:szCs w:val="21"/>
        </w:rPr>
        <w:t>(1)技术标评审和评分；</w:t>
      </w:r>
    </w:p>
    <w:p>
      <w:pPr>
        <w:adjustRightInd w:val="0"/>
        <w:snapToGrid w:val="0"/>
        <w:spacing w:line="360" w:lineRule="auto"/>
        <w:ind w:firstLine="440" w:firstLineChars="200"/>
        <w:rPr>
          <w:szCs w:val="21"/>
        </w:rPr>
      </w:pPr>
      <w:r>
        <w:rPr>
          <w:rFonts w:hint="eastAsia"/>
          <w:szCs w:val="21"/>
        </w:rPr>
        <w:t>(2)投标报价评审和评分，并对明显低于其他投标报价的投标报价，或者在设有标底时明显低于标底的投标报价，判断是否低于其个别成本；</w:t>
      </w:r>
    </w:p>
    <w:p>
      <w:pPr>
        <w:adjustRightInd w:val="0"/>
        <w:snapToGrid w:val="0"/>
        <w:spacing w:line="360" w:lineRule="auto"/>
        <w:ind w:firstLine="440" w:firstLineChars="200"/>
        <w:rPr>
          <w:szCs w:val="21"/>
        </w:rPr>
      </w:pPr>
      <w:r>
        <w:rPr>
          <w:rFonts w:hint="eastAsia"/>
          <w:szCs w:val="21"/>
        </w:rPr>
        <w:t>（3）信用因素评分；</w:t>
      </w:r>
    </w:p>
    <w:p>
      <w:pPr>
        <w:adjustRightInd w:val="0"/>
        <w:snapToGrid w:val="0"/>
        <w:spacing w:line="360" w:lineRule="auto"/>
        <w:ind w:firstLine="440" w:firstLineChars="200"/>
        <w:rPr>
          <w:szCs w:val="21"/>
        </w:rPr>
      </w:pPr>
      <w:r>
        <w:rPr>
          <w:rFonts w:hint="eastAsia"/>
          <w:szCs w:val="21"/>
        </w:rPr>
        <w:t xml:space="preserve"> (4)汇总评分结果。</w:t>
      </w:r>
    </w:p>
    <w:p>
      <w:pPr>
        <w:adjustRightInd w:val="0"/>
        <w:snapToGrid w:val="0"/>
        <w:spacing w:line="360" w:lineRule="auto"/>
        <w:rPr>
          <w:b/>
          <w:szCs w:val="21"/>
        </w:rPr>
      </w:pPr>
      <w:r>
        <w:rPr>
          <w:rFonts w:hint="eastAsia" w:ascii="黑体" w:eastAsia="黑体"/>
          <w:b/>
          <w:szCs w:val="21"/>
        </w:rPr>
        <w:t>A4.2</w:t>
      </w:r>
      <w:r>
        <w:rPr>
          <w:rFonts w:hint="eastAsia"/>
          <w:b/>
          <w:szCs w:val="21"/>
        </w:rPr>
        <w:t xml:space="preserve">  技术标评审和评分</w:t>
      </w:r>
    </w:p>
    <w:p>
      <w:pPr>
        <w:adjustRightInd w:val="0"/>
        <w:snapToGrid w:val="0"/>
        <w:spacing w:line="360" w:lineRule="auto"/>
        <w:rPr>
          <w:szCs w:val="21"/>
        </w:rPr>
      </w:pPr>
      <w:r>
        <w:rPr>
          <w:rFonts w:hint="eastAsia"/>
          <w:szCs w:val="21"/>
        </w:rPr>
        <w:t>A4.2.1评标委员会按照评标办法前附表中规定的分值设定、各项评分因素、评分标准，对技术标进行评审和评分，并使用附表A-5、6记录对技术标的评分结果。</w:t>
      </w:r>
    </w:p>
    <w:p>
      <w:pPr>
        <w:rPr>
          <w:b/>
          <w:szCs w:val="21"/>
        </w:rPr>
      </w:pPr>
      <w:r>
        <w:rPr>
          <w:rFonts w:hint="eastAsia" w:ascii="黑体" w:eastAsia="黑体"/>
          <w:b/>
          <w:szCs w:val="21"/>
        </w:rPr>
        <w:t>A4．3</w:t>
      </w:r>
      <w:r>
        <w:rPr>
          <w:rFonts w:hint="eastAsia"/>
          <w:b/>
          <w:szCs w:val="21"/>
        </w:rPr>
        <w:t>商务报价评审和评分</w:t>
      </w:r>
    </w:p>
    <w:p>
      <w:pPr>
        <w:adjustRightInd w:val="0"/>
        <w:snapToGrid w:val="0"/>
        <w:spacing w:line="360" w:lineRule="auto"/>
        <w:ind w:firstLine="440" w:firstLineChars="200"/>
        <w:rPr>
          <w:szCs w:val="21"/>
        </w:rPr>
      </w:pPr>
      <w:r>
        <w:rPr>
          <w:rFonts w:hint="eastAsia" w:ascii="黑体" w:eastAsia="黑体"/>
          <w:szCs w:val="21"/>
        </w:rPr>
        <w:t>A4.3.1</w:t>
      </w:r>
      <w:r>
        <w:rPr>
          <w:rFonts w:hint="eastAsia"/>
          <w:szCs w:val="21"/>
        </w:rPr>
        <w:t>按照评标办法前附表中规定的方法计算“评标基准价”。</w:t>
      </w:r>
    </w:p>
    <w:p>
      <w:pPr>
        <w:adjustRightInd w:val="0"/>
        <w:snapToGrid w:val="0"/>
        <w:spacing w:beforeLines="20" w:line="360" w:lineRule="auto"/>
        <w:ind w:firstLine="440" w:firstLineChars="200"/>
        <w:rPr>
          <w:szCs w:val="21"/>
        </w:rPr>
      </w:pPr>
      <w:r>
        <w:rPr>
          <w:rFonts w:hint="eastAsia"/>
          <w:szCs w:val="21"/>
        </w:rPr>
        <w:t>A4.3.2按照评标办法前附表中规定的评分标准，分别对各个投标报价进行评分，并使用附表A—7记录对商务报价的评分结果。</w:t>
      </w:r>
    </w:p>
    <w:p>
      <w:pPr>
        <w:rPr>
          <w:b/>
          <w:szCs w:val="21"/>
        </w:rPr>
      </w:pPr>
      <w:r>
        <w:rPr>
          <w:rFonts w:hint="eastAsia" w:ascii="黑体" w:eastAsia="黑体"/>
          <w:b/>
          <w:szCs w:val="21"/>
        </w:rPr>
        <w:t>A4．4</w:t>
      </w:r>
      <w:r>
        <w:rPr>
          <w:rFonts w:hint="eastAsia"/>
          <w:b/>
          <w:szCs w:val="21"/>
        </w:rPr>
        <w:t>信用因素评审和评分</w:t>
      </w:r>
    </w:p>
    <w:p>
      <w:pPr>
        <w:adjustRightInd w:val="0"/>
        <w:snapToGrid w:val="0"/>
        <w:spacing w:line="360" w:lineRule="auto"/>
        <w:ind w:firstLine="440" w:firstLineChars="200"/>
        <w:rPr>
          <w:szCs w:val="21"/>
        </w:rPr>
      </w:pPr>
      <w:r>
        <w:rPr>
          <w:rFonts w:hint="eastAsia" w:ascii="黑体" w:eastAsia="黑体"/>
          <w:szCs w:val="21"/>
        </w:rPr>
        <w:t>A4.4.1</w:t>
      </w:r>
      <w:r>
        <w:rPr>
          <w:rFonts w:hint="eastAsia"/>
          <w:szCs w:val="21"/>
        </w:rPr>
        <w:t>按照开标当天“江门市建筑业企业信用管理信息系统”公布的信用等级确定投标人的信用等级。</w:t>
      </w:r>
    </w:p>
    <w:p>
      <w:pPr>
        <w:adjustRightInd w:val="0"/>
        <w:snapToGrid w:val="0"/>
        <w:spacing w:line="360" w:lineRule="auto"/>
        <w:ind w:firstLine="440" w:firstLineChars="200"/>
        <w:rPr>
          <w:szCs w:val="21"/>
        </w:rPr>
      </w:pPr>
      <w:r>
        <w:rPr>
          <w:rFonts w:hint="eastAsia" w:ascii="黑体" w:eastAsia="黑体"/>
          <w:szCs w:val="21"/>
        </w:rPr>
        <w:t>A4.4.2</w:t>
      </w:r>
      <w:r>
        <w:rPr>
          <w:rFonts w:hint="eastAsia"/>
          <w:szCs w:val="21"/>
        </w:rPr>
        <w:t>按照评标办法前附表中规定的评分标准，分别对各个投标人的信用因素进行评分，并使用附表A—8记录对信用因素的评分结果。</w:t>
      </w:r>
    </w:p>
    <w:p>
      <w:pPr>
        <w:rPr>
          <w:b/>
          <w:szCs w:val="21"/>
        </w:rPr>
      </w:pPr>
      <w:r>
        <w:rPr>
          <w:rFonts w:hint="eastAsia" w:ascii="黑体" w:eastAsia="黑体"/>
          <w:b/>
          <w:szCs w:val="21"/>
        </w:rPr>
        <w:t>A4.5</w:t>
      </w:r>
      <w:r>
        <w:rPr>
          <w:rFonts w:hint="eastAsia"/>
          <w:b/>
          <w:szCs w:val="21"/>
        </w:rPr>
        <w:t xml:space="preserve">  澄清、说明或补正</w:t>
      </w:r>
    </w:p>
    <w:p>
      <w:pPr>
        <w:adjustRightInd w:val="0"/>
        <w:snapToGrid w:val="0"/>
        <w:spacing w:line="360" w:lineRule="auto"/>
        <w:ind w:firstLine="440" w:firstLineChars="200"/>
        <w:rPr>
          <w:szCs w:val="21"/>
        </w:rPr>
      </w:pPr>
      <w:r>
        <w:rPr>
          <w:rFonts w:hint="eastAsia"/>
          <w:szCs w:val="21"/>
        </w:rPr>
        <w:t>在详细评审过程中，评标委员会应当就投标文件中不明确的内容要求投标人进行澄清、说明或者补正。投标人对此以书面形式予以澄清、说明或者补正。澄清、说明或补正根据本章第3.3款的规定执行。</w:t>
      </w:r>
    </w:p>
    <w:p>
      <w:pPr>
        <w:rPr>
          <w:b/>
          <w:szCs w:val="21"/>
        </w:rPr>
      </w:pPr>
      <w:r>
        <w:rPr>
          <w:rFonts w:hint="eastAsia" w:ascii="黑体" w:eastAsia="黑体"/>
          <w:b/>
          <w:szCs w:val="21"/>
        </w:rPr>
        <w:t xml:space="preserve">A4.6  </w:t>
      </w:r>
      <w:r>
        <w:rPr>
          <w:rFonts w:hint="eastAsia"/>
          <w:b/>
          <w:szCs w:val="21"/>
        </w:rPr>
        <w:t>汇总评分结果</w:t>
      </w:r>
    </w:p>
    <w:p>
      <w:pPr>
        <w:adjustRightInd w:val="0"/>
        <w:snapToGrid w:val="0"/>
        <w:spacing w:line="360" w:lineRule="auto"/>
        <w:ind w:firstLine="440" w:firstLineChars="200"/>
        <w:rPr>
          <w:szCs w:val="21"/>
        </w:rPr>
      </w:pPr>
      <w:r>
        <w:rPr>
          <w:rFonts w:hint="eastAsia"/>
          <w:szCs w:val="21"/>
        </w:rPr>
        <w:t>A4.6.1评标委员会成员应按照附表A-7的格式填写详细评审评分汇总表。</w:t>
      </w:r>
    </w:p>
    <w:p>
      <w:pPr>
        <w:adjustRightInd w:val="0"/>
        <w:snapToGrid w:val="0"/>
        <w:spacing w:line="360" w:lineRule="auto"/>
        <w:ind w:firstLine="440" w:firstLineChars="200"/>
        <w:rPr>
          <w:szCs w:val="21"/>
        </w:rPr>
      </w:pPr>
      <w:r>
        <w:rPr>
          <w:rFonts w:hint="eastAsia"/>
          <w:szCs w:val="21"/>
        </w:rPr>
        <w:t>A4.6.2详细评审工作全部结束后，按照附表A-9的格式汇总各个评标委员会成员的详细评审评分结果，并按照详细评审最终得分由高至低的次序对投标人进行排序。</w:t>
      </w:r>
    </w:p>
    <w:p>
      <w:pPr>
        <w:rPr>
          <w:b/>
          <w:szCs w:val="21"/>
        </w:rPr>
      </w:pPr>
      <w:r>
        <w:rPr>
          <w:rFonts w:hint="eastAsia" w:ascii="黑体" w:eastAsia="黑体"/>
          <w:b/>
          <w:szCs w:val="21"/>
        </w:rPr>
        <w:t xml:space="preserve">A5. </w:t>
      </w:r>
      <w:r>
        <w:rPr>
          <w:rFonts w:hint="eastAsia"/>
          <w:b/>
          <w:szCs w:val="21"/>
        </w:rPr>
        <w:t xml:space="preserve"> 推荐中标候选人或者直接确定中标人</w:t>
      </w:r>
    </w:p>
    <w:p>
      <w:pPr>
        <w:rPr>
          <w:b/>
          <w:szCs w:val="21"/>
        </w:rPr>
      </w:pPr>
      <w:r>
        <w:rPr>
          <w:rFonts w:hint="eastAsia" w:ascii="黑体" w:eastAsia="黑体"/>
          <w:b/>
          <w:szCs w:val="21"/>
        </w:rPr>
        <w:t xml:space="preserve">A5.1  </w:t>
      </w:r>
      <w:r>
        <w:rPr>
          <w:rFonts w:hint="eastAsia"/>
          <w:b/>
          <w:szCs w:val="21"/>
        </w:rPr>
        <w:t>推荐中标候选人</w:t>
      </w:r>
    </w:p>
    <w:p>
      <w:pPr>
        <w:adjustRightInd w:val="0"/>
        <w:snapToGrid w:val="0"/>
        <w:spacing w:line="360" w:lineRule="auto"/>
        <w:ind w:firstLine="440" w:firstLineChars="200"/>
        <w:rPr>
          <w:szCs w:val="21"/>
        </w:rPr>
      </w:pPr>
      <w:r>
        <w:rPr>
          <w:rFonts w:hint="eastAsia" w:ascii="黑体" w:eastAsia="黑体"/>
          <w:szCs w:val="21"/>
        </w:rPr>
        <w:t>A5.1.1</w:t>
      </w:r>
      <w:r>
        <w:rPr>
          <w:rFonts w:hint="eastAsia"/>
          <w:szCs w:val="21"/>
        </w:rPr>
        <w:t xml:space="preserve">  除第二章“投标人须知”前附表第7．1款授权直接确定中标人外，评标委员会在推荐中标候选人时，应遵照以下原则:</w:t>
      </w:r>
    </w:p>
    <w:p>
      <w:pPr>
        <w:adjustRightInd w:val="0"/>
        <w:snapToGrid w:val="0"/>
        <w:spacing w:line="360" w:lineRule="auto"/>
        <w:ind w:left="169" w:leftChars="77" w:firstLine="220" w:firstLineChars="100"/>
        <w:rPr>
          <w:szCs w:val="21"/>
        </w:rPr>
      </w:pPr>
      <w:r>
        <w:rPr>
          <w:rFonts w:hint="eastAsia"/>
          <w:szCs w:val="21"/>
        </w:rPr>
        <w:t>评标委员会按照最终得分由高至低的次序排列，并根据第二章“投标人须知”前附表第7.1款规定的中标候选人数量，将排序在前的投标人推荐为中标候选人。</w:t>
      </w:r>
    </w:p>
    <w:p>
      <w:pPr>
        <w:adjustRightInd w:val="0"/>
        <w:snapToGrid w:val="0"/>
        <w:spacing w:line="360" w:lineRule="auto"/>
        <w:ind w:firstLine="440" w:firstLineChars="200"/>
        <w:rPr>
          <w:szCs w:val="21"/>
        </w:rPr>
      </w:pPr>
      <w:r>
        <w:rPr>
          <w:rFonts w:hint="eastAsia" w:ascii="黑体" w:eastAsia="黑体"/>
          <w:szCs w:val="21"/>
        </w:rPr>
        <w:t xml:space="preserve">A5.2.2  </w:t>
      </w:r>
      <w:r>
        <w:rPr>
          <w:rFonts w:hint="eastAsia"/>
        </w:rPr>
        <w:t>若出现投标人须知第8.1款的情形之一时，</w:t>
      </w:r>
      <w:r>
        <w:rPr>
          <w:rFonts w:hint="eastAsia"/>
          <w:szCs w:val="21"/>
        </w:rPr>
        <w:t>招标人应当依法重新招标。</w:t>
      </w:r>
    </w:p>
    <w:p>
      <w:pPr>
        <w:rPr>
          <w:b/>
          <w:szCs w:val="21"/>
        </w:rPr>
      </w:pPr>
      <w:r>
        <w:rPr>
          <w:rFonts w:hint="eastAsia" w:ascii="黑体" w:eastAsia="黑体"/>
          <w:b/>
          <w:szCs w:val="21"/>
        </w:rPr>
        <w:t>A5.2</w:t>
      </w:r>
      <w:r>
        <w:rPr>
          <w:rFonts w:hint="eastAsia"/>
          <w:b/>
          <w:szCs w:val="21"/>
        </w:rPr>
        <w:t>直接确定中标人</w:t>
      </w:r>
    </w:p>
    <w:p>
      <w:pPr>
        <w:adjustRightInd w:val="0"/>
        <w:snapToGrid w:val="0"/>
        <w:spacing w:line="360" w:lineRule="auto"/>
        <w:ind w:firstLine="440" w:firstLineChars="200"/>
        <w:rPr>
          <w:szCs w:val="21"/>
        </w:rPr>
      </w:pPr>
      <w:r>
        <w:rPr>
          <w:rFonts w:hint="eastAsia"/>
          <w:szCs w:val="21"/>
        </w:rPr>
        <w:t>第二章“投标人须知”前附表授权评标委员会直接确定中标人的，评标委员会按照最终得分由高至低的次序排列，并确定排名第一的投标人为中标人。</w:t>
      </w:r>
    </w:p>
    <w:p>
      <w:pPr>
        <w:rPr>
          <w:b/>
          <w:szCs w:val="21"/>
        </w:rPr>
      </w:pPr>
      <w:r>
        <w:rPr>
          <w:rFonts w:hint="eastAsia" w:ascii="黑体" w:eastAsia="黑体"/>
          <w:b/>
          <w:szCs w:val="21"/>
        </w:rPr>
        <w:t>A5．3</w:t>
      </w:r>
      <w:r>
        <w:rPr>
          <w:rFonts w:hint="eastAsia"/>
          <w:b/>
          <w:szCs w:val="21"/>
        </w:rPr>
        <w:t>编制评标报告</w:t>
      </w:r>
    </w:p>
    <w:p>
      <w:pPr>
        <w:adjustRightInd w:val="0"/>
        <w:snapToGrid w:val="0"/>
        <w:spacing w:beforeLines="30" w:line="360" w:lineRule="auto"/>
        <w:ind w:firstLine="440" w:firstLineChars="200"/>
        <w:rPr>
          <w:szCs w:val="21"/>
        </w:rPr>
      </w:pPr>
      <w:r>
        <w:rPr>
          <w:rFonts w:hint="eastAsia"/>
          <w:szCs w:val="21"/>
        </w:rPr>
        <w:t>评标委员会根据本章第3.4.2项的规定向招标人提交评标报告。评标报告应当由全体评标委员会成员签字，并于评标结束时抄送有关行政监督部门。</w:t>
      </w:r>
    </w:p>
    <w:p>
      <w:pPr>
        <w:rPr>
          <w:b/>
          <w:szCs w:val="21"/>
        </w:rPr>
      </w:pPr>
      <w:r>
        <w:rPr>
          <w:rFonts w:hint="eastAsia" w:ascii="黑体" w:eastAsia="黑体"/>
          <w:b/>
          <w:szCs w:val="21"/>
        </w:rPr>
        <w:t>A6．</w:t>
      </w:r>
      <w:r>
        <w:rPr>
          <w:rFonts w:hint="eastAsia"/>
          <w:b/>
          <w:szCs w:val="21"/>
        </w:rPr>
        <w:t>特殊情况的处置程序</w:t>
      </w:r>
    </w:p>
    <w:p>
      <w:pPr>
        <w:rPr>
          <w:b/>
          <w:szCs w:val="21"/>
        </w:rPr>
      </w:pPr>
      <w:r>
        <w:rPr>
          <w:rFonts w:hint="eastAsia" w:ascii="黑体" w:eastAsia="黑体"/>
          <w:b/>
          <w:szCs w:val="21"/>
        </w:rPr>
        <w:t>A6.1</w:t>
      </w:r>
      <w:r>
        <w:rPr>
          <w:rFonts w:hint="eastAsia"/>
          <w:b/>
          <w:szCs w:val="21"/>
        </w:rPr>
        <w:t xml:space="preserve">  暗标评审的评审程序规定(适用于对技术标进行暗标评审的)</w:t>
      </w:r>
    </w:p>
    <w:p>
      <w:pPr>
        <w:adjustRightInd w:val="0"/>
        <w:snapToGrid w:val="0"/>
        <w:spacing w:line="360" w:lineRule="auto"/>
        <w:ind w:firstLine="440" w:firstLineChars="200"/>
        <w:rPr>
          <w:szCs w:val="21"/>
        </w:rPr>
      </w:pPr>
      <w:r>
        <w:rPr>
          <w:rFonts w:hint="eastAsia"/>
          <w:szCs w:val="21"/>
        </w:rPr>
        <w:t>如果第二章“投标人须知”前附表第</w:t>
      </w:r>
      <w:r>
        <w:rPr>
          <w:rFonts w:hint="eastAsia" w:ascii="黑体" w:eastAsia="黑体"/>
          <w:szCs w:val="21"/>
        </w:rPr>
        <w:t>10.3</w:t>
      </w:r>
      <w:r>
        <w:rPr>
          <w:rFonts w:hint="eastAsia"/>
          <w:szCs w:val="21"/>
        </w:rPr>
        <w:t>款要求对技术标采用“暗标”评审方式且第六章“投标文件格式”中对技术标的编制有暗标要求，评标委员会需对技术标进行暗标评审的，则评标委员会需将技术标评审提前到初步评审之前进行。技术标评审结果封存后再进行形式评审、资格评审、响应性评审和项目管理机构评审。项目管理机构评审完成后再公开暗标编码与投标人名称之间的对应关系。</w:t>
      </w:r>
    </w:p>
    <w:p>
      <w:pPr>
        <w:rPr>
          <w:b/>
          <w:szCs w:val="21"/>
        </w:rPr>
      </w:pPr>
      <w:r>
        <w:rPr>
          <w:rFonts w:hint="eastAsia" w:ascii="黑体" w:eastAsia="黑体"/>
          <w:b/>
          <w:szCs w:val="21"/>
        </w:rPr>
        <w:t>A6.2</w:t>
      </w:r>
      <w:r>
        <w:rPr>
          <w:rFonts w:hint="eastAsia"/>
          <w:b/>
          <w:szCs w:val="21"/>
        </w:rPr>
        <w:t>关于评标活动暂停</w:t>
      </w:r>
    </w:p>
    <w:p>
      <w:pPr>
        <w:adjustRightInd w:val="0"/>
        <w:snapToGrid w:val="0"/>
        <w:spacing w:line="360" w:lineRule="auto"/>
        <w:ind w:firstLine="440" w:firstLineChars="200"/>
        <w:rPr>
          <w:szCs w:val="21"/>
        </w:rPr>
      </w:pPr>
      <w:r>
        <w:rPr>
          <w:rFonts w:hint="eastAsia" w:ascii="黑体" w:eastAsia="黑体"/>
          <w:szCs w:val="21"/>
        </w:rPr>
        <w:t>A6.2.1</w:t>
      </w:r>
      <w:r>
        <w:rPr>
          <w:rFonts w:hint="eastAsia"/>
        </w:rPr>
        <w:t>评标委员会</w:t>
      </w:r>
      <w:r>
        <w:rPr>
          <w:rFonts w:hint="eastAsia"/>
          <w:szCs w:val="21"/>
        </w:rPr>
        <w:t>应当执行连续评标的原则，按评标办法中规定的程序、内容、方法、标准完成全部评标工作。只有发生不可抗力导致评标工作无法继续时，评标活动方可暂停。</w:t>
      </w:r>
    </w:p>
    <w:p>
      <w:pPr>
        <w:adjustRightInd w:val="0"/>
        <w:snapToGrid w:val="0"/>
        <w:spacing w:beforeLines="20" w:line="360" w:lineRule="auto"/>
        <w:ind w:firstLine="440" w:firstLineChars="200"/>
        <w:rPr>
          <w:szCs w:val="21"/>
        </w:rPr>
      </w:pPr>
      <w:r>
        <w:rPr>
          <w:rFonts w:hint="eastAsia" w:ascii="黑体" w:eastAsia="黑体"/>
          <w:szCs w:val="21"/>
        </w:rPr>
        <w:t>A6.2.2</w:t>
      </w:r>
      <w:r>
        <w:rPr>
          <w:rFonts w:hint="eastAsia"/>
          <w:szCs w:val="21"/>
        </w:rPr>
        <w:t>发生评标暂停情况时，评标委员会应当封存全部投标文件和评标记录，待不可抗力的影响结束且具备继续评标的条件时，由原评标委员会继续评标。</w:t>
      </w:r>
    </w:p>
    <w:p>
      <w:pPr>
        <w:rPr>
          <w:b/>
          <w:szCs w:val="21"/>
        </w:rPr>
      </w:pPr>
      <w:r>
        <w:rPr>
          <w:rFonts w:hint="eastAsia" w:ascii="黑体" w:eastAsia="黑体"/>
          <w:b/>
          <w:szCs w:val="21"/>
        </w:rPr>
        <w:t>A6.3</w:t>
      </w:r>
      <w:r>
        <w:rPr>
          <w:rFonts w:hint="eastAsia"/>
          <w:b/>
          <w:szCs w:val="21"/>
        </w:rPr>
        <w:t xml:space="preserve">  关于评标中途更换评委</w:t>
      </w:r>
    </w:p>
    <w:p>
      <w:pPr>
        <w:adjustRightInd w:val="0"/>
        <w:snapToGrid w:val="0"/>
        <w:spacing w:line="360" w:lineRule="auto"/>
        <w:ind w:firstLine="440" w:firstLineChars="200"/>
        <w:rPr>
          <w:szCs w:val="21"/>
        </w:rPr>
      </w:pPr>
      <w:r>
        <w:rPr>
          <w:rFonts w:hint="eastAsia" w:ascii="黑体" w:eastAsia="黑体"/>
          <w:szCs w:val="21"/>
        </w:rPr>
        <w:t>A6.3.1</w:t>
      </w:r>
      <w:r>
        <w:rPr>
          <w:rFonts w:hint="eastAsia"/>
          <w:szCs w:val="21"/>
        </w:rPr>
        <w:t xml:space="preserve">  除非发生下列情况之一，评标委员会成员不得在评标中途更换：</w:t>
      </w:r>
    </w:p>
    <w:p>
      <w:pPr>
        <w:adjustRightInd w:val="0"/>
        <w:snapToGrid w:val="0"/>
        <w:spacing w:line="360" w:lineRule="auto"/>
        <w:ind w:firstLine="440" w:firstLineChars="200"/>
        <w:rPr>
          <w:szCs w:val="21"/>
        </w:rPr>
      </w:pPr>
      <w:r>
        <w:rPr>
          <w:rFonts w:hint="eastAsia"/>
          <w:szCs w:val="21"/>
        </w:rPr>
        <w:t>(1) 因不可抗拒的客观原因，不能到场或需在评标中途退出评标活动。</w:t>
      </w:r>
    </w:p>
    <w:p>
      <w:pPr>
        <w:adjustRightInd w:val="0"/>
        <w:snapToGrid w:val="0"/>
        <w:spacing w:line="360" w:lineRule="auto"/>
        <w:ind w:firstLine="440" w:firstLineChars="200"/>
        <w:rPr>
          <w:szCs w:val="21"/>
        </w:rPr>
      </w:pPr>
      <w:r>
        <w:rPr>
          <w:rFonts w:hint="eastAsia"/>
          <w:szCs w:val="21"/>
        </w:rPr>
        <w:t>(2) 根据法律法规规定，某个或某几个评标委员会成员需要回避。</w:t>
      </w:r>
    </w:p>
    <w:p>
      <w:pPr>
        <w:adjustRightInd w:val="0"/>
        <w:snapToGrid w:val="0"/>
        <w:spacing w:line="360" w:lineRule="auto"/>
        <w:ind w:firstLine="440" w:firstLineChars="200"/>
        <w:rPr>
          <w:szCs w:val="21"/>
        </w:rPr>
      </w:pPr>
      <w:r>
        <w:rPr>
          <w:rFonts w:hint="eastAsia" w:ascii="黑体" w:eastAsia="黑体"/>
          <w:szCs w:val="21"/>
        </w:rPr>
        <w:t>A6.3.2</w:t>
      </w:r>
      <w:r>
        <w:rPr>
          <w:rFonts w:hint="eastAsia"/>
          <w:szCs w:val="21"/>
        </w:rPr>
        <w:t>退出评标的评标委员会成员，其已完成的评标行为无效。由招标人根据本招标文件规定的评标委员会成员生产方式另行确定替代者进行评标。</w:t>
      </w:r>
    </w:p>
    <w:p>
      <w:pPr>
        <w:rPr>
          <w:b/>
          <w:szCs w:val="21"/>
        </w:rPr>
      </w:pPr>
      <w:r>
        <w:rPr>
          <w:rFonts w:hint="eastAsia" w:ascii="黑体" w:eastAsia="黑体"/>
          <w:b/>
          <w:szCs w:val="21"/>
        </w:rPr>
        <w:t>A6.4</w:t>
      </w:r>
      <w:r>
        <w:rPr>
          <w:rFonts w:hint="eastAsia"/>
          <w:b/>
          <w:szCs w:val="21"/>
        </w:rPr>
        <w:t xml:space="preserve"> 记名投票</w:t>
      </w:r>
    </w:p>
    <w:p>
      <w:pPr>
        <w:adjustRightInd w:val="0"/>
        <w:snapToGrid w:val="0"/>
        <w:spacing w:line="360" w:lineRule="auto"/>
        <w:ind w:firstLine="440" w:firstLineChars="200"/>
        <w:rPr>
          <w:szCs w:val="21"/>
        </w:rPr>
      </w:pPr>
      <w:r>
        <w:rPr>
          <w:rFonts w:hint="eastAsia"/>
          <w:szCs w:val="21"/>
        </w:rPr>
        <w:t>在任何评标环节中，需评标委员会就某项定性的评审结论做出表决的，由评标委员会全体成员按照少数服从多数的原则，以记名投票方式表决。</w:t>
      </w:r>
    </w:p>
    <w:p>
      <w:pPr>
        <w:rPr>
          <w:b/>
          <w:szCs w:val="21"/>
        </w:rPr>
      </w:pPr>
      <w:r>
        <w:rPr>
          <w:rFonts w:hint="eastAsia" w:ascii="黑体" w:eastAsia="黑体"/>
          <w:b/>
          <w:szCs w:val="21"/>
        </w:rPr>
        <w:t>A7</w:t>
      </w:r>
      <w:r>
        <w:rPr>
          <w:rFonts w:hint="eastAsia"/>
          <w:b/>
          <w:szCs w:val="21"/>
        </w:rPr>
        <w:t>.补充条款</w:t>
      </w:r>
    </w:p>
    <w:p>
      <w:pPr>
        <w:adjustRightInd w:val="0"/>
        <w:snapToGrid w:val="0"/>
        <w:spacing w:line="360" w:lineRule="auto"/>
        <w:rPr>
          <w:szCs w:val="21"/>
        </w:rPr>
      </w:pPr>
      <w:r>
        <w:rPr>
          <w:rFonts w:hint="eastAsia"/>
          <w:szCs w:val="21"/>
        </w:rPr>
        <w:t>……</w:t>
      </w:r>
    </w:p>
    <w:p>
      <w:pPr>
        <w:widowControl/>
        <w:autoSpaceDE/>
        <w:autoSpaceDN/>
        <w:rPr>
          <w:szCs w:val="21"/>
        </w:rPr>
        <w:sectPr>
          <w:pgSz w:w="11910" w:h="16840"/>
          <w:pgMar w:top="1480" w:right="580" w:bottom="1220" w:left="920" w:header="0" w:footer="950" w:gutter="0"/>
          <w:cols w:space="720" w:num="1"/>
        </w:sectPr>
      </w:pPr>
      <w:r>
        <w:rPr>
          <w:szCs w:val="21"/>
        </w:rPr>
        <w:br w:type="page"/>
      </w:r>
    </w:p>
    <w:p>
      <w:pPr>
        <w:adjustRightInd w:val="0"/>
        <w:snapToGrid w:val="0"/>
        <w:spacing w:line="360" w:lineRule="auto"/>
        <w:rPr>
          <w:rFonts w:ascii="黑体" w:eastAsia="黑体"/>
          <w:sz w:val="24"/>
        </w:rPr>
      </w:pPr>
      <w:r>
        <w:rPr>
          <w:rFonts w:hint="eastAsia" w:ascii="黑体" w:eastAsia="黑体"/>
          <w:sz w:val="24"/>
        </w:rPr>
        <w:t>附表A-1：评标委员会签到表</w:t>
      </w:r>
    </w:p>
    <w:p>
      <w:pPr>
        <w:adjustRightInd w:val="0"/>
        <w:snapToGrid w:val="0"/>
        <w:spacing w:beforeLines="100" w:afterLines="100" w:line="360" w:lineRule="auto"/>
        <w:jc w:val="center"/>
        <w:rPr>
          <w:rFonts w:ascii="黑体" w:eastAsia="黑体"/>
          <w:sz w:val="28"/>
          <w:szCs w:val="28"/>
        </w:rPr>
      </w:pPr>
      <w:r>
        <w:rPr>
          <w:rFonts w:hint="eastAsia" w:ascii="黑体" w:eastAsia="黑体"/>
          <w:sz w:val="28"/>
          <w:szCs w:val="28"/>
        </w:rPr>
        <w:t>评标委员会签到表</w:t>
      </w:r>
    </w:p>
    <w:p>
      <w:pPr>
        <w:spacing w:line="360" w:lineRule="auto"/>
        <w:rPr>
          <w:szCs w:val="44"/>
        </w:rPr>
      </w:pPr>
    </w:p>
    <w:p>
      <w:pPr>
        <w:spacing w:afterLines="100" w:line="360" w:lineRule="auto"/>
        <w:rPr>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 xml:space="preserve"> 标段                                                评标时间：         年    月    日</w:t>
      </w:r>
    </w:p>
    <w:tbl>
      <w:tblPr>
        <w:tblStyle w:val="24"/>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94"/>
        <w:gridCol w:w="2341"/>
        <w:gridCol w:w="2341"/>
        <w:gridCol w:w="234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szCs w:val="44"/>
              </w:rPr>
            </w:pPr>
            <w:r>
              <w:rPr>
                <w:rFonts w:hint="eastAsia"/>
                <w:szCs w:val="44"/>
              </w:rPr>
              <w:t>序号</w:t>
            </w:r>
          </w:p>
        </w:tc>
        <w:tc>
          <w:tcPr>
            <w:tcW w:w="3494" w:type="dxa"/>
            <w:vAlign w:val="center"/>
          </w:tcPr>
          <w:p>
            <w:pPr>
              <w:spacing w:line="360" w:lineRule="auto"/>
              <w:jc w:val="center"/>
              <w:rPr>
                <w:szCs w:val="44"/>
              </w:rPr>
            </w:pPr>
            <w:r>
              <w:rPr>
                <w:rFonts w:hint="eastAsia"/>
                <w:szCs w:val="44"/>
              </w:rPr>
              <w:t>姓名</w:t>
            </w:r>
          </w:p>
        </w:tc>
        <w:tc>
          <w:tcPr>
            <w:tcW w:w="2341" w:type="dxa"/>
            <w:vAlign w:val="center"/>
          </w:tcPr>
          <w:p>
            <w:pPr>
              <w:spacing w:line="360" w:lineRule="auto"/>
              <w:jc w:val="center"/>
              <w:rPr>
                <w:szCs w:val="44"/>
              </w:rPr>
            </w:pPr>
            <w:r>
              <w:rPr>
                <w:rFonts w:hint="eastAsia"/>
                <w:szCs w:val="44"/>
              </w:rPr>
              <w:t>职称</w:t>
            </w:r>
          </w:p>
        </w:tc>
        <w:tc>
          <w:tcPr>
            <w:tcW w:w="2341" w:type="dxa"/>
            <w:vAlign w:val="center"/>
          </w:tcPr>
          <w:p>
            <w:pPr>
              <w:spacing w:line="360" w:lineRule="auto"/>
              <w:jc w:val="center"/>
              <w:rPr>
                <w:szCs w:val="44"/>
              </w:rPr>
            </w:pPr>
            <w:r>
              <w:rPr>
                <w:rFonts w:hint="eastAsia"/>
                <w:szCs w:val="44"/>
              </w:rPr>
              <w:t>工作单位</w:t>
            </w:r>
          </w:p>
        </w:tc>
        <w:tc>
          <w:tcPr>
            <w:tcW w:w="2342" w:type="dxa"/>
            <w:vAlign w:val="center"/>
          </w:tcPr>
          <w:p>
            <w:pPr>
              <w:spacing w:line="360" w:lineRule="auto"/>
              <w:jc w:val="center"/>
              <w:rPr>
                <w:szCs w:val="44"/>
              </w:rPr>
            </w:pPr>
            <w:r>
              <w:rPr>
                <w:rFonts w:hint="eastAsia"/>
                <w:szCs w:val="44"/>
              </w:rPr>
              <w:t>专家证号码</w:t>
            </w:r>
          </w:p>
        </w:tc>
        <w:tc>
          <w:tcPr>
            <w:tcW w:w="2342" w:type="dxa"/>
            <w:vAlign w:val="center"/>
          </w:tcPr>
          <w:p>
            <w:pPr>
              <w:spacing w:line="360" w:lineRule="auto"/>
              <w:jc w:val="center"/>
              <w:rPr>
                <w:szCs w:val="44"/>
              </w:rPr>
            </w:pPr>
            <w:r>
              <w:rPr>
                <w:rFonts w:hint="eastAsia"/>
                <w:szCs w:val="44"/>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黑体" w:eastAsia="黑体"/>
                <w:szCs w:val="44"/>
              </w:rPr>
            </w:pPr>
            <w:r>
              <w:rPr>
                <w:rFonts w:hint="eastAsia" w:ascii="黑体" w:eastAsia="黑体"/>
                <w:szCs w:val="44"/>
              </w:rPr>
              <w:t>1</w:t>
            </w:r>
          </w:p>
        </w:tc>
        <w:tc>
          <w:tcPr>
            <w:tcW w:w="3494"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黑体" w:eastAsia="黑体"/>
                <w:szCs w:val="44"/>
              </w:rPr>
            </w:pPr>
            <w:r>
              <w:rPr>
                <w:rFonts w:hint="eastAsia" w:ascii="黑体" w:eastAsia="黑体"/>
                <w:szCs w:val="44"/>
              </w:rPr>
              <w:t>2</w:t>
            </w:r>
          </w:p>
        </w:tc>
        <w:tc>
          <w:tcPr>
            <w:tcW w:w="3494"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黑体" w:eastAsia="黑体"/>
                <w:szCs w:val="44"/>
              </w:rPr>
            </w:pPr>
            <w:r>
              <w:rPr>
                <w:rFonts w:hint="eastAsia" w:ascii="黑体" w:eastAsia="黑体"/>
                <w:szCs w:val="44"/>
              </w:rPr>
              <w:t>3</w:t>
            </w:r>
          </w:p>
        </w:tc>
        <w:tc>
          <w:tcPr>
            <w:tcW w:w="3494"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黑体" w:eastAsia="黑体"/>
                <w:szCs w:val="44"/>
              </w:rPr>
            </w:pPr>
            <w:r>
              <w:rPr>
                <w:rFonts w:hint="eastAsia" w:ascii="黑体" w:eastAsia="黑体"/>
                <w:szCs w:val="44"/>
              </w:rPr>
              <w:t>4</w:t>
            </w:r>
          </w:p>
        </w:tc>
        <w:tc>
          <w:tcPr>
            <w:tcW w:w="3494"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黑体" w:eastAsia="黑体"/>
                <w:szCs w:val="44"/>
              </w:rPr>
            </w:pPr>
            <w:r>
              <w:rPr>
                <w:rFonts w:hint="eastAsia" w:ascii="黑体" w:eastAsia="黑体"/>
                <w:szCs w:val="44"/>
              </w:rPr>
              <w:t>5</w:t>
            </w:r>
          </w:p>
        </w:tc>
        <w:tc>
          <w:tcPr>
            <w:tcW w:w="3494"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vAlign w:val="center"/>
          </w:tcPr>
          <w:p>
            <w:pPr>
              <w:spacing w:line="360" w:lineRule="auto"/>
              <w:jc w:val="center"/>
              <w:rPr>
                <w:rFonts w:ascii="黑体" w:eastAsia="黑体"/>
                <w:szCs w:val="44"/>
              </w:rPr>
            </w:pPr>
            <w:r>
              <w:rPr>
                <w:rFonts w:hint="eastAsia" w:ascii="黑体" w:eastAsia="黑体"/>
                <w:szCs w:val="44"/>
              </w:rPr>
              <w:t>6</w:t>
            </w:r>
          </w:p>
        </w:tc>
        <w:tc>
          <w:tcPr>
            <w:tcW w:w="3494"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1"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c>
          <w:tcPr>
            <w:tcW w:w="2342" w:type="dxa"/>
            <w:vAlign w:val="center"/>
          </w:tcPr>
          <w:p>
            <w:pPr>
              <w:spacing w:line="360" w:lineRule="auto"/>
              <w:jc w:val="center"/>
              <w:rPr>
                <w:rFonts w:ascii="黑体" w:eastAsia="黑体"/>
                <w:szCs w:val="44"/>
              </w:rPr>
            </w:pPr>
          </w:p>
        </w:tc>
      </w:tr>
    </w:tbl>
    <w:p>
      <w:pPr>
        <w:widowControl/>
        <w:autoSpaceDE/>
        <w:autoSpaceDN/>
        <w:rPr>
          <w:szCs w:val="21"/>
        </w:rPr>
      </w:pPr>
    </w:p>
    <w:p>
      <w:pPr>
        <w:widowControl/>
        <w:autoSpaceDE/>
        <w:autoSpaceDN/>
        <w:rPr>
          <w:szCs w:val="21"/>
        </w:rPr>
      </w:pPr>
      <w:r>
        <w:rPr>
          <w:szCs w:val="21"/>
        </w:rPr>
        <w:br w:type="page"/>
      </w:r>
    </w:p>
    <w:p>
      <w:pPr>
        <w:spacing w:afterLines="100" w:line="360" w:lineRule="auto"/>
        <w:rPr>
          <w:rFonts w:ascii="黑体" w:eastAsia="黑体"/>
          <w:sz w:val="24"/>
        </w:rPr>
      </w:pPr>
      <w:r>
        <w:rPr>
          <w:rFonts w:hint="eastAsia" w:ascii="黑体" w:eastAsia="黑体"/>
          <w:sz w:val="24"/>
        </w:rPr>
        <w:t>附表A-2：形式评审记录表</w:t>
      </w:r>
    </w:p>
    <w:p>
      <w:pPr>
        <w:spacing w:afterLines="100" w:line="360" w:lineRule="auto"/>
        <w:jc w:val="center"/>
        <w:rPr>
          <w:rFonts w:ascii="黑体" w:eastAsia="黑体"/>
          <w:sz w:val="28"/>
          <w:szCs w:val="28"/>
        </w:rPr>
      </w:pPr>
      <w:r>
        <w:rPr>
          <w:rFonts w:hint="eastAsia" w:ascii="黑体" w:eastAsia="黑体"/>
          <w:sz w:val="28"/>
          <w:szCs w:val="28"/>
        </w:rPr>
        <w:t>形式评审记录表</w:t>
      </w:r>
    </w:p>
    <w:p>
      <w:pPr>
        <w:spacing w:afterLines="100" w:line="360" w:lineRule="auto"/>
        <w:rPr>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标段</w:t>
      </w:r>
    </w:p>
    <w:tbl>
      <w:tblPr>
        <w:tblStyle w:val="24"/>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071"/>
        <w:gridCol w:w="1188"/>
        <w:gridCol w:w="1189"/>
        <w:gridCol w:w="1189"/>
        <w:gridCol w:w="1189"/>
        <w:gridCol w:w="1189"/>
        <w:gridCol w:w="1189"/>
        <w:gridCol w:w="1189"/>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77" w:type="dxa"/>
            <w:vMerge w:val="restart"/>
            <w:vAlign w:val="center"/>
          </w:tcPr>
          <w:p>
            <w:pPr>
              <w:spacing w:line="360" w:lineRule="auto"/>
              <w:jc w:val="center"/>
              <w:rPr>
                <w:szCs w:val="44"/>
              </w:rPr>
            </w:pPr>
            <w:r>
              <w:rPr>
                <w:rFonts w:hint="eastAsia"/>
                <w:szCs w:val="44"/>
              </w:rPr>
              <w:t>序号</w:t>
            </w:r>
          </w:p>
        </w:tc>
        <w:tc>
          <w:tcPr>
            <w:tcW w:w="2071" w:type="dxa"/>
            <w:vMerge w:val="restart"/>
            <w:vAlign w:val="center"/>
          </w:tcPr>
          <w:p>
            <w:pPr>
              <w:spacing w:line="360" w:lineRule="auto"/>
              <w:jc w:val="center"/>
              <w:rPr>
                <w:szCs w:val="44"/>
              </w:rPr>
            </w:pPr>
            <w:r>
              <w:rPr>
                <w:rFonts w:hint="eastAsia"/>
                <w:szCs w:val="44"/>
              </w:rPr>
              <w:t>评审因素</w:t>
            </w:r>
          </w:p>
        </w:tc>
        <w:tc>
          <w:tcPr>
            <w:tcW w:w="10700" w:type="dxa"/>
            <w:gridSpan w:val="9"/>
            <w:vAlign w:val="center"/>
          </w:tcPr>
          <w:p>
            <w:pPr>
              <w:spacing w:line="360" w:lineRule="auto"/>
              <w:jc w:val="center"/>
              <w:rPr>
                <w:szCs w:val="44"/>
              </w:rPr>
            </w:pPr>
            <w:r>
              <w:rPr>
                <w:rFonts w:hint="eastAsia"/>
                <w:szCs w:val="44"/>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77" w:type="dxa"/>
            <w:vMerge w:val="continue"/>
            <w:vAlign w:val="center"/>
          </w:tcPr>
          <w:p>
            <w:pPr>
              <w:spacing w:line="360" w:lineRule="auto"/>
              <w:jc w:val="center"/>
              <w:rPr>
                <w:szCs w:val="44"/>
              </w:rPr>
            </w:pPr>
          </w:p>
        </w:tc>
        <w:tc>
          <w:tcPr>
            <w:tcW w:w="2071" w:type="dxa"/>
            <w:vMerge w:val="continue"/>
            <w:vAlign w:val="center"/>
          </w:tcPr>
          <w:p>
            <w:pPr>
              <w:spacing w:line="360" w:lineRule="auto"/>
              <w:jc w:val="center"/>
              <w:rPr>
                <w:szCs w:val="44"/>
              </w:rPr>
            </w:pP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r>
              <w:rPr>
                <w:rFonts w:hint="eastAsia" w:ascii="黑体" w:eastAsia="黑体"/>
                <w:szCs w:val="44"/>
              </w:rPr>
              <w:t>1</w:t>
            </w:r>
          </w:p>
        </w:tc>
        <w:tc>
          <w:tcPr>
            <w:tcW w:w="2071" w:type="dxa"/>
          </w:tcPr>
          <w:p>
            <w:pPr>
              <w:pStyle w:val="36"/>
              <w:spacing w:before="3"/>
              <w:rPr>
                <w:b/>
                <w:sz w:val="28"/>
              </w:rPr>
            </w:pPr>
          </w:p>
          <w:p>
            <w:pPr>
              <w:pStyle w:val="36"/>
              <w:spacing w:before="1"/>
              <w:ind w:left="89" w:right="80"/>
              <w:jc w:val="center"/>
              <w:rPr>
                <w:sz w:val="21"/>
              </w:rPr>
            </w:pPr>
            <w:r>
              <w:rPr>
                <w:sz w:val="21"/>
              </w:rPr>
              <w:t>投标人名称</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r>
              <w:rPr>
                <w:rFonts w:hint="eastAsia" w:ascii="黑体" w:eastAsia="黑体"/>
                <w:szCs w:val="44"/>
              </w:rPr>
              <w:t>2</w:t>
            </w:r>
          </w:p>
        </w:tc>
        <w:tc>
          <w:tcPr>
            <w:tcW w:w="2071" w:type="dxa"/>
          </w:tcPr>
          <w:p>
            <w:pPr>
              <w:pStyle w:val="36"/>
              <w:spacing w:before="142"/>
              <w:ind w:left="89" w:right="83"/>
              <w:jc w:val="center"/>
              <w:rPr>
                <w:sz w:val="21"/>
              </w:rPr>
            </w:pPr>
            <w:r>
              <w:rPr>
                <w:sz w:val="21"/>
              </w:rPr>
              <w:t>投标函签字盖章</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r>
              <w:rPr>
                <w:rFonts w:hint="eastAsia" w:ascii="黑体" w:eastAsia="黑体"/>
                <w:szCs w:val="44"/>
              </w:rPr>
              <w:t>3</w:t>
            </w:r>
          </w:p>
        </w:tc>
        <w:tc>
          <w:tcPr>
            <w:tcW w:w="2071" w:type="dxa"/>
          </w:tcPr>
          <w:p>
            <w:pPr>
              <w:pStyle w:val="36"/>
              <w:spacing w:before="141"/>
              <w:ind w:left="89" w:right="83"/>
              <w:jc w:val="center"/>
              <w:rPr>
                <w:sz w:val="21"/>
              </w:rPr>
            </w:pPr>
            <w:r>
              <w:rPr>
                <w:sz w:val="21"/>
              </w:rPr>
              <w:t>联合体投标人</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r>
              <w:rPr>
                <w:rFonts w:hint="eastAsia" w:ascii="黑体" w:eastAsia="黑体"/>
                <w:szCs w:val="44"/>
              </w:rPr>
              <w:t>4</w:t>
            </w:r>
          </w:p>
        </w:tc>
        <w:tc>
          <w:tcPr>
            <w:tcW w:w="2071" w:type="dxa"/>
          </w:tcPr>
          <w:p>
            <w:pPr>
              <w:pStyle w:val="36"/>
              <w:spacing w:before="142"/>
              <w:ind w:left="89" w:right="83"/>
              <w:jc w:val="center"/>
              <w:rPr>
                <w:sz w:val="21"/>
              </w:rPr>
            </w:pPr>
            <w:r>
              <w:rPr>
                <w:sz w:val="21"/>
              </w:rPr>
              <w:t>报价</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r>
              <w:rPr>
                <w:rFonts w:hint="eastAsia" w:ascii="黑体" w:eastAsia="黑体"/>
              </w:rPr>
              <w:t>5</w:t>
            </w:r>
          </w:p>
        </w:tc>
        <w:tc>
          <w:tcPr>
            <w:tcW w:w="2071" w:type="dxa"/>
          </w:tcPr>
          <w:p>
            <w:pPr>
              <w:pStyle w:val="36"/>
              <w:spacing w:before="141"/>
              <w:ind w:left="89" w:right="83"/>
              <w:jc w:val="center"/>
              <w:rPr>
                <w:sz w:val="21"/>
              </w:rPr>
            </w:pPr>
            <w:r>
              <w:rPr>
                <w:sz w:val="21"/>
              </w:rPr>
              <w:t>投标文件签章</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r>
              <w:rPr>
                <w:rFonts w:hint="eastAsia" w:ascii="黑体" w:eastAsia="黑体"/>
              </w:rPr>
              <w:t>6</w:t>
            </w:r>
          </w:p>
        </w:tc>
        <w:tc>
          <w:tcPr>
            <w:tcW w:w="2071" w:type="dxa"/>
          </w:tcPr>
          <w:p>
            <w:pPr>
              <w:pStyle w:val="36"/>
              <w:spacing w:before="99"/>
              <w:ind w:left="89" w:right="83"/>
              <w:jc w:val="center"/>
              <w:rPr>
                <w:sz w:val="21"/>
              </w:rPr>
            </w:pPr>
            <w:r>
              <w:rPr>
                <w:sz w:val="21"/>
              </w:rPr>
              <w:t>投标文件格式</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rPr>
            </w:pPr>
            <w:r>
              <w:rPr>
                <w:rFonts w:hint="eastAsia" w:ascii="黑体" w:eastAsia="黑体"/>
              </w:rPr>
              <w:t>7</w:t>
            </w:r>
          </w:p>
        </w:tc>
        <w:tc>
          <w:tcPr>
            <w:tcW w:w="2071" w:type="dxa"/>
            <w:vAlign w:val="center"/>
          </w:tcPr>
          <w:p>
            <w:pPr>
              <w:rPr>
                <w:szCs w:val="21"/>
              </w:rPr>
            </w:pPr>
            <w:r>
              <w:rPr>
                <w:rFonts w:hint="eastAsia"/>
                <w:szCs w:val="21"/>
              </w:rPr>
              <w:t>广东省以外的投标企业进粤信息登记</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vAlign w:val="center"/>
          </w:tcPr>
          <w:p>
            <w:pPr>
              <w:spacing w:line="360" w:lineRule="auto"/>
              <w:jc w:val="center"/>
              <w:rPr>
                <w:rFonts w:ascii="黑体" w:eastAsia="黑体"/>
                <w:szCs w:val="44"/>
              </w:rPr>
            </w:pPr>
          </w:p>
        </w:tc>
        <w:tc>
          <w:tcPr>
            <w:tcW w:w="2071" w:type="dxa"/>
            <w:vAlign w:val="center"/>
          </w:tcPr>
          <w:p>
            <w:pPr>
              <w:spacing w:line="360" w:lineRule="auto"/>
              <w:jc w:val="center"/>
              <w:rPr>
                <w:szCs w:val="44"/>
              </w:rPr>
            </w:pPr>
            <w:r>
              <w:rPr>
                <w:rFonts w:hint="eastAsia"/>
              </w:rPr>
              <w:t>……</w:t>
            </w:r>
          </w:p>
        </w:tc>
        <w:tc>
          <w:tcPr>
            <w:tcW w:w="1188"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c>
          <w:tcPr>
            <w:tcW w:w="1189" w:type="dxa"/>
            <w:vAlign w:val="center"/>
          </w:tcPr>
          <w:p>
            <w:pPr>
              <w:spacing w:line="360" w:lineRule="auto"/>
              <w:jc w:val="center"/>
              <w:rPr>
                <w:szCs w:val="44"/>
              </w:rPr>
            </w:pPr>
          </w:p>
        </w:tc>
      </w:tr>
    </w:tbl>
    <w:p>
      <w:pPr>
        <w:spacing w:line="360" w:lineRule="auto"/>
        <w:rPr>
          <w:szCs w:val="44"/>
        </w:rPr>
      </w:pPr>
    </w:p>
    <w:p>
      <w:pPr>
        <w:spacing w:line="360" w:lineRule="auto"/>
        <w:rPr>
          <w:szCs w:val="44"/>
        </w:rPr>
      </w:pPr>
      <w:r>
        <w:rPr>
          <w:rFonts w:hint="eastAsia"/>
          <w:szCs w:val="44"/>
        </w:rPr>
        <w:t>评标委员会成员签名：                                                                                日期：    年    月    日</w:t>
      </w:r>
    </w:p>
    <w:p>
      <w:pPr>
        <w:widowControl/>
        <w:autoSpaceDE/>
        <w:autoSpaceDN/>
        <w:rPr>
          <w:szCs w:val="21"/>
        </w:rPr>
      </w:pPr>
      <w:r>
        <w:rPr>
          <w:szCs w:val="44"/>
        </w:rPr>
        <w:br w:type="page"/>
      </w:r>
    </w:p>
    <w:p>
      <w:pPr>
        <w:spacing w:afterLines="100" w:line="360" w:lineRule="auto"/>
        <w:rPr>
          <w:rFonts w:ascii="黑体" w:eastAsia="黑体"/>
          <w:sz w:val="24"/>
        </w:rPr>
      </w:pPr>
      <w:r>
        <w:rPr>
          <w:rFonts w:hint="eastAsia" w:ascii="黑体" w:eastAsia="黑体"/>
          <w:sz w:val="24"/>
        </w:rPr>
        <w:t>附表A-3：资格评审记录表</w:t>
      </w:r>
    </w:p>
    <w:p>
      <w:pPr>
        <w:spacing w:afterLines="100" w:line="360" w:lineRule="auto"/>
        <w:jc w:val="center"/>
        <w:rPr>
          <w:rFonts w:ascii="黑体" w:eastAsia="黑体"/>
          <w:sz w:val="28"/>
          <w:szCs w:val="28"/>
        </w:rPr>
      </w:pPr>
      <w:r>
        <w:rPr>
          <w:rFonts w:hint="eastAsia" w:ascii="黑体" w:eastAsia="黑体"/>
          <w:sz w:val="28"/>
          <w:szCs w:val="28"/>
        </w:rPr>
        <w:t>资格评审记录表</w:t>
      </w:r>
    </w:p>
    <w:p>
      <w:pPr>
        <w:spacing w:afterLines="100" w:line="360" w:lineRule="auto"/>
        <w:rPr>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标段</w:t>
      </w:r>
    </w:p>
    <w:tbl>
      <w:tblPr>
        <w:tblStyle w:val="24"/>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1228"/>
        <w:gridCol w:w="1229"/>
        <w:gridCol w:w="1229"/>
        <w:gridCol w:w="1229"/>
        <w:gridCol w:w="1229"/>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08" w:type="dxa"/>
            <w:vMerge w:val="restart"/>
            <w:vAlign w:val="center"/>
          </w:tcPr>
          <w:p>
            <w:pPr>
              <w:spacing w:line="360" w:lineRule="auto"/>
              <w:jc w:val="center"/>
              <w:rPr>
                <w:szCs w:val="44"/>
              </w:rPr>
            </w:pPr>
            <w:r>
              <w:rPr>
                <w:rFonts w:hint="eastAsia"/>
                <w:szCs w:val="44"/>
              </w:rPr>
              <w:t>序号</w:t>
            </w:r>
          </w:p>
        </w:tc>
        <w:tc>
          <w:tcPr>
            <w:tcW w:w="1980" w:type="dxa"/>
            <w:vMerge w:val="restart"/>
            <w:vAlign w:val="center"/>
          </w:tcPr>
          <w:p>
            <w:pPr>
              <w:spacing w:line="360" w:lineRule="auto"/>
              <w:jc w:val="center"/>
              <w:rPr>
                <w:szCs w:val="44"/>
              </w:rPr>
            </w:pPr>
            <w:r>
              <w:rPr>
                <w:rFonts w:hint="eastAsia"/>
                <w:szCs w:val="44"/>
              </w:rPr>
              <w:t>评审因素</w:t>
            </w:r>
          </w:p>
        </w:tc>
        <w:tc>
          <w:tcPr>
            <w:tcW w:w="9831" w:type="dxa"/>
            <w:gridSpan w:val="8"/>
            <w:vAlign w:val="center"/>
          </w:tcPr>
          <w:p>
            <w:pPr>
              <w:spacing w:line="360" w:lineRule="auto"/>
              <w:jc w:val="center"/>
              <w:rPr>
                <w:szCs w:val="44"/>
              </w:rPr>
            </w:pPr>
            <w:r>
              <w:rPr>
                <w:rFonts w:hint="eastAsia"/>
                <w:szCs w:val="44"/>
              </w:rPr>
              <w:t>投标人名称及评审意见</w:t>
            </w: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08" w:type="dxa"/>
            <w:vMerge w:val="continue"/>
            <w:vAlign w:val="center"/>
          </w:tcPr>
          <w:p>
            <w:pPr>
              <w:spacing w:line="360" w:lineRule="auto"/>
              <w:jc w:val="center"/>
              <w:rPr>
                <w:szCs w:val="44"/>
              </w:rPr>
            </w:pPr>
          </w:p>
        </w:tc>
        <w:tc>
          <w:tcPr>
            <w:tcW w:w="1980" w:type="dxa"/>
            <w:vMerge w:val="continue"/>
            <w:vAlign w:val="center"/>
          </w:tcPr>
          <w:p>
            <w:pPr>
              <w:spacing w:line="360" w:lineRule="auto"/>
              <w:jc w:val="center"/>
              <w:rPr>
                <w:szCs w:val="44"/>
              </w:rPr>
            </w:pPr>
          </w:p>
        </w:tc>
        <w:tc>
          <w:tcPr>
            <w:tcW w:w="1228"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1</w:t>
            </w:r>
          </w:p>
        </w:tc>
        <w:tc>
          <w:tcPr>
            <w:tcW w:w="1980" w:type="dxa"/>
          </w:tcPr>
          <w:p>
            <w:pPr>
              <w:pStyle w:val="36"/>
              <w:spacing w:before="142"/>
              <w:ind w:left="65" w:right="51"/>
              <w:jc w:val="center"/>
              <w:rPr>
                <w:sz w:val="21"/>
              </w:rPr>
            </w:pPr>
            <w:r>
              <w:rPr>
                <w:sz w:val="21"/>
              </w:rPr>
              <w:t>营业执照</w:t>
            </w:r>
          </w:p>
        </w:tc>
        <w:tc>
          <w:tcPr>
            <w:tcW w:w="1228" w:type="dxa"/>
          </w:tcPr>
          <w:p>
            <w:pPr>
              <w:pStyle w:val="36"/>
              <w:spacing w:before="142"/>
              <w:ind w:left="65"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2</w:t>
            </w:r>
          </w:p>
        </w:tc>
        <w:tc>
          <w:tcPr>
            <w:tcW w:w="1980" w:type="dxa"/>
            <w:vAlign w:val="center"/>
          </w:tcPr>
          <w:p>
            <w:pPr>
              <w:jc w:val="center"/>
              <w:rPr>
                <w:szCs w:val="21"/>
              </w:rPr>
            </w:pPr>
            <w:r>
              <w:rPr>
                <w:rFonts w:hint="eastAsia"/>
                <w:szCs w:val="21"/>
              </w:rPr>
              <w:t>安全生产许可证</w:t>
            </w:r>
          </w:p>
        </w:tc>
        <w:tc>
          <w:tcPr>
            <w:tcW w:w="1228" w:type="dxa"/>
            <w:vAlign w:val="center"/>
          </w:tcPr>
          <w:p>
            <w:pPr>
              <w:jc w:val="center"/>
              <w:rPr>
                <w:szCs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3</w:t>
            </w:r>
          </w:p>
        </w:tc>
        <w:tc>
          <w:tcPr>
            <w:tcW w:w="1980" w:type="dxa"/>
          </w:tcPr>
          <w:p>
            <w:pPr>
              <w:pStyle w:val="36"/>
              <w:spacing w:before="161"/>
              <w:ind w:left="65" w:right="51"/>
              <w:jc w:val="center"/>
              <w:rPr>
                <w:sz w:val="21"/>
              </w:rPr>
            </w:pPr>
            <w:r>
              <w:rPr>
                <w:sz w:val="21"/>
              </w:rPr>
              <w:t>资质条件</w:t>
            </w:r>
          </w:p>
        </w:tc>
        <w:tc>
          <w:tcPr>
            <w:tcW w:w="1228" w:type="dxa"/>
          </w:tcPr>
          <w:p>
            <w:pPr>
              <w:pStyle w:val="36"/>
              <w:spacing w:before="161"/>
              <w:ind w:left="65"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4</w:t>
            </w:r>
          </w:p>
        </w:tc>
        <w:tc>
          <w:tcPr>
            <w:tcW w:w="1980" w:type="dxa"/>
          </w:tcPr>
          <w:p>
            <w:pPr>
              <w:pStyle w:val="36"/>
              <w:spacing w:before="78" w:line="262" w:lineRule="exact"/>
              <w:ind w:left="65" w:right="51"/>
              <w:jc w:val="center"/>
              <w:rPr>
                <w:sz w:val="21"/>
              </w:rPr>
            </w:pPr>
            <w:r>
              <w:rPr>
                <w:sz w:val="21"/>
              </w:rPr>
              <w:t>财务条件</w:t>
            </w:r>
          </w:p>
        </w:tc>
        <w:tc>
          <w:tcPr>
            <w:tcW w:w="1228" w:type="dxa"/>
          </w:tcPr>
          <w:p>
            <w:pPr>
              <w:pStyle w:val="36"/>
              <w:spacing w:before="78" w:line="262" w:lineRule="exact"/>
              <w:ind w:left="65"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5</w:t>
            </w:r>
          </w:p>
        </w:tc>
        <w:tc>
          <w:tcPr>
            <w:tcW w:w="1980" w:type="dxa"/>
            <w:vAlign w:val="center"/>
          </w:tcPr>
          <w:p>
            <w:pPr>
              <w:jc w:val="center"/>
              <w:rPr>
                <w:szCs w:val="21"/>
              </w:rPr>
            </w:pPr>
            <w:r>
              <w:rPr>
                <w:rFonts w:hint="eastAsia"/>
                <w:szCs w:val="21"/>
              </w:rPr>
              <w:t>类似项目业绩</w:t>
            </w:r>
          </w:p>
        </w:tc>
        <w:tc>
          <w:tcPr>
            <w:tcW w:w="1228" w:type="dxa"/>
            <w:vAlign w:val="center"/>
          </w:tcPr>
          <w:p>
            <w:pPr>
              <w:jc w:val="center"/>
              <w:rPr>
                <w:szCs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6</w:t>
            </w:r>
          </w:p>
        </w:tc>
        <w:tc>
          <w:tcPr>
            <w:tcW w:w="1980" w:type="dxa"/>
          </w:tcPr>
          <w:p>
            <w:pPr>
              <w:pStyle w:val="36"/>
              <w:spacing w:before="140"/>
              <w:ind w:left="65" w:right="51"/>
              <w:jc w:val="center"/>
              <w:rPr>
                <w:sz w:val="21"/>
              </w:rPr>
            </w:pPr>
            <w:r>
              <w:rPr>
                <w:sz w:val="21"/>
              </w:rPr>
              <w:t>项目经理</w:t>
            </w:r>
          </w:p>
        </w:tc>
        <w:tc>
          <w:tcPr>
            <w:tcW w:w="1228" w:type="dxa"/>
          </w:tcPr>
          <w:p>
            <w:pPr>
              <w:pStyle w:val="36"/>
              <w:spacing w:before="140"/>
              <w:ind w:left="65"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7</w:t>
            </w:r>
          </w:p>
        </w:tc>
        <w:tc>
          <w:tcPr>
            <w:tcW w:w="1980" w:type="dxa"/>
          </w:tcPr>
          <w:p>
            <w:pPr>
              <w:pStyle w:val="36"/>
              <w:spacing w:before="147"/>
              <w:ind w:left="63" w:right="51"/>
              <w:jc w:val="center"/>
              <w:rPr>
                <w:sz w:val="21"/>
              </w:rPr>
            </w:pPr>
            <w:r>
              <w:rPr>
                <w:sz w:val="21"/>
              </w:rPr>
              <w:t>施工负责人</w:t>
            </w:r>
          </w:p>
        </w:tc>
        <w:tc>
          <w:tcPr>
            <w:tcW w:w="1228" w:type="dxa"/>
          </w:tcPr>
          <w:p>
            <w:pPr>
              <w:pStyle w:val="36"/>
              <w:spacing w:before="147"/>
              <w:ind w:left="63"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8</w:t>
            </w:r>
          </w:p>
        </w:tc>
        <w:tc>
          <w:tcPr>
            <w:tcW w:w="1980" w:type="dxa"/>
          </w:tcPr>
          <w:p>
            <w:pPr>
              <w:pStyle w:val="36"/>
              <w:spacing w:before="142"/>
              <w:ind w:left="63" w:right="51"/>
              <w:jc w:val="center"/>
              <w:rPr>
                <w:sz w:val="21"/>
              </w:rPr>
            </w:pPr>
            <w:r>
              <w:rPr>
                <w:rFonts w:hint="eastAsia"/>
                <w:sz w:val="21"/>
              </w:rPr>
              <w:t>项目总负责人（即</w:t>
            </w:r>
            <w:r>
              <w:rPr>
                <w:sz w:val="21"/>
              </w:rPr>
              <w:t>设计经理</w:t>
            </w:r>
            <w:r>
              <w:rPr>
                <w:rFonts w:hint="eastAsia"/>
                <w:sz w:val="21"/>
              </w:rPr>
              <w:t>）</w:t>
            </w:r>
          </w:p>
        </w:tc>
        <w:tc>
          <w:tcPr>
            <w:tcW w:w="1228" w:type="dxa"/>
          </w:tcPr>
          <w:p>
            <w:pPr>
              <w:pStyle w:val="36"/>
              <w:spacing w:before="142"/>
              <w:ind w:left="63"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r>
              <w:rPr>
                <w:rFonts w:hint="eastAsia" w:ascii="黑体" w:eastAsia="黑体"/>
                <w:szCs w:val="44"/>
              </w:rPr>
              <w:t>9</w:t>
            </w:r>
          </w:p>
        </w:tc>
        <w:tc>
          <w:tcPr>
            <w:tcW w:w="1980" w:type="dxa"/>
          </w:tcPr>
          <w:p>
            <w:pPr>
              <w:pStyle w:val="36"/>
              <w:spacing w:before="167"/>
              <w:ind w:left="65" w:right="51"/>
              <w:jc w:val="center"/>
              <w:rPr>
                <w:sz w:val="21"/>
              </w:rPr>
            </w:pPr>
            <w:r>
              <w:rPr>
                <w:sz w:val="21"/>
              </w:rPr>
              <w:t>其他要求</w:t>
            </w:r>
          </w:p>
        </w:tc>
        <w:tc>
          <w:tcPr>
            <w:tcW w:w="1228" w:type="dxa"/>
          </w:tcPr>
          <w:p>
            <w:pPr>
              <w:pStyle w:val="36"/>
              <w:spacing w:before="167"/>
              <w:ind w:left="65" w:right="5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p>
        </w:tc>
        <w:tc>
          <w:tcPr>
            <w:tcW w:w="1980" w:type="dxa"/>
            <w:vAlign w:val="bottom"/>
          </w:tcPr>
          <w:p>
            <w:pPr>
              <w:spacing w:line="360" w:lineRule="auto"/>
              <w:jc w:val="center"/>
              <w:rPr>
                <w:szCs w:val="44"/>
              </w:rPr>
            </w:pPr>
            <w:r>
              <w:rPr>
                <w:rFonts w:hint="eastAsia"/>
                <w:szCs w:val="44"/>
              </w:rPr>
              <w:t>……</w:t>
            </w:r>
          </w:p>
        </w:tc>
        <w:tc>
          <w:tcPr>
            <w:tcW w:w="1228" w:type="dxa"/>
          </w:tcPr>
          <w:p>
            <w:pPr>
              <w:pStyle w:val="36"/>
              <w:spacing w:before="23" w:line="285" w:lineRule="auto"/>
              <w:ind w:left="108" w:right="-29"/>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vAlign w:val="bottom"/>
          </w:tcPr>
          <w:p>
            <w:pPr>
              <w:spacing w:line="360" w:lineRule="auto"/>
              <w:jc w:val="center"/>
              <w:rPr>
                <w:rFonts w:ascii="黑体" w:eastAsia="黑体"/>
                <w:szCs w:val="44"/>
              </w:rPr>
            </w:pPr>
          </w:p>
        </w:tc>
        <w:tc>
          <w:tcPr>
            <w:tcW w:w="1980" w:type="dxa"/>
            <w:vAlign w:val="bottom"/>
          </w:tcPr>
          <w:p>
            <w:pPr>
              <w:spacing w:line="360" w:lineRule="auto"/>
              <w:jc w:val="center"/>
              <w:rPr>
                <w:szCs w:val="44"/>
              </w:rPr>
            </w:pPr>
          </w:p>
        </w:tc>
        <w:tc>
          <w:tcPr>
            <w:tcW w:w="1228" w:type="dxa"/>
          </w:tcPr>
          <w:p>
            <w:pPr>
              <w:pStyle w:val="36"/>
              <w:spacing w:before="2" w:line="280" w:lineRule="atLeast"/>
              <w:ind w:left="183" w:right="166"/>
              <w:rPr>
                <w:sz w:val="21"/>
              </w:rPr>
            </w:pPr>
          </w:p>
          <w:p>
            <w:pPr>
              <w:pStyle w:val="36"/>
              <w:spacing w:before="2" w:line="280" w:lineRule="atLeast"/>
              <w:ind w:right="166" w:firstLine="420" w:firstLineChars="200"/>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bl>
    <w:p>
      <w:pPr>
        <w:spacing w:line="360" w:lineRule="auto"/>
        <w:rPr>
          <w:szCs w:val="44"/>
        </w:rPr>
      </w:pPr>
    </w:p>
    <w:p>
      <w:pPr>
        <w:spacing w:line="360" w:lineRule="auto"/>
        <w:rPr>
          <w:szCs w:val="44"/>
        </w:rPr>
      </w:pPr>
      <w:r>
        <w:rPr>
          <w:rFonts w:hint="eastAsia"/>
          <w:szCs w:val="44"/>
        </w:rPr>
        <w:t>评标委员会成员签名：                                                                                日期：      年    月    日</w:t>
      </w:r>
    </w:p>
    <w:p>
      <w:pPr>
        <w:spacing w:line="360" w:lineRule="auto"/>
        <w:rPr>
          <w:szCs w:val="44"/>
        </w:rPr>
      </w:pPr>
    </w:p>
    <w:p>
      <w:pPr>
        <w:widowControl/>
        <w:autoSpaceDE/>
        <w:autoSpaceDN/>
        <w:rPr>
          <w:rFonts w:ascii="黑体" w:eastAsia="黑体"/>
          <w:sz w:val="24"/>
        </w:rPr>
      </w:pPr>
      <w:r>
        <w:rPr>
          <w:rFonts w:hint="eastAsia" w:ascii="黑体" w:eastAsia="黑体"/>
          <w:sz w:val="24"/>
        </w:rPr>
        <w:t>附表A-4：响应性评审记录表</w:t>
      </w:r>
    </w:p>
    <w:p>
      <w:pPr>
        <w:spacing w:afterLines="100" w:line="360" w:lineRule="auto"/>
        <w:jc w:val="center"/>
        <w:rPr>
          <w:rFonts w:ascii="黑体" w:eastAsia="黑体"/>
          <w:sz w:val="28"/>
          <w:szCs w:val="28"/>
        </w:rPr>
      </w:pPr>
      <w:r>
        <w:rPr>
          <w:rFonts w:hint="eastAsia" w:ascii="黑体" w:eastAsia="黑体"/>
          <w:sz w:val="28"/>
          <w:szCs w:val="28"/>
        </w:rPr>
        <w:t>响应性评审记录表</w:t>
      </w:r>
    </w:p>
    <w:p>
      <w:pPr>
        <w:spacing w:afterLines="100" w:line="360" w:lineRule="auto"/>
        <w:rPr>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标段</w:t>
      </w:r>
    </w:p>
    <w:tbl>
      <w:tblPr>
        <w:tblStyle w:val="24"/>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228"/>
        <w:gridCol w:w="1229"/>
        <w:gridCol w:w="1229"/>
        <w:gridCol w:w="1229"/>
        <w:gridCol w:w="1229"/>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8" w:type="dxa"/>
            <w:vMerge w:val="restart"/>
            <w:vAlign w:val="center"/>
          </w:tcPr>
          <w:p>
            <w:pPr>
              <w:spacing w:line="360" w:lineRule="auto"/>
              <w:jc w:val="center"/>
              <w:rPr>
                <w:szCs w:val="44"/>
              </w:rPr>
            </w:pPr>
            <w:r>
              <w:rPr>
                <w:rFonts w:hint="eastAsia"/>
                <w:szCs w:val="44"/>
              </w:rPr>
              <w:t>序号</w:t>
            </w:r>
          </w:p>
        </w:tc>
        <w:tc>
          <w:tcPr>
            <w:tcW w:w="2160" w:type="dxa"/>
            <w:vMerge w:val="restart"/>
            <w:vAlign w:val="center"/>
          </w:tcPr>
          <w:p>
            <w:pPr>
              <w:spacing w:line="360" w:lineRule="auto"/>
              <w:jc w:val="center"/>
              <w:rPr>
                <w:szCs w:val="44"/>
              </w:rPr>
            </w:pPr>
            <w:r>
              <w:rPr>
                <w:rFonts w:hint="eastAsia"/>
                <w:szCs w:val="44"/>
              </w:rPr>
              <w:t>评审因素</w:t>
            </w:r>
          </w:p>
        </w:tc>
        <w:tc>
          <w:tcPr>
            <w:tcW w:w="11060" w:type="dxa"/>
            <w:gridSpan w:val="9"/>
            <w:vAlign w:val="center"/>
          </w:tcPr>
          <w:p>
            <w:pPr>
              <w:spacing w:line="360" w:lineRule="auto"/>
              <w:jc w:val="center"/>
              <w:rPr>
                <w:szCs w:val="44"/>
              </w:rPr>
            </w:pPr>
            <w:r>
              <w:rPr>
                <w:rFonts w:hint="eastAsia"/>
                <w:szCs w:val="44"/>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8" w:type="dxa"/>
            <w:vMerge w:val="continue"/>
            <w:vAlign w:val="center"/>
          </w:tcPr>
          <w:p>
            <w:pPr>
              <w:spacing w:line="360" w:lineRule="auto"/>
              <w:jc w:val="center"/>
              <w:rPr>
                <w:szCs w:val="44"/>
              </w:rPr>
            </w:pPr>
          </w:p>
        </w:tc>
        <w:tc>
          <w:tcPr>
            <w:tcW w:w="2160" w:type="dxa"/>
            <w:vMerge w:val="continue"/>
            <w:vAlign w:val="center"/>
          </w:tcPr>
          <w:p>
            <w:pPr>
              <w:spacing w:line="360" w:lineRule="auto"/>
              <w:jc w:val="center"/>
              <w:rPr>
                <w:szCs w:val="44"/>
              </w:rPr>
            </w:pPr>
          </w:p>
        </w:tc>
        <w:tc>
          <w:tcPr>
            <w:tcW w:w="1228"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1</w:t>
            </w:r>
          </w:p>
        </w:tc>
        <w:tc>
          <w:tcPr>
            <w:tcW w:w="2160" w:type="dxa"/>
          </w:tcPr>
          <w:p>
            <w:pPr>
              <w:pStyle w:val="36"/>
              <w:spacing w:before="141"/>
              <w:ind w:left="89" w:right="85"/>
              <w:jc w:val="center"/>
              <w:rPr>
                <w:sz w:val="21"/>
              </w:rPr>
            </w:pPr>
            <w:r>
              <w:rPr>
                <w:sz w:val="21"/>
              </w:rPr>
              <w:t>投标内容</w:t>
            </w:r>
          </w:p>
        </w:tc>
        <w:tc>
          <w:tcPr>
            <w:tcW w:w="1228" w:type="dxa"/>
          </w:tcPr>
          <w:p>
            <w:pPr>
              <w:pStyle w:val="36"/>
              <w:spacing w:before="141"/>
              <w:ind w:left="89" w:right="85"/>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2</w:t>
            </w:r>
          </w:p>
        </w:tc>
        <w:tc>
          <w:tcPr>
            <w:tcW w:w="2160" w:type="dxa"/>
          </w:tcPr>
          <w:p>
            <w:pPr>
              <w:pStyle w:val="36"/>
              <w:spacing w:before="143"/>
              <w:ind w:left="89" w:right="85"/>
              <w:jc w:val="center"/>
              <w:rPr>
                <w:sz w:val="21"/>
              </w:rPr>
            </w:pPr>
            <w:r>
              <w:rPr>
                <w:sz w:val="21"/>
              </w:rPr>
              <w:t>投标报价</w:t>
            </w:r>
          </w:p>
        </w:tc>
        <w:tc>
          <w:tcPr>
            <w:tcW w:w="1228" w:type="dxa"/>
          </w:tcPr>
          <w:p>
            <w:pPr>
              <w:pStyle w:val="36"/>
              <w:spacing w:before="143"/>
              <w:ind w:left="89" w:right="85"/>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3</w:t>
            </w:r>
          </w:p>
        </w:tc>
        <w:tc>
          <w:tcPr>
            <w:tcW w:w="2160" w:type="dxa"/>
          </w:tcPr>
          <w:p>
            <w:pPr>
              <w:pStyle w:val="36"/>
              <w:spacing w:before="143"/>
              <w:ind w:left="89" w:right="83"/>
              <w:jc w:val="center"/>
              <w:rPr>
                <w:sz w:val="21"/>
              </w:rPr>
            </w:pPr>
            <w:r>
              <w:rPr>
                <w:sz w:val="21"/>
              </w:rPr>
              <w:t>工期</w:t>
            </w:r>
          </w:p>
        </w:tc>
        <w:tc>
          <w:tcPr>
            <w:tcW w:w="1228" w:type="dxa"/>
          </w:tcPr>
          <w:p>
            <w:pPr>
              <w:pStyle w:val="36"/>
              <w:spacing w:before="143"/>
              <w:ind w:left="89" w:right="83"/>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4</w:t>
            </w:r>
          </w:p>
        </w:tc>
        <w:tc>
          <w:tcPr>
            <w:tcW w:w="2160" w:type="dxa"/>
          </w:tcPr>
          <w:p>
            <w:pPr>
              <w:pStyle w:val="36"/>
              <w:spacing w:before="141"/>
              <w:ind w:left="89" w:right="85"/>
              <w:jc w:val="center"/>
              <w:rPr>
                <w:sz w:val="21"/>
              </w:rPr>
            </w:pPr>
            <w:r>
              <w:rPr>
                <w:sz w:val="21"/>
              </w:rPr>
              <w:t>质量标准</w:t>
            </w:r>
          </w:p>
        </w:tc>
        <w:tc>
          <w:tcPr>
            <w:tcW w:w="1228" w:type="dxa"/>
          </w:tcPr>
          <w:p>
            <w:pPr>
              <w:pStyle w:val="36"/>
              <w:spacing w:before="141"/>
              <w:ind w:left="89" w:right="85"/>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5</w:t>
            </w:r>
          </w:p>
        </w:tc>
        <w:tc>
          <w:tcPr>
            <w:tcW w:w="2160" w:type="dxa"/>
          </w:tcPr>
          <w:p>
            <w:pPr>
              <w:pStyle w:val="36"/>
              <w:spacing w:before="143"/>
              <w:jc w:val="center"/>
              <w:rPr>
                <w:sz w:val="21"/>
              </w:rPr>
            </w:pPr>
            <w:r>
              <w:rPr>
                <w:sz w:val="21"/>
              </w:rPr>
              <w:t>投标有效期</w:t>
            </w:r>
          </w:p>
        </w:tc>
        <w:tc>
          <w:tcPr>
            <w:tcW w:w="1228" w:type="dxa"/>
          </w:tcPr>
          <w:p>
            <w:pPr>
              <w:pStyle w:val="36"/>
              <w:spacing w:before="143"/>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6</w:t>
            </w:r>
          </w:p>
        </w:tc>
        <w:tc>
          <w:tcPr>
            <w:tcW w:w="2160" w:type="dxa"/>
          </w:tcPr>
          <w:p>
            <w:pPr>
              <w:pStyle w:val="36"/>
              <w:spacing w:before="141"/>
              <w:jc w:val="center"/>
              <w:rPr>
                <w:sz w:val="21"/>
              </w:rPr>
            </w:pPr>
            <w:r>
              <w:rPr>
                <w:sz w:val="21"/>
              </w:rPr>
              <w:t>投标保证金</w:t>
            </w:r>
          </w:p>
        </w:tc>
        <w:tc>
          <w:tcPr>
            <w:tcW w:w="1228" w:type="dxa"/>
          </w:tcPr>
          <w:p>
            <w:pPr>
              <w:pStyle w:val="36"/>
              <w:spacing w:before="14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7</w:t>
            </w:r>
          </w:p>
        </w:tc>
        <w:tc>
          <w:tcPr>
            <w:tcW w:w="2160" w:type="dxa"/>
          </w:tcPr>
          <w:p>
            <w:pPr>
              <w:pStyle w:val="36"/>
              <w:spacing w:before="141"/>
              <w:jc w:val="center"/>
              <w:rPr>
                <w:sz w:val="21"/>
              </w:rPr>
            </w:pPr>
            <w:r>
              <w:rPr>
                <w:rFonts w:hint="eastAsia"/>
                <w:sz w:val="21"/>
              </w:rPr>
              <w:t>分包计划</w:t>
            </w:r>
          </w:p>
        </w:tc>
        <w:tc>
          <w:tcPr>
            <w:tcW w:w="1228" w:type="dxa"/>
          </w:tcPr>
          <w:p>
            <w:pPr>
              <w:pStyle w:val="36"/>
              <w:spacing w:before="141"/>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8</w:t>
            </w:r>
          </w:p>
        </w:tc>
        <w:tc>
          <w:tcPr>
            <w:tcW w:w="2160" w:type="dxa"/>
            <w:vAlign w:val="center"/>
          </w:tcPr>
          <w:p>
            <w:pPr>
              <w:jc w:val="center"/>
              <w:rPr>
                <w:szCs w:val="21"/>
              </w:rPr>
            </w:pPr>
            <w:r>
              <w:rPr>
                <w:rFonts w:hint="eastAsia"/>
              </w:rPr>
              <w:t>承诺书</w:t>
            </w:r>
          </w:p>
        </w:tc>
        <w:tc>
          <w:tcPr>
            <w:tcW w:w="1228" w:type="dxa"/>
            <w:vAlign w:val="center"/>
          </w:tcPr>
          <w:p>
            <w:pPr>
              <w:jc w:val="center"/>
              <w:rPr>
                <w:szCs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黑体" w:eastAsia="黑体"/>
                <w:szCs w:val="44"/>
              </w:rPr>
            </w:pPr>
            <w:r>
              <w:rPr>
                <w:rFonts w:hint="eastAsia" w:ascii="黑体" w:eastAsia="黑体"/>
                <w:szCs w:val="44"/>
              </w:rPr>
              <w:t>9</w:t>
            </w:r>
          </w:p>
        </w:tc>
        <w:tc>
          <w:tcPr>
            <w:tcW w:w="2160" w:type="dxa"/>
            <w:vAlign w:val="center"/>
          </w:tcPr>
          <w:p>
            <w:pPr>
              <w:pStyle w:val="36"/>
              <w:ind w:right="349"/>
              <w:jc w:val="center"/>
              <w:rPr>
                <w:sz w:val="21"/>
              </w:rPr>
            </w:pPr>
            <w:r>
              <w:rPr>
                <w:sz w:val="21"/>
              </w:rPr>
              <w:t>投标文件否决性条款</w:t>
            </w:r>
          </w:p>
        </w:tc>
        <w:tc>
          <w:tcPr>
            <w:tcW w:w="1228" w:type="dxa"/>
            <w:vAlign w:val="center"/>
          </w:tcPr>
          <w:p>
            <w:pPr>
              <w:pStyle w:val="36"/>
              <w:ind w:right="349"/>
              <w:jc w:val="center"/>
              <w:rPr>
                <w:sz w:val="21"/>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c>
          <w:tcPr>
            <w:tcW w:w="1229" w:type="dxa"/>
            <w:vAlign w:val="center"/>
          </w:tcPr>
          <w:p>
            <w:pPr>
              <w:spacing w:line="360" w:lineRule="auto"/>
              <w:jc w:val="center"/>
              <w:rPr>
                <w:szCs w:val="44"/>
              </w:rPr>
            </w:pPr>
          </w:p>
        </w:tc>
      </w:tr>
    </w:tbl>
    <w:p>
      <w:pPr>
        <w:spacing w:line="360" w:lineRule="auto"/>
        <w:rPr>
          <w:szCs w:val="44"/>
        </w:rPr>
      </w:pPr>
    </w:p>
    <w:p>
      <w:pPr>
        <w:spacing w:line="360" w:lineRule="auto"/>
        <w:rPr>
          <w:szCs w:val="44"/>
        </w:rPr>
      </w:pPr>
      <w:r>
        <w:rPr>
          <w:rFonts w:hint="eastAsia"/>
          <w:szCs w:val="44"/>
        </w:rPr>
        <w:t>评标委员会成员签名：                                                                             日期：      年    月    日</w:t>
      </w:r>
    </w:p>
    <w:p>
      <w:pPr>
        <w:spacing w:afterLines="100" w:line="360" w:lineRule="auto"/>
        <w:rPr>
          <w:rFonts w:ascii="黑体" w:eastAsia="黑体"/>
          <w:sz w:val="24"/>
        </w:rPr>
      </w:pPr>
    </w:p>
    <w:p>
      <w:pPr>
        <w:spacing w:afterLines="100" w:line="360" w:lineRule="auto"/>
        <w:rPr>
          <w:rFonts w:ascii="黑体" w:eastAsia="黑体"/>
          <w:sz w:val="24"/>
        </w:rPr>
      </w:pPr>
    </w:p>
    <w:p>
      <w:pPr>
        <w:spacing w:afterLines="100" w:line="360" w:lineRule="auto"/>
        <w:rPr>
          <w:rFonts w:ascii="黑体" w:eastAsia="黑体"/>
          <w:sz w:val="24"/>
        </w:rPr>
      </w:pPr>
    </w:p>
    <w:p>
      <w:pPr>
        <w:spacing w:afterLines="100" w:line="360" w:lineRule="auto"/>
        <w:rPr>
          <w:rFonts w:ascii="黑体" w:eastAsia="黑体"/>
          <w:sz w:val="24"/>
        </w:rPr>
      </w:pPr>
      <w:r>
        <w:rPr>
          <w:rFonts w:hint="eastAsia" w:ascii="黑体" w:eastAsia="黑体"/>
          <w:sz w:val="24"/>
        </w:rPr>
        <w:t>附表A-5：技术标评审记录表</w:t>
      </w:r>
    </w:p>
    <w:p>
      <w:pPr>
        <w:spacing w:afterLines="100" w:line="360" w:lineRule="auto"/>
        <w:jc w:val="center"/>
        <w:rPr>
          <w:rFonts w:ascii="黑体" w:eastAsia="黑体"/>
          <w:sz w:val="36"/>
          <w:szCs w:val="36"/>
        </w:rPr>
      </w:pPr>
      <w:r>
        <w:rPr>
          <w:rFonts w:hint="eastAsia" w:ascii="黑体" w:eastAsia="黑体"/>
          <w:sz w:val="36"/>
          <w:szCs w:val="36"/>
        </w:rPr>
        <w:t>技术标评审记录表</w:t>
      </w:r>
    </w:p>
    <w:p>
      <w:pPr>
        <w:spacing w:afterLines="100" w:line="360" w:lineRule="auto"/>
        <w:rPr>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标段</w:t>
      </w:r>
    </w:p>
    <w:tbl>
      <w:tblPr>
        <w:tblStyle w:val="24"/>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701"/>
        <w:gridCol w:w="1080"/>
        <w:gridCol w:w="1180"/>
        <w:gridCol w:w="1180"/>
        <w:gridCol w:w="1180"/>
        <w:gridCol w:w="1180"/>
        <w:gridCol w:w="118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Merge w:val="restart"/>
            <w:vAlign w:val="center"/>
          </w:tcPr>
          <w:p>
            <w:pPr>
              <w:spacing w:line="360" w:lineRule="auto"/>
              <w:jc w:val="center"/>
              <w:rPr>
                <w:szCs w:val="44"/>
              </w:rPr>
            </w:pPr>
            <w:r>
              <w:rPr>
                <w:rFonts w:hint="eastAsia"/>
                <w:szCs w:val="44"/>
              </w:rPr>
              <w:t>序号</w:t>
            </w:r>
          </w:p>
        </w:tc>
        <w:tc>
          <w:tcPr>
            <w:tcW w:w="2701" w:type="dxa"/>
            <w:vMerge w:val="restart"/>
            <w:vAlign w:val="center"/>
          </w:tcPr>
          <w:p>
            <w:pPr>
              <w:spacing w:line="360" w:lineRule="auto"/>
              <w:jc w:val="center"/>
              <w:rPr>
                <w:szCs w:val="44"/>
              </w:rPr>
            </w:pPr>
          </w:p>
        </w:tc>
        <w:tc>
          <w:tcPr>
            <w:tcW w:w="1080" w:type="dxa"/>
            <w:vMerge w:val="restart"/>
            <w:vAlign w:val="center"/>
          </w:tcPr>
          <w:p>
            <w:pPr>
              <w:spacing w:line="360" w:lineRule="auto"/>
              <w:jc w:val="center"/>
              <w:rPr>
                <w:szCs w:val="44"/>
              </w:rPr>
            </w:pPr>
            <w:r>
              <w:rPr>
                <w:rFonts w:hint="eastAsia"/>
                <w:szCs w:val="44"/>
              </w:rPr>
              <w:t>标准分</w:t>
            </w:r>
          </w:p>
        </w:tc>
        <w:tc>
          <w:tcPr>
            <w:tcW w:w="9440" w:type="dxa"/>
            <w:gridSpan w:val="8"/>
            <w:vAlign w:val="center"/>
          </w:tcPr>
          <w:p>
            <w:pPr>
              <w:spacing w:line="360" w:lineRule="auto"/>
              <w:jc w:val="center"/>
              <w:rPr>
                <w:szCs w:val="44"/>
              </w:rPr>
            </w:pPr>
            <w:r>
              <w:rPr>
                <w:rFonts w:hint="eastAsia"/>
                <w:szCs w:val="4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Merge w:val="continue"/>
            <w:vAlign w:val="center"/>
          </w:tcPr>
          <w:p>
            <w:pPr>
              <w:spacing w:line="360" w:lineRule="auto"/>
              <w:jc w:val="center"/>
              <w:rPr>
                <w:szCs w:val="44"/>
              </w:rPr>
            </w:pPr>
          </w:p>
        </w:tc>
        <w:tc>
          <w:tcPr>
            <w:tcW w:w="2701" w:type="dxa"/>
            <w:vMerge w:val="continue"/>
            <w:vAlign w:val="center"/>
          </w:tcPr>
          <w:p>
            <w:pPr>
              <w:spacing w:line="360" w:lineRule="auto"/>
              <w:jc w:val="center"/>
              <w:rPr>
                <w:szCs w:val="44"/>
              </w:rPr>
            </w:pPr>
          </w:p>
        </w:tc>
        <w:tc>
          <w:tcPr>
            <w:tcW w:w="1080" w:type="dxa"/>
            <w:vMerge w:val="continue"/>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1</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2</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3</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4</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5</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6</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7</w:t>
            </w:r>
          </w:p>
        </w:tc>
        <w:tc>
          <w:tcPr>
            <w:tcW w:w="2701" w:type="dxa"/>
            <w:vAlign w:val="center"/>
          </w:tcPr>
          <w:p>
            <w:pPr>
              <w:spacing w:line="360" w:lineRule="auto"/>
              <w:jc w:val="center"/>
              <w:rPr>
                <w:szCs w:val="44"/>
              </w:rPr>
            </w:pP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Align w:val="center"/>
          </w:tcPr>
          <w:p>
            <w:pPr>
              <w:spacing w:line="360" w:lineRule="auto"/>
              <w:jc w:val="center"/>
              <w:rPr>
                <w:rFonts w:ascii="黑体" w:eastAsia="黑体"/>
                <w:szCs w:val="44"/>
              </w:rPr>
            </w:pPr>
            <w:r>
              <w:rPr>
                <w:rFonts w:hint="eastAsia" w:ascii="黑体" w:eastAsia="黑体"/>
                <w:szCs w:val="44"/>
              </w:rPr>
              <w:t>8</w:t>
            </w:r>
          </w:p>
        </w:tc>
        <w:tc>
          <w:tcPr>
            <w:tcW w:w="2701" w:type="dxa"/>
            <w:vAlign w:val="center"/>
          </w:tcPr>
          <w:p>
            <w:pPr>
              <w:spacing w:line="360" w:lineRule="auto"/>
              <w:jc w:val="center"/>
              <w:rPr>
                <w:szCs w:val="44"/>
              </w:rPr>
            </w:pPr>
            <w:r>
              <w:rPr>
                <w:rFonts w:hint="eastAsia"/>
                <w:szCs w:val="44"/>
              </w:rPr>
              <w:t>……</w:t>
            </w:r>
          </w:p>
        </w:tc>
        <w:tc>
          <w:tcPr>
            <w:tcW w:w="10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08" w:type="dxa"/>
            <w:gridSpan w:val="3"/>
            <w:vAlign w:val="center"/>
          </w:tcPr>
          <w:p>
            <w:pPr>
              <w:spacing w:line="360" w:lineRule="auto"/>
              <w:jc w:val="center"/>
              <w:rPr>
                <w:szCs w:val="44"/>
              </w:rPr>
            </w:pPr>
            <w:r>
              <w:rPr>
                <w:rFonts w:hint="eastAsia"/>
                <w:szCs w:val="44"/>
              </w:rPr>
              <w:t>技术标得分合计 (满分</w:t>
            </w:r>
            <w:r>
              <w:rPr>
                <w:rFonts w:hint="eastAsia"/>
                <w:szCs w:val="44"/>
                <w:u w:val="single"/>
              </w:rPr>
              <w:t xml:space="preserve">       </w:t>
            </w:r>
            <w:r>
              <w:rPr>
                <w:rFonts w:hint="eastAsia"/>
                <w:szCs w:val="44"/>
              </w:rPr>
              <w:t>)</w:t>
            </w: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c>
          <w:tcPr>
            <w:tcW w:w="1180" w:type="dxa"/>
            <w:vAlign w:val="center"/>
          </w:tcPr>
          <w:p>
            <w:pPr>
              <w:spacing w:line="360" w:lineRule="auto"/>
              <w:jc w:val="center"/>
              <w:rPr>
                <w:szCs w:val="44"/>
              </w:rPr>
            </w:pPr>
          </w:p>
        </w:tc>
      </w:tr>
    </w:tbl>
    <w:p>
      <w:pPr>
        <w:spacing w:line="360" w:lineRule="auto"/>
      </w:pPr>
    </w:p>
    <w:p>
      <w:pPr>
        <w:spacing w:line="360" w:lineRule="auto"/>
        <w:rPr>
          <w:szCs w:val="44"/>
        </w:rPr>
      </w:pPr>
      <w:r>
        <w:rPr>
          <w:rFonts w:hint="eastAsia"/>
        </w:rPr>
        <w:t>评标委员会成员签名：                                                                               日期：   　　 年    月　  日</w:t>
      </w:r>
    </w:p>
    <w:p>
      <w:pPr>
        <w:widowControl/>
        <w:autoSpaceDE/>
        <w:autoSpaceDN/>
        <w:rPr>
          <w:szCs w:val="44"/>
        </w:rPr>
      </w:pPr>
      <w:r>
        <w:rPr>
          <w:szCs w:val="44"/>
        </w:rPr>
        <w:br w:type="page"/>
      </w:r>
    </w:p>
    <w:p>
      <w:pPr>
        <w:rPr>
          <w:b/>
          <w:szCs w:val="21"/>
        </w:rPr>
      </w:pPr>
      <w:r>
        <w:rPr>
          <w:rFonts w:hint="eastAsia" w:ascii="黑体" w:eastAsia="黑体"/>
        </w:rPr>
        <w:t>附表A-6</w:t>
      </w:r>
      <w:r>
        <w:rPr>
          <w:rFonts w:hint="eastAsia"/>
          <w:b/>
          <w:szCs w:val="21"/>
        </w:rPr>
        <w:t>：技术标得分计算汇总表</w:t>
      </w:r>
    </w:p>
    <w:p>
      <w:pPr>
        <w:adjustRightInd w:val="0"/>
        <w:snapToGrid w:val="0"/>
        <w:spacing w:beforeLines="100" w:afterLines="100"/>
        <w:jc w:val="center"/>
        <w:rPr>
          <w:rFonts w:ascii="黑体" w:eastAsia="黑体"/>
          <w:sz w:val="32"/>
          <w:szCs w:val="32"/>
        </w:rPr>
      </w:pPr>
      <w:r>
        <w:rPr>
          <w:rFonts w:hint="eastAsia" w:ascii="黑体" w:eastAsia="黑体"/>
          <w:sz w:val="32"/>
          <w:szCs w:val="32"/>
        </w:rPr>
        <w:t>技术标得分计算汇总表</w:t>
      </w:r>
    </w:p>
    <w:p>
      <w:pPr>
        <w:spacing w:afterLines="30" w:line="360" w:lineRule="auto"/>
      </w:pPr>
      <w:r>
        <w:rPr>
          <w:rFonts w:hint="eastAsia"/>
        </w:rPr>
        <w:t>工程名称：</w:t>
      </w:r>
      <w:r>
        <w:rPr>
          <w:rFonts w:hint="eastAsia"/>
          <w:u w:val="single"/>
        </w:rPr>
        <w:t xml:space="preserve">                                                                       </w:t>
      </w:r>
    </w:p>
    <w:tbl>
      <w:tblPr>
        <w:tblStyle w:val="24"/>
        <w:tblW w:w="12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356"/>
        <w:gridCol w:w="1418"/>
        <w:gridCol w:w="1701"/>
        <w:gridCol w:w="311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796" w:type="dxa"/>
            <w:shd w:val="clear" w:color="auto" w:fill="auto"/>
            <w:vAlign w:val="center"/>
          </w:tcPr>
          <w:p>
            <w:pPr>
              <w:widowControl/>
              <w:jc w:val="center"/>
              <w:rPr>
                <w:sz w:val="20"/>
                <w:szCs w:val="20"/>
              </w:rPr>
            </w:pPr>
            <w:r>
              <w:rPr>
                <w:rFonts w:hint="eastAsia"/>
                <w:sz w:val="20"/>
                <w:szCs w:val="20"/>
              </w:rPr>
              <w:t>序号</w:t>
            </w:r>
          </w:p>
        </w:tc>
        <w:tc>
          <w:tcPr>
            <w:tcW w:w="3356" w:type="dxa"/>
            <w:shd w:val="clear" w:color="auto" w:fill="auto"/>
            <w:vAlign w:val="center"/>
          </w:tcPr>
          <w:p>
            <w:pPr>
              <w:widowControl/>
              <w:jc w:val="center"/>
              <w:rPr>
                <w:sz w:val="20"/>
                <w:szCs w:val="20"/>
              </w:rPr>
            </w:pPr>
            <w:r>
              <w:rPr>
                <w:rFonts w:hint="eastAsia"/>
                <w:sz w:val="20"/>
                <w:szCs w:val="20"/>
              </w:rPr>
              <w:t>投标单位名称</w:t>
            </w:r>
          </w:p>
        </w:tc>
        <w:tc>
          <w:tcPr>
            <w:tcW w:w="1418" w:type="dxa"/>
            <w:vAlign w:val="center"/>
          </w:tcPr>
          <w:p>
            <w:pPr>
              <w:widowControl/>
              <w:jc w:val="center"/>
              <w:rPr>
                <w:sz w:val="20"/>
                <w:szCs w:val="20"/>
              </w:rPr>
            </w:pPr>
            <w:r>
              <w:rPr>
                <w:rFonts w:hint="eastAsia"/>
                <w:sz w:val="20"/>
                <w:szCs w:val="20"/>
              </w:rPr>
              <w:t>最高分</w:t>
            </w:r>
          </w:p>
        </w:tc>
        <w:tc>
          <w:tcPr>
            <w:tcW w:w="1701" w:type="dxa"/>
            <w:vAlign w:val="center"/>
          </w:tcPr>
          <w:p>
            <w:pPr>
              <w:widowControl/>
              <w:jc w:val="center"/>
              <w:rPr>
                <w:sz w:val="20"/>
                <w:szCs w:val="20"/>
              </w:rPr>
            </w:pPr>
            <w:r>
              <w:rPr>
                <w:rFonts w:hint="eastAsia"/>
                <w:sz w:val="20"/>
                <w:szCs w:val="20"/>
              </w:rPr>
              <w:t>最低分</w:t>
            </w:r>
          </w:p>
        </w:tc>
        <w:tc>
          <w:tcPr>
            <w:tcW w:w="3118" w:type="dxa"/>
            <w:shd w:val="clear" w:color="auto" w:fill="auto"/>
            <w:vAlign w:val="center"/>
          </w:tcPr>
          <w:p>
            <w:pPr>
              <w:widowControl/>
              <w:jc w:val="center"/>
              <w:rPr>
                <w:sz w:val="20"/>
                <w:szCs w:val="20"/>
              </w:rPr>
            </w:pPr>
            <w:r>
              <w:rPr>
                <w:rFonts w:hint="eastAsia"/>
                <w:sz w:val="20"/>
                <w:szCs w:val="20"/>
              </w:rPr>
              <w:t>去掉一个最高分和一个最低分后的算术平均数A</w:t>
            </w:r>
          </w:p>
        </w:tc>
        <w:tc>
          <w:tcPr>
            <w:tcW w:w="2028" w:type="dxa"/>
            <w:shd w:val="clear" w:color="auto" w:fill="auto"/>
            <w:vAlign w:val="center"/>
          </w:tcPr>
          <w:p>
            <w:pPr>
              <w:widowControl/>
              <w:jc w:val="center"/>
              <w:rPr>
                <w:sz w:val="20"/>
                <w:szCs w:val="20"/>
              </w:rPr>
            </w:pPr>
            <w:r>
              <w:rPr>
                <w:rFonts w:hint="eastAsia"/>
                <w:sz w:val="20"/>
                <w:szCs w:val="20"/>
              </w:rPr>
              <w:t>技术标得分</w:t>
            </w:r>
          </w:p>
          <w:p>
            <w:pPr>
              <w:widowControl/>
              <w:jc w:val="center"/>
              <w:rPr>
                <w:sz w:val="20"/>
                <w:szCs w:val="20"/>
              </w:rPr>
            </w:pPr>
            <w:r>
              <w:rPr>
                <w:rFonts w:hint="eastAsia"/>
                <w:sz w:val="20"/>
                <w:szCs w:val="20"/>
              </w:rPr>
              <w:t>（技术标得分</w:t>
            </w:r>
          </w:p>
          <w:p>
            <w:pPr>
              <w:widowControl/>
              <w:jc w:val="center"/>
              <w:rPr>
                <w:sz w:val="20"/>
                <w:szCs w:val="20"/>
              </w:rPr>
            </w:pPr>
            <w:r>
              <w:rPr>
                <w:rFonts w:hint="eastAsia"/>
                <w:sz w:val="20"/>
                <w:szCs w:val="20"/>
              </w:rPr>
              <w:t>＝算术平均数A）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96" w:type="dxa"/>
            <w:shd w:val="clear" w:color="auto" w:fill="auto"/>
            <w:vAlign w:val="center"/>
          </w:tcPr>
          <w:p>
            <w:pPr>
              <w:widowControl/>
              <w:jc w:val="center"/>
              <w:rPr>
                <w:b/>
                <w:bCs/>
                <w:sz w:val="20"/>
                <w:szCs w:val="20"/>
              </w:rPr>
            </w:pPr>
            <w:r>
              <w:rPr>
                <w:rFonts w:hint="eastAsia"/>
                <w:b/>
                <w:bCs/>
                <w:sz w:val="20"/>
                <w:szCs w:val="20"/>
              </w:rPr>
              <w:t>1</w:t>
            </w:r>
          </w:p>
        </w:tc>
        <w:tc>
          <w:tcPr>
            <w:tcW w:w="3356" w:type="dxa"/>
            <w:shd w:val="clear" w:color="auto" w:fill="auto"/>
            <w:vAlign w:val="center"/>
          </w:tcPr>
          <w:p>
            <w:pPr>
              <w:widowControl/>
              <w:jc w:val="center"/>
              <w:rPr>
                <w:sz w:val="20"/>
                <w:szCs w:val="20"/>
              </w:rPr>
            </w:pPr>
          </w:p>
        </w:tc>
        <w:tc>
          <w:tcPr>
            <w:tcW w:w="1418" w:type="dxa"/>
          </w:tcPr>
          <w:p>
            <w:pPr>
              <w:widowControl/>
              <w:jc w:val="center"/>
              <w:rPr>
                <w:sz w:val="20"/>
                <w:szCs w:val="20"/>
              </w:rPr>
            </w:pPr>
          </w:p>
        </w:tc>
        <w:tc>
          <w:tcPr>
            <w:tcW w:w="1701" w:type="dxa"/>
          </w:tcPr>
          <w:p>
            <w:pPr>
              <w:widowControl/>
              <w:jc w:val="center"/>
              <w:rPr>
                <w:sz w:val="20"/>
                <w:szCs w:val="20"/>
              </w:rPr>
            </w:pPr>
          </w:p>
        </w:tc>
        <w:tc>
          <w:tcPr>
            <w:tcW w:w="3118" w:type="dxa"/>
            <w:shd w:val="clear" w:color="auto" w:fill="auto"/>
            <w:vAlign w:val="center"/>
          </w:tcPr>
          <w:p>
            <w:pPr>
              <w:widowControl/>
              <w:jc w:val="center"/>
              <w:rPr>
                <w:sz w:val="20"/>
                <w:szCs w:val="20"/>
              </w:rPr>
            </w:pPr>
          </w:p>
        </w:tc>
        <w:tc>
          <w:tcPr>
            <w:tcW w:w="2028"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96" w:type="dxa"/>
            <w:shd w:val="clear" w:color="auto" w:fill="auto"/>
            <w:vAlign w:val="center"/>
          </w:tcPr>
          <w:p>
            <w:pPr>
              <w:widowControl/>
              <w:jc w:val="center"/>
              <w:rPr>
                <w:b/>
                <w:bCs/>
                <w:sz w:val="20"/>
                <w:szCs w:val="20"/>
              </w:rPr>
            </w:pPr>
            <w:r>
              <w:rPr>
                <w:rFonts w:hint="eastAsia"/>
                <w:b/>
                <w:bCs/>
                <w:sz w:val="20"/>
                <w:szCs w:val="20"/>
              </w:rPr>
              <w:t>2</w:t>
            </w:r>
          </w:p>
        </w:tc>
        <w:tc>
          <w:tcPr>
            <w:tcW w:w="3356" w:type="dxa"/>
            <w:shd w:val="clear" w:color="auto" w:fill="auto"/>
            <w:vAlign w:val="center"/>
          </w:tcPr>
          <w:p>
            <w:pPr>
              <w:widowControl/>
              <w:jc w:val="center"/>
              <w:rPr>
                <w:sz w:val="20"/>
                <w:szCs w:val="20"/>
              </w:rPr>
            </w:pPr>
          </w:p>
        </w:tc>
        <w:tc>
          <w:tcPr>
            <w:tcW w:w="1418" w:type="dxa"/>
          </w:tcPr>
          <w:p>
            <w:pPr>
              <w:widowControl/>
              <w:jc w:val="center"/>
              <w:rPr>
                <w:sz w:val="20"/>
                <w:szCs w:val="20"/>
              </w:rPr>
            </w:pPr>
          </w:p>
        </w:tc>
        <w:tc>
          <w:tcPr>
            <w:tcW w:w="1701" w:type="dxa"/>
          </w:tcPr>
          <w:p>
            <w:pPr>
              <w:widowControl/>
              <w:jc w:val="center"/>
              <w:rPr>
                <w:sz w:val="20"/>
                <w:szCs w:val="20"/>
              </w:rPr>
            </w:pPr>
          </w:p>
        </w:tc>
        <w:tc>
          <w:tcPr>
            <w:tcW w:w="3118" w:type="dxa"/>
            <w:shd w:val="clear" w:color="auto" w:fill="auto"/>
            <w:vAlign w:val="center"/>
          </w:tcPr>
          <w:p>
            <w:pPr>
              <w:widowControl/>
              <w:jc w:val="center"/>
              <w:rPr>
                <w:sz w:val="20"/>
                <w:szCs w:val="20"/>
              </w:rPr>
            </w:pPr>
          </w:p>
        </w:tc>
        <w:tc>
          <w:tcPr>
            <w:tcW w:w="2028"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96" w:type="dxa"/>
            <w:shd w:val="clear" w:color="auto" w:fill="auto"/>
            <w:vAlign w:val="center"/>
          </w:tcPr>
          <w:p>
            <w:pPr>
              <w:widowControl/>
              <w:jc w:val="center"/>
              <w:rPr>
                <w:b/>
                <w:bCs/>
                <w:sz w:val="20"/>
                <w:szCs w:val="20"/>
              </w:rPr>
            </w:pPr>
            <w:r>
              <w:rPr>
                <w:rFonts w:hint="eastAsia"/>
                <w:b/>
                <w:bCs/>
                <w:sz w:val="20"/>
                <w:szCs w:val="20"/>
              </w:rPr>
              <w:t>3</w:t>
            </w:r>
          </w:p>
        </w:tc>
        <w:tc>
          <w:tcPr>
            <w:tcW w:w="3356" w:type="dxa"/>
            <w:shd w:val="clear" w:color="auto" w:fill="auto"/>
            <w:vAlign w:val="center"/>
          </w:tcPr>
          <w:p>
            <w:pPr>
              <w:widowControl/>
              <w:jc w:val="center"/>
              <w:rPr>
                <w:sz w:val="20"/>
                <w:szCs w:val="20"/>
              </w:rPr>
            </w:pPr>
          </w:p>
        </w:tc>
        <w:tc>
          <w:tcPr>
            <w:tcW w:w="1418" w:type="dxa"/>
          </w:tcPr>
          <w:p>
            <w:pPr>
              <w:widowControl/>
              <w:jc w:val="center"/>
              <w:rPr>
                <w:sz w:val="20"/>
                <w:szCs w:val="20"/>
              </w:rPr>
            </w:pPr>
          </w:p>
        </w:tc>
        <w:tc>
          <w:tcPr>
            <w:tcW w:w="1701" w:type="dxa"/>
          </w:tcPr>
          <w:p>
            <w:pPr>
              <w:widowControl/>
              <w:jc w:val="center"/>
              <w:rPr>
                <w:sz w:val="20"/>
                <w:szCs w:val="20"/>
              </w:rPr>
            </w:pPr>
          </w:p>
        </w:tc>
        <w:tc>
          <w:tcPr>
            <w:tcW w:w="3118" w:type="dxa"/>
            <w:shd w:val="clear" w:color="auto" w:fill="auto"/>
            <w:vAlign w:val="center"/>
          </w:tcPr>
          <w:p>
            <w:pPr>
              <w:widowControl/>
              <w:jc w:val="center"/>
              <w:rPr>
                <w:sz w:val="20"/>
                <w:szCs w:val="20"/>
              </w:rPr>
            </w:pPr>
          </w:p>
        </w:tc>
        <w:tc>
          <w:tcPr>
            <w:tcW w:w="2028"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96" w:type="dxa"/>
            <w:shd w:val="clear" w:color="auto" w:fill="auto"/>
            <w:vAlign w:val="center"/>
          </w:tcPr>
          <w:p>
            <w:pPr>
              <w:widowControl/>
              <w:jc w:val="center"/>
              <w:rPr>
                <w:b/>
                <w:bCs/>
                <w:sz w:val="20"/>
                <w:szCs w:val="20"/>
              </w:rPr>
            </w:pPr>
            <w:r>
              <w:rPr>
                <w:rFonts w:hint="eastAsia"/>
                <w:b/>
                <w:bCs/>
                <w:sz w:val="20"/>
                <w:szCs w:val="20"/>
              </w:rPr>
              <w:t>4</w:t>
            </w:r>
          </w:p>
        </w:tc>
        <w:tc>
          <w:tcPr>
            <w:tcW w:w="3356" w:type="dxa"/>
            <w:shd w:val="clear" w:color="auto" w:fill="auto"/>
            <w:vAlign w:val="center"/>
          </w:tcPr>
          <w:p>
            <w:pPr>
              <w:widowControl/>
              <w:jc w:val="center"/>
              <w:rPr>
                <w:sz w:val="20"/>
                <w:szCs w:val="20"/>
              </w:rPr>
            </w:pPr>
          </w:p>
        </w:tc>
        <w:tc>
          <w:tcPr>
            <w:tcW w:w="1418" w:type="dxa"/>
          </w:tcPr>
          <w:p>
            <w:pPr>
              <w:widowControl/>
              <w:jc w:val="center"/>
              <w:rPr>
                <w:sz w:val="20"/>
                <w:szCs w:val="20"/>
              </w:rPr>
            </w:pPr>
          </w:p>
        </w:tc>
        <w:tc>
          <w:tcPr>
            <w:tcW w:w="1701" w:type="dxa"/>
          </w:tcPr>
          <w:p>
            <w:pPr>
              <w:widowControl/>
              <w:jc w:val="center"/>
              <w:rPr>
                <w:sz w:val="20"/>
                <w:szCs w:val="20"/>
              </w:rPr>
            </w:pPr>
          </w:p>
        </w:tc>
        <w:tc>
          <w:tcPr>
            <w:tcW w:w="3118" w:type="dxa"/>
            <w:shd w:val="clear" w:color="auto" w:fill="auto"/>
            <w:vAlign w:val="center"/>
          </w:tcPr>
          <w:p>
            <w:pPr>
              <w:widowControl/>
              <w:jc w:val="center"/>
              <w:rPr>
                <w:sz w:val="20"/>
                <w:szCs w:val="20"/>
              </w:rPr>
            </w:pPr>
          </w:p>
        </w:tc>
        <w:tc>
          <w:tcPr>
            <w:tcW w:w="2028"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796" w:type="dxa"/>
            <w:shd w:val="clear" w:color="auto" w:fill="auto"/>
            <w:vAlign w:val="center"/>
          </w:tcPr>
          <w:p>
            <w:pPr>
              <w:widowControl/>
              <w:jc w:val="center"/>
              <w:rPr>
                <w:b/>
                <w:bCs/>
                <w:sz w:val="20"/>
                <w:szCs w:val="20"/>
              </w:rPr>
            </w:pPr>
            <w:r>
              <w:rPr>
                <w:b/>
                <w:bCs/>
                <w:sz w:val="20"/>
                <w:szCs w:val="20"/>
              </w:rPr>
              <w:t>…</w:t>
            </w:r>
          </w:p>
        </w:tc>
        <w:tc>
          <w:tcPr>
            <w:tcW w:w="3356" w:type="dxa"/>
            <w:shd w:val="clear" w:color="auto" w:fill="auto"/>
            <w:vAlign w:val="center"/>
          </w:tcPr>
          <w:p>
            <w:pPr>
              <w:widowControl/>
              <w:jc w:val="center"/>
              <w:rPr>
                <w:sz w:val="20"/>
                <w:szCs w:val="20"/>
              </w:rPr>
            </w:pPr>
          </w:p>
        </w:tc>
        <w:tc>
          <w:tcPr>
            <w:tcW w:w="1418" w:type="dxa"/>
          </w:tcPr>
          <w:p>
            <w:pPr>
              <w:widowControl/>
              <w:jc w:val="center"/>
              <w:rPr>
                <w:sz w:val="20"/>
                <w:szCs w:val="20"/>
              </w:rPr>
            </w:pPr>
          </w:p>
        </w:tc>
        <w:tc>
          <w:tcPr>
            <w:tcW w:w="1701" w:type="dxa"/>
          </w:tcPr>
          <w:p>
            <w:pPr>
              <w:widowControl/>
              <w:jc w:val="center"/>
              <w:rPr>
                <w:sz w:val="20"/>
                <w:szCs w:val="20"/>
              </w:rPr>
            </w:pPr>
          </w:p>
        </w:tc>
        <w:tc>
          <w:tcPr>
            <w:tcW w:w="3118" w:type="dxa"/>
            <w:shd w:val="clear" w:color="auto" w:fill="auto"/>
            <w:vAlign w:val="center"/>
          </w:tcPr>
          <w:p>
            <w:pPr>
              <w:widowControl/>
              <w:jc w:val="center"/>
              <w:rPr>
                <w:sz w:val="20"/>
                <w:szCs w:val="20"/>
              </w:rPr>
            </w:pPr>
          </w:p>
        </w:tc>
        <w:tc>
          <w:tcPr>
            <w:tcW w:w="2028" w:type="dxa"/>
            <w:shd w:val="clear" w:color="auto" w:fill="auto"/>
            <w:vAlign w:val="center"/>
          </w:tcPr>
          <w:p>
            <w:pPr>
              <w:widowControl/>
              <w:jc w:val="center"/>
              <w:rPr>
                <w:sz w:val="20"/>
                <w:szCs w:val="20"/>
              </w:rPr>
            </w:pPr>
          </w:p>
        </w:tc>
      </w:tr>
    </w:tbl>
    <w:p>
      <w:pPr>
        <w:spacing w:line="360" w:lineRule="auto"/>
      </w:pPr>
    </w:p>
    <w:p>
      <w:pPr>
        <w:spacing w:line="360" w:lineRule="auto"/>
      </w:pPr>
      <w:r>
        <w:rPr>
          <w:rFonts w:hint="eastAsia"/>
        </w:rPr>
        <w:t xml:space="preserve">评标委员会全体成员签名：                                                         监督：                          </w:t>
      </w:r>
    </w:p>
    <w:p>
      <w:pPr>
        <w:spacing w:afterLines="100" w:line="360" w:lineRule="auto"/>
        <w:ind w:firstLine="8800" w:firstLineChars="4000"/>
      </w:pPr>
    </w:p>
    <w:p>
      <w:pPr>
        <w:spacing w:afterLines="100" w:line="360" w:lineRule="auto"/>
        <w:ind w:firstLine="8800" w:firstLineChars="4000"/>
      </w:pPr>
    </w:p>
    <w:p>
      <w:pPr>
        <w:spacing w:afterLines="100" w:line="360" w:lineRule="auto"/>
        <w:ind w:firstLine="8800" w:firstLineChars="4000"/>
        <w:rPr>
          <w:rFonts w:ascii="黑体" w:eastAsia="黑体"/>
          <w:sz w:val="24"/>
        </w:rPr>
      </w:pPr>
      <w:r>
        <w:rPr>
          <w:rFonts w:hint="eastAsia"/>
        </w:rPr>
        <w:t>日期：        年     月     日</w:t>
      </w:r>
    </w:p>
    <w:p>
      <w:pPr>
        <w:spacing w:line="360" w:lineRule="auto"/>
        <w:rPr>
          <w:szCs w:val="44"/>
        </w:rPr>
      </w:pPr>
    </w:p>
    <w:p>
      <w:pPr>
        <w:widowControl/>
        <w:autoSpaceDE/>
        <w:autoSpaceDN/>
        <w:rPr>
          <w:rFonts w:ascii="黑体" w:eastAsia="黑体"/>
        </w:rPr>
      </w:pPr>
      <w:r>
        <w:rPr>
          <w:szCs w:val="44"/>
        </w:rPr>
        <w:br w:type="page"/>
      </w:r>
      <w:r>
        <w:rPr>
          <w:rFonts w:hint="eastAsia" w:ascii="黑体" w:eastAsia="黑体"/>
          <w:sz w:val="24"/>
        </w:rPr>
        <w:t>附表A-7：商务得分计算汇总表</w:t>
      </w:r>
    </w:p>
    <w:p>
      <w:pPr>
        <w:spacing w:beforeLines="50" w:afterLines="50" w:line="360" w:lineRule="auto"/>
        <w:jc w:val="center"/>
        <w:rPr>
          <w:rFonts w:ascii="黑体" w:eastAsia="黑体"/>
          <w:sz w:val="28"/>
          <w:szCs w:val="28"/>
        </w:rPr>
      </w:pPr>
      <w:r>
        <w:rPr>
          <w:rFonts w:hint="eastAsia" w:ascii="黑体" w:eastAsia="黑体"/>
          <w:sz w:val="28"/>
          <w:szCs w:val="28"/>
        </w:rPr>
        <w:t>商务得分计算汇总表</w:t>
      </w:r>
    </w:p>
    <w:p>
      <w:pPr>
        <w:spacing w:afterLines="30" w:line="360" w:lineRule="auto"/>
      </w:pPr>
      <w:r>
        <w:rPr>
          <w:rFonts w:hint="eastAsia"/>
        </w:rPr>
        <w:t>工程名称：</w:t>
      </w:r>
      <w:r>
        <w:rPr>
          <w:rFonts w:hint="eastAsia"/>
          <w:u w:val="single"/>
        </w:rPr>
        <w:t xml:space="preserve">             </w:t>
      </w:r>
      <w:r>
        <w:rPr>
          <w:rFonts w:hint="eastAsia"/>
        </w:rPr>
        <w:t>(项目名称)</w:t>
      </w:r>
      <w:r>
        <w:rPr>
          <w:rFonts w:hint="eastAsia"/>
          <w:u w:val="single"/>
        </w:rPr>
        <w:t xml:space="preserve">    </w:t>
      </w:r>
      <w:r>
        <w:rPr>
          <w:rFonts w:hint="eastAsia"/>
        </w:rPr>
        <w:t>标段</w:t>
      </w:r>
    </w:p>
    <w:tbl>
      <w:tblPr>
        <w:tblStyle w:val="24"/>
        <w:tblW w:w="141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564"/>
        <w:gridCol w:w="3502"/>
        <w:gridCol w:w="286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705" w:type="dxa"/>
            <w:shd w:val="clear" w:color="auto" w:fill="auto"/>
            <w:vAlign w:val="center"/>
          </w:tcPr>
          <w:p>
            <w:pPr>
              <w:widowControl/>
              <w:jc w:val="center"/>
              <w:rPr>
                <w:sz w:val="20"/>
                <w:szCs w:val="20"/>
              </w:rPr>
            </w:pPr>
            <w:r>
              <w:rPr>
                <w:rFonts w:hint="eastAsia"/>
                <w:sz w:val="20"/>
                <w:szCs w:val="20"/>
              </w:rPr>
              <w:t>序号</w:t>
            </w:r>
          </w:p>
        </w:tc>
        <w:tc>
          <w:tcPr>
            <w:tcW w:w="4564" w:type="dxa"/>
            <w:shd w:val="clear" w:color="auto" w:fill="auto"/>
            <w:vAlign w:val="center"/>
          </w:tcPr>
          <w:p>
            <w:pPr>
              <w:widowControl/>
              <w:jc w:val="center"/>
              <w:rPr>
                <w:sz w:val="20"/>
                <w:szCs w:val="20"/>
              </w:rPr>
            </w:pPr>
            <w:r>
              <w:rPr>
                <w:rFonts w:hint="eastAsia"/>
                <w:sz w:val="20"/>
                <w:szCs w:val="20"/>
              </w:rPr>
              <w:t>投标单位名称</w:t>
            </w:r>
          </w:p>
        </w:tc>
        <w:tc>
          <w:tcPr>
            <w:tcW w:w="3502" w:type="dxa"/>
            <w:vAlign w:val="center"/>
          </w:tcPr>
          <w:p>
            <w:pPr>
              <w:widowControl/>
              <w:jc w:val="center"/>
              <w:rPr>
                <w:sz w:val="20"/>
                <w:szCs w:val="20"/>
              </w:rPr>
            </w:pPr>
            <w:r>
              <w:rPr>
                <w:rFonts w:hint="eastAsia"/>
                <w:sz w:val="20"/>
                <w:szCs w:val="20"/>
              </w:rPr>
              <w:t>投标报价（元）</w:t>
            </w:r>
          </w:p>
        </w:tc>
        <w:tc>
          <w:tcPr>
            <w:tcW w:w="2864" w:type="dxa"/>
            <w:shd w:val="clear" w:color="auto" w:fill="auto"/>
            <w:vAlign w:val="center"/>
          </w:tcPr>
          <w:p>
            <w:pPr>
              <w:widowControl/>
              <w:jc w:val="center"/>
              <w:rPr>
                <w:sz w:val="20"/>
                <w:szCs w:val="20"/>
              </w:rPr>
            </w:pPr>
            <w:r>
              <w:rPr>
                <w:rFonts w:hint="eastAsia"/>
                <w:sz w:val="20"/>
                <w:szCs w:val="20"/>
              </w:rPr>
              <w:t>评标基准价</w:t>
            </w:r>
          </w:p>
          <w:p>
            <w:pPr>
              <w:widowControl/>
              <w:jc w:val="center"/>
              <w:rPr>
                <w:sz w:val="20"/>
                <w:szCs w:val="20"/>
              </w:rPr>
            </w:pPr>
          </w:p>
        </w:tc>
        <w:tc>
          <w:tcPr>
            <w:tcW w:w="2547" w:type="dxa"/>
            <w:shd w:val="clear" w:color="auto" w:fill="auto"/>
            <w:vAlign w:val="center"/>
          </w:tcPr>
          <w:p>
            <w:pPr>
              <w:widowControl/>
              <w:jc w:val="center"/>
              <w:rPr>
                <w:sz w:val="20"/>
                <w:szCs w:val="20"/>
              </w:rPr>
            </w:pPr>
            <w:r>
              <w:rPr>
                <w:rFonts w:hint="eastAsia"/>
                <w:sz w:val="20"/>
                <w:szCs w:val="20"/>
              </w:rPr>
              <w:t>商务得分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05" w:type="dxa"/>
            <w:shd w:val="clear" w:color="auto" w:fill="auto"/>
            <w:vAlign w:val="center"/>
          </w:tcPr>
          <w:p>
            <w:pPr>
              <w:widowControl/>
              <w:jc w:val="center"/>
              <w:rPr>
                <w:b/>
                <w:bCs/>
                <w:sz w:val="20"/>
                <w:szCs w:val="20"/>
              </w:rPr>
            </w:pPr>
            <w:r>
              <w:rPr>
                <w:rFonts w:hint="eastAsia"/>
                <w:b/>
                <w:bCs/>
                <w:sz w:val="20"/>
                <w:szCs w:val="20"/>
              </w:rPr>
              <w:t>1</w:t>
            </w:r>
          </w:p>
        </w:tc>
        <w:tc>
          <w:tcPr>
            <w:tcW w:w="4564" w:type="dxa"/>
            <w:shd w:val="clear" w:color="auto" w:fill="auto"/>
            <w:vAlign w:val="center"/>
          </w:tcPr>
          <w:p>
            <w:pPr>
              <w:widowControl/>
              <w:jc w:val="center"/>
              <w:rPr>
                <w:sz w:val="20"/>
                <w:szCs w:val="20"/>
              </w:rPr>
            </w:pPr>
          </w:p>
        </w:tc>
        <w:tc>
          <w:tcPr>
            <w:tcW w:w="3502" w:type="dxa"/>
          </w:tcPr>
          <w:p>
            <w:pPr>
              <w:widowControl/>
              <w:jc w:val="center"/>
              <w:rPr>
                <w:sz w:val="20"/>
                <w:szCs w:val="20"/>
              </w:rPr>
            </w:pPr>
          </w:p>
        </w:tc>
        <w:tc>
          <w:tcPr>
            <w:tcW w:w="2864" w:type="dxa"/>
            <w:vMerge w:val="restart"/>
            <w:shd w:val="clear" w:color="auto" w:fill="auto"/>
            <w:vAlign w:val="center"/>
          </w:tcPr>
          <w:p>
            <w:pPr>
              <w:widowControl/>
              <w:jc w:val="center"/>
              <w:rPr>
                <w:sz w:val="20"/>
                <w:szCs w:val="20"/>
              </w:rPr>
            </w:pPr>
          </w:p>
        </w:tc>
        <w:tc>
          <w:tcPr>
            <w:tcW w:w="2547"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05" w:type="dxa"/>
            <w:shd w:val="clear" w:color="auto" w:fill="auto"/>
            <w:vAlign w:val="center"/>
          </w:tcPr>
          <w:p>
            <w:pPr>
              <w:widowControl/>
              <w:jc w:val="center"/>
              <w:rPr>
                <w:b/>
                <w:bCs/>
                <w:sz w:val="20"/>
                <w:szCs w:val="20"/>
              </w:rPr>
            </w:pPr>
            <w:r>
              <w:rPr>
                <w:rFonts w:hint="eastAsia"/>
                <w:b/>
                <w:bCs/>
                <w:sz w:val="20"/>
                <w:szCs w:val="20"/>
              </w:rPr>
              <w:t>2</w:t>
            </w:r>
          </w:p>
        </w:tc>
        <w:tc>
          <w:tcPr>
            <w:tcW w:w="4564" w:type="dxa"/>
            <w:shd w:val="clear" w:color="auto" w:fill="auto"/>
            <w:vAlign w:val="center"/>
          </w:tcPr>
          <w:p>
            <w:pPr>
              <w:widowControl/>
              <w:jc w:val="center"/>
              <w:rPr>
                <w:sz w:val="20"/>
                <w:szCs w:val="20"/>
              </w:rPr>
            </w:pPr>
          </w:p>
        </w:tc>
        <w:tc>
          <w:tcPr>
            <w:tcW w:w="3502" w:type="dxa"/>
          </w:tcPr>
          <w:p>
            <w:pPr>
              <w:widowControl/>
              <w:jc w:val="center"/>
              <w:rPr>
                <w:sz w:val="20"/>
                <w:szCs w:val="20"/>
              </w:rPr>
            </w:pPr>
          </w:p>
        </w:tc>
        <w:tc>
          <w:tcPr>
            <w:tcW w:w="2864" w:type="dxa"/>
            <w:vMerge w:val="continue"/>
            <w:vAlign w:val="center"/>
          </w:tcPr>
          <w:p>
            <w:pPr>
              <w:widowControl/>
              <w:rPr>
                <w:sz w:val="20"/>
                <w:szCs w:val="20"/>
              </w:rPr>
            </w:pPr>
          </w:p>
        </w:tc>
        <w:tc>
          <w:tcPr>
            <w:tcW w:w="2547"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05" w:type="dxa"/>
            <w:shd w:val="clear" w:color="auto" w:fill="auto"/>
            <w:vAlign w:val="center"/>
          </w:tcPr>
          <w:p>
            <w:pPr>
              <w:widowControl/>
              <w:jc w:val="center"/>
              <w:rPr>
                <w:b/>
                <w:bCs/>
                <w:sz w:val="20"/>
                <w:szCs w:val="20"/>
              </w:rPr>
            </w:pPr>
            <w:r>
              <w:rPr>
                <w:rFonts w:hint="eastAsia"/>
                <w:b/>
                <w:bCs/>
                <w:sz w:val="20"/>
                <w:szCs w:val="20"/>
              </w:rPr>
              <w:t>3</w:t>
            </w:r>
          </w:p>
        </w:tc>
        <w:tc>
          <w:tcPr>
            <w:tcW w:w="4564" w:type="dxa"/>
            <w:shd w:val="clear" w:color="auto" w:fill="auto"/>
            <w:vAlign w:val="center"/>
          </w:tcPr>
          <w:p>
            <w:pPr>
              <w:widowControl/>
              <w:jc w:val="center"/>
              <w:rPr>
                <w:sz w:val="20"/>
                <w:szCs w:val="20"/>
              </w:rPr>
            </w:pPr>
          </w:p>
        </w:tc>
        <w:tc>
          <w:tcPr>
            <w:tcW w:w="3502" w:type="dxa"/>
          </w:tcPr>
          <w:p>
            <w:pPr>
              <w:widowControl/>
              <w:jc w:val="center"/>
              <w:rPr>
                <w:sz w:val="20"/>
                <w:szCs w:val="20"/>
              </w:rPr>
            </w:pPr>
          </w:p>
        </w:tc>
        <w:tc>
          <w:tcPr>
            <w:tcW w:w="2864" w:type="dxa"/>
            <w:vMerge w:val="continue"/>
            <w:vAlign w:val="center"/>
          </w:tcPr>
          <w:p>
            <w:pPr>
              <w:widowControl/>
              <w:rPr>
                <w:sz w:val="20"/>
                <w:szCs w:val="20"/>
              </w:rPr>
            </w:pPr>
          </w:p>
        </w:tc>
        <w:tc>
          <w:tcPr>
            <w:tcW w:w="2547"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05" w:type="dxa"/>
            <w:shd w:val="clear" w:color="auto" w:fill="auto"/>
            <w:vAlign w:val="center"/>
          </w:tcPr>
          <w:p>
            <w:pPr>
              <w:widowControl/>
              <w:jc w:val="center"/>
              <w:rPr>
                <w:b/>
                <w:bCs/>
                <w:sz w:val="20"/>
                <w:szCs w:val="20"/>
              </w:rPr>
            </w:pPr>
            <w:r>
              <w:rPr>
                <w:rFonts w:hint="eastAsia"/>
                <w:b/>
                <w:bCs/>
                <w:sz w:val="20"/>
                <w:szCs w:val="20"/>
              </w:rPr>
              <w:t>4</w:t>
            </w:r>
          </w:p>
        </w:tc>
        <w:tc>
          <w:tcPr>
            <w:tcW w:w="4564" w:type="dxa"/>
            <w:shd w:val="clear" w:color="auto" w:fill="auto"/>
            <w:vAlign w:val="center"/>
          </w:tcPr>
          <w:p>
            <w:pPr>
              <w:widowControl/>
              <w:jc w:val="center"/>
              <w:rPr>
                <w:sz w:val="20"/>
                <w:szCs w:val="20"/>
              </w:rPr>
            </w:pPr>
          </w:p>
        </w:tc>
        <w:tc>
          <w:tcPr>
            <w:tcW w:w="3502" w:type="dxa"/>
          </w:tcPr>
          <w:p>
            <w:pPr>
              <w:widowControl/>
              <w:jc w:val="center"/>
              <w:rPr>
                <w:sz w:val="20"/>
                <w:szCs w:val="20"/>
              </w:rPr>
            </w:pPr>
          </w:p>
        </w:tc>
        <w:tc>
          <w:tcPr>
            <w:tcW w:w="2864" w:type="dxa"/>
            <w:vMerge w:val="continue"/>
            <w:vAlign w:val="center"/>
          </w:tcPr>
          <w:p>
            <w:pPr>
              <w:widowControl/>
              <w:rPr>
                <w:sz w:val="20"/>
                <w:szCs w:val="20"/>
              </w:rPr>
            </w:pPr>
          </w:p>
        </w:tc>
        <w:tc>
          <w:tcPr>
            <w:tcW w:w="2547"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05" w:type="dxa"/>
            <w:shd w:val="clear" w:color="auto" w:fill="auto"/>
            <w:vAlign w:val="center"/>
          </w:tcPr>
          <w:p>
            <w:pPr>
              <w:widowControl/>
              <w:jc w:val="center"/>
              <w:rPr>
                <w:b/>
                <w:bCs/>
                <w:sz w:val="20"/>
                <w:szCs w:val="20"/>
              </w:rPr>
            </w:pPr>
            <w:r>
              <w:rPr>
                <w:b/>
                <w:bCs/>
                <w:sz w:val="20"/>
                <w:szCs w:val="20"/>
              </w:rPr>
              <w:t>…</w:t>
            </w:r>
          </w:p>
        </w:tc>
        <w:tc>
          <w:tcPr>
            <w:tcW w:w="4564" w:type="dxa"/>
            <w:shd w:val="clear" w:color="auto" w:fill="auto"/>
            <w:vAlign w:val="center"/>
          </w:tcPr>
          <w:p>
            <w:pPr>
              <w:widowControl/>
              <w:jc w:val="center"/>
              <w:rPr>
                <w:sz w:val="20"/>
                <w:szCs w:val="20"/>
              </w:rPr>
            </w:pPr>
          </w:p>
        </w:tc>
        <w:tc>
          <w:tcPr>
            <w:tcW w:w="3502" w:type="dxa"/>
          </w:tcPr>
          <w:p>
            <w:pPr>
              <w:widowControl/>
              <w:jc w:val="center"/>
              <w:rPr>
                <w:sz w:val="20"/>
                <w:szCs w:val="20"/>
              </w:rPr>
            </w:pPr>
          </w:p>
        </w:tc>
        <w:tc>
          <w:tcPr>
            <w:tcW w:w="2864" w:type="dxa"/>
            <w:vMerge w:val="continue"/>
            <w:vAlign w:val="center"/>
          </w:tcPr>
          <w:p>
            <w:pPr>
              <w:widowControl/>
              <w:rPr>
                <w:sz w:val="20"/>
                <w:szCs w:val="20"/>
              </w:rPr>
            </w:pPr>
          </w:p>
        </w:tc>
        <w:tc>
          <w:tcPr>
            <w:tcW w:w="2547" w:type="dxa"/>
            <w:shd w:val="clear" w:color="auto" w:fill="auto"/>
            <w:vAlign w:val="center"/>
          </w:tcPr>
          <w:p>
            <w:pPr>
              <w:widowControl/>
              <w:jc w:val="center"/>
              <w:rPr>
                <w:sz w:val="20"/>
                <w:szCs w:val="20"/>
              </w:rPr>
            </w:pPr>
          </w:p>
        </w:tc>
      </w:tr>
    </w:tbl>
    <w:p>
      <w:pPr>
        <w:spacing w:line="360" w:lineRule="auto"/>
      </w:pPr>
    </w:p>
    <w:p>
      <w:pPr>
        <w:spacing w:line="360" w:lineRule="auto"/>
      </w:pPr>
      <w:r>
        <w:rPr>
          <w:rFonts w:hint="eastAsia"/>
        </w:rPr>
        <w:t xml:space="preserve">评标委员会全体成员签名：                                                 监督：                          </w:t>
      </w:r>
    </w:p>
    <w:p>
      <w:pPr>
        <w:spacing w:afterLines="100" w:line="360" w:lineRule="auto"/>
        <w:ind w:firstLine="8030" w:firstLineChars="3650"/>
        <w:rPr>
          <w:rFonts w:ascii="黑体" w:eastAsia="黑体"/>
          <w:sz w:val="24"/>
        </w:rPr>
        <w:sectPr>
          <w:pgSz w:w="16838" w:h="11906" w:orient="landscape"/>
          <w:pgMar w:top="1134" w:right="1134" w:bottom="1134" w:left="1418" w:header="851" w:footer="851" w:gutter="0"/>
          <w:cols w:space="720" w:num="1"/>
          <w:docGrid w:linePitch="312" w:charSpace="0"/>
        </w:sectPr>
      </w:pPr>
      <w:r>
        <w:rPr>
          <w:rFonts w:hint="eastAsia"/>
        </w:rPr>
        <w:t>日期：        年     月     日</w:t>
      </w:r>
    </w:p>
    <w:p>
      <w:pPr>
        <w:spacing w:line="360" w:lineRule="auto"/>
        <w:rPr>
          <w:rFonts w:ascii="黑体" w:eastAsia="黑体"/>
        </w:rPr>
      </w:pPr>
      <w:r>
        <w:rPr>
          <w:rFonts w:hint="eastAsia" w:ascii="黑体" w:eastAsia="黑体"/>
        </w:rPr>
        <w:t>附表A-8：信用得分记录表</w:t>
      </w:r>
    </w:p>
    <w:p>
      <w:pPr>
        <w:spacing w:beforeLines="50" w:afterLines="50" w:line="360" w:lineRule="auto"/>
        <w:jc w:val="center"/>
        <w:rPr>
          <w:rFonts w:ascii="黑体" w:eastAsia="黑体"/>
          <w:sz w:val="28"/>
          <w:szCs w:val="28"/>
        </w:rPr>
      </w:pPr>
      <w:r>
        <w:rPr>
          <w:rFonts w:hint="eastAsia" w:ascii="黑体" w:eastAsia="黑体"/>
          <w:sz w:val="28"/>
          <w:szCs w:val="28"/>
        </w:rPr>
        <w:t>信用得分记录表</w:t>
      </w:r>
    </w:p>
    <w:p>
      <w:pPr>
        <w:spacing w:afterLines="30" w:line="360" w:lineRule="auto"/>
      </w:pPr>
      <w:r>
        <w:rPr>
          <w:rFonts w:hint="eastAsia"/>
        </w:rPr>
        <w:t>工程名称：</w:t>
      </w:r>
      <w:r>
        <w:rPr>
          <w:rFonts w:hint="eastAsia"/>
          <w:u w:val="single"/>
        </w:rPr>
        <w:t xml:space="preserve">             </w:t>
      </w:r>
      <w:r>
        <w:rPr>
          <w:rFonts w:hint="eastAsia"/>
        </w:rPr>
        <w:t>(项目名称)</w:t>
      </w:r>
      <w:r>
        <w:rPr>
          <w:rFonts w:hint="eastAsia"/>
          <w:u w:val="single"/>
        </w:rPr>
        <w:t xml:space="preserve">    </w:t>
      </w:r>
      <w:r>
        <w:rPr>
          <w:rFonts w:hint="eastAsia"/>
        </w:rPr>
        <w:t>标段</w:t>
      </w:r>
    </w:p>
    <w:tbl>
      <w:tblPr>
        <w:tblStyle w:val="24"/>
        <w:tblW w:w="145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42"/>
        <w:gridCol w:w="928"/>
        <w:gridCol w:w="844"/>
        <w:gridCol w:w="4008"/>
        <w:gridCol w:w="2099"/>
        <w:gridCol w:w="1567"/>
        <w:gridCol w:w="1722"/>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trPr>
        <w:tc>
          <w:tcPr>
            <w:tcW w:w="534" w:type="dxa"/>
            <w:shd w:val="clear" w:color="auto" w:fill="auto"/>
            <w:vAlign w:val="center"/>
          </w:tcPr>
          <w:p>
            <w:pPr>
              <w:widowControl/>
              <w:jc w:val="center"/>
              <w:rPr>
                <w:sz w:val="20"/>
                <w:szCs w:val="20"/>
              </w:rPr>
            </w:pPr>
            <w:r>
              <w:rPr>
                <w:rFonts w:hint="eastAsia"/>
                <w:sz w:val="20"/>
                <w:szCs w:val="20"/>
              </w:rPr>
              <w:t>序号</w:t>
            </w:r>
          </w:p>
        </w:tc>
        <w:tc>
          <w:tcPr>
            <w:tcW w:w="842" w:type="dxa"/>
            <w:shd w:val="clear" w:color="auto" w:fill="auto"/>
            <w:vAlign w:val="center"/>
          </w:tcPr>
          <w:p>
            <w:pPr>
              <w:widowControl/>
              <w:jc w:val="center"/>
              <w:rPr>
                <w:sz w:val="20"/>
                <w:szCs w:val="20"/>
              </w:rPr>
            </w:pPr>
            <w:r>
              <w:rPr>
                <w:rFonts w:hint="eastAsia"/>
                <w:sz w:val="20"/>
                <w:szCs w:val="20"/>
              </w:rPr>
              <w:t>投标单位名称</w:t>
            </w:r>
          </w:p>
        </w:tc>
        <w:tc>
          <w:tcPr>
            <w:tcW w:w="928" w:type="dxa"/>
          </w:tcPr>
          <w:p>
            <w:pPr>
              <w:widowControl/>
              <w:jc w:val="center"/>
              <w:rPr>
                <w:sz w:val="20"/>
                <w:szCs w:val="20"/>
              </w:rPr>
            </w:pPr>
            <w:r>
              <w:rPr>
                <w:rFonts w:hint="eastAsia"/>
                <w:sz w:val="20"/>
                <w:szCs w:val="21"/>
              </w:rPr>
              <w:t>联合体牵头人（主办方）或投标人主办资质类别</w:t>
            </w:r>
            <w:r>
              <w:rPr>
                <w:rFonts w:hint="eastAsia"/>
                <w:sz w:val="20"/>
                <w:szCs w:val="20"/>
              </w:rPr>
              <w:t>信用等级</w:t>
            </w:r>
          </w:p>
        </w:tc>
        <w:tc>
          <w:tcPr>
            <w:tcW w:w="844" w:type="dxa"/>
          </w:tcPr>
          <w:p>
            <w:pPr>
              <w:widowControl/>
              <w:jc w:val="center"/>
              <w:rPr>
                <w:sz w:val="20"/>
                <w:szCs w:val="21"/>
              </w:rPr>
            </w:pPr>
            <w:r>
              <w:rPr>
                <w:rFonts w:hint="eastAsia"/>
                <w:sz w:val="20"/>
                <w:szCs w:val="21"/>
              </w:rPr>
              <w:t>联合体其他成员或投标人非主办资质类别</w:t>
            </w:r>
            <w:r>
              <w:rPr>
                <w:rFonts w:hint="eastAsia"/>
                <w:sz w:val="20"/>
                <w:szCs w:val="20"/>
              </w:rPr>
              <w:t>信用等级</w:t>
            </w:r>
          </w:p>
        </w:tc>
        <w:tc>
          <w:tcPr>
            <w:tcW w:w="4008" w:type="dxa"/>
            <w:shd w:val="clear" w:color="auto" w:fill="auto"/>
          </w:tcPr>
          <w:p>
            <w:pPr>
              <w:widowControl/>
              <w:jc w:val="center"/>
              <w:rPr>
                <w:sz w:val="20"/>
                <w:szCs w:val="21"/>
              </w:rPr>
            </w:pPr>
            <w:r>
              <w:rPr>
                <w:rFonts w:hint="eastAsia"/>
                <w:sz w:val="20"/>
                <w:szCs w:val="21"/>
              </w:rPr>
              <w:t>联合体牵头人（主办方）或投标人主办资质类别信用等级分</w:t>
            </w:r>
          </w:p>
          <w:p>
            <w:pPr>
              <w:widowControl/>
              <w:jc w:val="center"/>
              <w:rPr>
                <w:sz w:val="20"/>
                <w:szCs w:val="20"/>
              </w:rPr>
            </w:pPr>
            <w:r>
              <w:rPr>
                <w:rFonts w:hint="eastAsia"/>
                <w:sz w:val="16"/>
                <w:szCs w:val="21"/>
              </w:rPr>
              <w:t>（</w:t>
            </w:r>
            <w:r>
              <w:rPr>
                <w:rFonts w:hint="eastAsia"/>
                <w:sz w:val="18"/>
                <w:u w:val="single"/>
              </w:rPr>
              <w:t>综合信用评价为A级的正式投标人</w:t>
            </w:r>
            <w:r>
              <w:rPr>
                <w:rFonts w:hint="eastAsia"/>
                <w:sz w:val="18"/>
                <w:szCs w:val="21"/>
                <w:u w:val="single"/>
              </w:rPr>
              <w:t>信用等级分</w:t>
            </w:r>
            <w:r>
              <w:rPr>
                <w:rFonts w:hint="eastAsia"/>
                <w:sz w:val="18"/>
                <w:u w:val="single"/>
              </w:rPr>
              <w:t>得100分，综合信用评价为B级的正式投标人</w:t>
            </w:r>
            <w:r>
              <w:rPr>
                <w:rFonts w:hint="eastAsia"/>
                <w:sz w:val="18"/>
                <w:szCs w:val="21"/>
                <w:u w:val="single"/>
              </w:rPr>
              <w:t>信用等级分</w:t>
            </w:r>
            <w:r>
              <w:rPr>
                <w:rFonts w:hint="eastAsia"/>
                <w:sz w:val="18"/>
                <w:u w:val="single"/>
              </w:rPr>
              <w:t>得80分，综合信用评价为C级的正式投标人</w:t>
            </w:r>
            <w:r>
              <w:rPr>
                <w:rFonts w:hint="eastAsia"/>
                <w:sz w:val="18"/>
                <w:szCs w:val="21"/>
                <w:u w:val="single"/>
              </w:rPr>
              <w:t>信用等级分</w:t>
            </w:r>
            <w:r>
              <w:rPr>
                <w:rFonts w:hint="eastAsia"/>
                <w:sz w:val="18"/>
                <w:u w:val="single"/>
              </w:rPr>
              <w:t>得60分。</w:t>
            </w:r>
            <w:r>
              <w:rPr>
                <w:rFonts w:hint="eastAsia"/>
                <w:sz w:val="16"/>
                <w:szCs w:val="21"/>
              </w:rPr>
              <w:t>）</w:t>
            </w:r>
          </w:p>
        </w:tc>
        <w:tc>
          <w:tcPr>
            <w:tcW w:w="2099" w:type="dxa"/>
          </w:tcPr>
          <w:p>
            <w:pPr>
              <w:widowControl/>
              <w:jc w:val="center"/>
              <w:rPr>
                <w:sz w:val="20"/>
                <w:szCs w:val="21"/>
              </w:rPr>
            </w:pPr>
            <w:r>
              <w:rPr>
                <w:rFonts w:hint="eastAsia"/>
                <w:sz w:val="20"/>
                <w:szCs w:val="21"/>
              </w:rPr>
              <w:t>联合体其他成员或投标人非主办资质类别信用等级分</w:t>
            </w:r>
          </w:p>
          <w:p>
            <w:pPr>
              <w:snapToGrid w:val="0"/>
              <w:rPr>
                <w:sz w:val="20"/>
                <w:szCs w:val="21"/>
              </w:rPr>
            </w:pPr>
            <w:r>
              <w:rPr>
                <w:rFonts w:hint="eastAsia"/>
                <w:sz w:val="16"/>
                <w:szCs w:val="21"/>
              </w:rPr>
              <w:t>（</w:t>
            </w:r>
            <w:r>
              <w:rPr>
                <w:rFonts w:hint="eastAsia"/>
                <w:sz w:val="18"/>
                <w:u w:val="single"/>
              </w:rPr>
              <w:t>综合信用评价为A级的正式投标人</w:t>
            </w:r>
            <w:r>
              <w:rPr>
                <w:rFonts w:hint="eastAsia"/>
                <w:sz w:val="18"/>
                <w:szCs w:val="21"/>
                <w:u w:val="single"/>
              </w:rPr>
              <w:t>信用等级分</w:t>
            </w:r>
            <w:r>
              <w:rPr>
                <w:rFonts w:hint="eastAsia"/>
                <w:sz w:val="18"/>
                <w:u w:val="single"/>
              </w:rPr>
              <w:t>得100分，综合信用评价为B级的正式投标人</w:t>
            </w:r>
            <w:r>
              <w:rPr>
                <w:rFonts w:hint="eastAsia"/>
                <w:sz w:val="18"/>
                <w:szCs w:val="21"/>
                <w:u w:val="single"/>
              </w:rPr>
              <w:t>信用等级分</w:t>
            </w:r>
            <w:r>
              <w:rPr>
                <w:rFonts w:hint="eastAsia"/>
                <w:sz w:val="18"/>
                <w:u w:val="single"/>
              </w:rPr>
              <w:t>得80分，综合信用评价为C级的正式投标人</w:t>
            </w:r>
            <w:r>
              <w:rPr>
                <w:rFonts w:hint="eastAsia"/>
                <w:sz w:val="18"/>
                <w:szCs w:val="21"/>
                <w:u w:val="single"/>
              </w:rPr>
              <w:t>信用等级分</w:t>
            </w:r>
            <w:r>
              <w:rPr>
                <w:rFonts w:hint="eastAsia"/>
                <w:sz w:val="18"/>
                <w:u w:val="single"/>
              </w:rPr>
              <w:t>得60分。</w:t>
            </w:r>
            <w:r>
              <w:rPr>
                <w:rFonts w:hint="eastAsia"/>
                <w:sz w:val="16"/>
                <w:szCs w:val="21"/>
              </w:rPr>
              <w:t>）</w:t>
            </w:r>
          </w:p>
        </w:tc>
        <w:tc>
          <w:tcPr>
            <w:tcW w:w="1567" w:type="dxa"/>
          </w:tcPr>
          <w:p>
            <w:pPr>
              <w:widowControl/>
              <w:jc w:val="center"/>
              <w:rPr>
                <w:sz w:val="20"/>
                <w:szCs w:val="21"/>
              </w:rPr>
            </w:pPr>
            <w:r>
              <w:rPr>
                <w:rFonts w:hint="eastAsia"/>
                <w:sz w:val="20"/>
                <w:szCs w:val="21"/>
              </w:rPr>
              <w:t>联合体牵头人（主办方）或投标人主办资质信用得分</w:t>
            </w:r>
            <w:r>
              <w:rPr>
                <w:rFonts w:hint="eastAsia"/>
                <w:sz w:val="18"/>
                <w:szCs w:val="21"/>
              </w:rPr>
              <w:t>（信用得分＝信用等级分）</w:t>
            </w:r>
          </w:p>
          <w:p>
            <w:pPr>
              <w:snapToGrid w:val="0"/>
              <w:jc w:val="center"/>
              <w:rPr>
                <w:b/>
                <w:sz w:val="28"/>
                <w:szCs w:val="20"/>
              </w:rPr>
            </w:pPr>
          </w:p>
        </w:tc>
        <w:tc>
          <w:tcPr>
            <w:tcW w:w="1722" w:type="dxa"/>
          </w:tcPr>
          <w:p>
            <w:pPr>
              <w:snapToGrid w:val="0"/>
              <w:ind w:firstLine="2" w:firstLineChars="1"/>
              <w:rPr>
                <w:b/>
                <w:sz w:val="28"/>
                <w:szCs w:val="20"/>
              </w:rPr>
            </w:pPr>
            <w:r>
              <w:rPr>
                <w:rFonts w:hint="eastAsia"/>
                <w:sz w:val="20"/>
                <w:szCs w:val="21"/>
              </w:rPr>
              <w:t>联合体其他成员或投标人非主办资质类别信用得分算术平均值</w:t>
            </w:r>
            <w:r>
              <w:rPr>
                <w:rFonts w:hint="eastAsia"/>
                <w:sz w:val="18"/>
                <w:szCs w:val="21"/>
              </w:rPr>
              <w:t>（信用得分＝信用等级分）</w:t>
            </w:r>
          </w:p>
        </w:tc>
        <w:tc>
          <w:tcPr>
            <w:tcW w:w="2035" w:type="dxa"/>
            <w:shd w:val="clear" w:color="auto" w:fill="auto"/>
            <w:vAlign w:val="center"/>
          </w:tcPr>
          <w:p>
            <w:pPr>
              <w:snapToGrid w:val="0"/>
              <w:jc w:val="center"/>
              <w:rPr>
                <w:b/>
                <w:sz w:val="28"/>
                <w:szCs w:val="20"/>
              </w:rPr>
            </w:pPr>
            <w:r>
              <w:rPr>
                <w:rFonts w:hint="eastAsia"/>
                <w:b/>
                <w:sz w:val="28"/>
                <w:szCs w:val="20"/>
              </w:rPr>
              <w:t>信用得分</w:t>
            </w:r>
          </w:p>
          <w:p>
            <w:pPr>
              <w:widowControl/>
              <w:rPr>
                <w:sz w:val="20"/>
                <w:szCs w:val="20"/>
              </w:rPr>
            </w:pPr>
            <w:r>
              <w:rPr>
                <w:rFonts w:hint="eastAsia"/>
                <w:sz w:val="20"/>
                <w:szCs w:val="21"/>
              </w:rPr>
              <w:t>（主办方企业信用得分×80%＋联合体其他成员信用得分的算术平均值×20%）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534" w:type="dxa"/>
            <w:shd w:val="clear" w:color="auto" w:fill="auto"/>
            <w:vAlign w:val="center"/>
          </w:tcPr>
          <w:p>
            <w:pPr>
              <w:widowControl/>
              <w:jc w:val="center"/>
              <w:rPr>
                <w:b/>
                <w:bCs/>
                <w:sz w:val="20"/>
                <w:szCs w:val="20"/>
              </w:rPr>
            </w:pPr>
            <w:r>
              <w:rPr>
                <w:rFonts w:hint="eastAsia"/>
                <w:b/>
                <w:bCs/>
                <w:sz w:val="20"/>
                <w:szCs w:val="20"/>
              </w:rPr>
              <w:t>1</w:t>
            </w:r>
          </w:p>
        </w:tc>
        <w:tc>
          <w:tcPr>
            <w:tcW w:w="842" w:type="dxa"/>
            <w:shd w:val="clear" w:color="auto" w:fill="auto"/>
            <w:vAlign w:val="center"/>
          </w:tcPr>
          <w:p>
            <w:pPr>
              <w:widowControl/>
              <w:jc w:val="center"/>
              <w:rPr>
                <w:sz w:val="20"/>
                <w:szCs w:val="20"/>
              </w:rPr>
            </w:pPr>
          </w:p>
        </w:tc>
        <w:tc>
          <w:tcPr>
            <w:tcW w:w="928" w:type="dxa"/>
          </w:tcPr>
          <w:p>
            <w:pPr>
              <w:widowControl/>
              <w:jc w:val="center"/>
              <w:rPr>
                <w:sz w:val="20"/>
                <w:szCs w:val="20"/>
              </w:rPr>
            </w:pPr>
          </w:p>
        </w:tc>
        <w:tc>
          <w:tcPr>
            <w:tcW w:w="844" w:type="dxa"/>
          </w:tcPr>
          <w:p>
            <w:pPr>
              <w:widowControl/>
              <w:jc w:val="center"/>
              <w:rPr>
                <w:sz w:val="20"/>
                <w:szCs w:val="20"/>
              </w:rPr>
            </w:pPr>
          </w:p>
        </w:tc>
        <w:tc>
          <w:tcPr>
            <w:tcW w:w="4008" w:type="dxa"/>
            <w:shd w:val="clear" w:color="auto" w:fill="auto"/>
            <w:vAlign w:val="center"/>
          </w:tcPr>
          <w:p>
            <w:pPr>
              <w:widowControl/>
              <w:jc w:val="center"/>
              <w:rPr>
                <w:sz w:val="20"/>
                <w:szCs w:val="20"/>
              </w:rPr>
            </w:pPr>
          </w:p>
        </w:tc>
        <w:tc>
          <w:tcPr>
            <w:tcW w:w="2099" w:type="dxa"/>
          </w:tcPr>
          <w:p>
            <w:pPr>
              <w:widowControl/>
              <w:jc w:val="center"/>
              <w:rPr>
                <w:sz w:val="20"/>
                <w:szCs w:val="20"/>
              </w:rPr>
            </w:pPr>
          </w:p>
        </w:tc>
        <w:tc>
          <w:tcPr>
            <w:tcW w:w="1567" w:type="dxa"/>
          </w:tcPr>
          <w:p>
            <w:pPr>
              <w:widowControl/>
              <w:jc w:val="center"/>
              <w:rPr>
                <w:sz w:val="20"/>
                <w:szCs w:val="20"/>
              </w:rPr>
            </w:pPr>
          </w:p>
        </w:tc>
        <w:tc>
          <w:tcPr>
            <w:tcW w:w="1722" w:type="dxa"/>
          </w:tcPr>
          <w:p>
            <w:pPr>
              <w:widowControl/>
              <w:jc w:val="center"/>
              <w:rPr>
                <w:sz w:val="20"/>
                <w:szCs w:val="20"/>
              </w:rPr>
            </w:pPr>
          </w:p>
        </w:tc>
        <w:tc>
          <w:tcPr>
            <w:tcW w:w="2035"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534" w:type="dxa"/>
            <w:shd w:val="clear" w:color="auto" w:fill="auto"/>
            <w:vAlign w:val="center"/>
          </w:tcPr>
          <w:p>
            <w:pPr>
              <w:widowControl/>
              <w:jc w:val="center"/>
              <w:rPr>
                <w:b/>
                <w:bCs/>
                <w:sz w:val="20"/>
                <w:szCs w:val="20"/>
              </w:rPr>
            </w:pPr>
            <w:r>
              <w:rPr>
                <w:rFonts w:hint="eastAsia"/>
                <w:b/>
                <w:bCs/>
                <w:sz w:val="20"/>
                <w:szCs w:val="20"/>
              </w:rPr>
              <w:t>2</w:t>
            </w:r>
          </w:p>
        </w:tc>
        <w:tc>
          <w:tcPr>
            <w:tcW w:w="842" w:type="dxa"/>
            <w:shd w:val="clear" w:color="auto" w:fill="auto"/>
            <w:vAlign w:val="center"/>
          </w:tcPr>
          <w:p>
            <w:pPr>
              <w:widowControl/>
              <w:jc w:val="center"/>
              <w:rPr>
                <w:sz w:val="20"/>
                <w:szCs w:val="20"/>
              </w:rPr>
            </w:pPr>
          </w:p>
        </w:tc>
        <w:tc>
          <w:tcPr>
            <w:tcW w:w="928" w:type="dxa"/>
          </w:tcPr>
          <w:p>
            <w:pPr>
              <w:widowControl/>
              <w:jc w:val="center"/>
              <w:rPr>
                <w:sz w:val="20"/>
                <w:szCs w:val="20"/>
              </w:rPr>
            </w:pPr>
          </w:p>
        </w:tc>
        <w:tc>
          <w:tcPr>
            <w:tcW w:w="844" w:type="dxa"/>
          </w:tcPr>
          <w:p>
            <w:pPr>
              <w:widowControl/>
              <w:rPr>
                <w:sz w:val="20"/>
                <w:szCs w:val="20"/>
              </w:rPr>
            </w:pPr>
          </w:p>
        </w:tc>
        <w:tc>
          <w:tcPr>
            <w:tcW w:w="4008" w:type="dxa"/>
            <w:shd w:val="clear" w:color="auto" w:fill="auto"/>
            <w:vAlign w:val="center"/>
          </w:tcPr>
          <w:p>
            <w:pPr>
              <w:widowControl/>
              <w:rPr>
                <w:sz w:val="20"/>
                <w:szCs w:val="20"/>
              </w:rPr>
            </w:pPr>
          </w:p>
        </w:tc>
        <w:tc>
          <w:tcPr>
            <w:tcW w:w="2099" w:type="dxa"/>
          </w:tcPr>
          <w:p>
            <w:pPr>
              <w:widowControl/>
              <w:jc w:val="center"/>
              <w:rPr>
                <w:sz w:val="20"/>
                <w:szCs w:val="20"/>
              </w:rPr>
            </w:pPr>
          </w:p>
        </w:tc>
        <w:tc>
          <w:tcPr>
            <w:tcW w:w="1567" w:type="dxa"/>
          </w:tcPr>
          <w:p>
            <w:pPr>
              <w:widowControl/>
              <w:jc w:val="center"/>
              <w:rPr>
                <w:sz w:val="20"/>
                <w:szCs w:val="20"/>
              </w:rPr>
            </w:pPr>
          </w:p>
        </w:tc>
        <w:tc>
          <w:tcPr>
            <w:tcW w:w="1722" w:type="dxa"/>
          </w:tcPr>
          <w:p>
            <w:pPr>
              <w:widowControl/>
              <w:jc w:val="center"/>
              <w:rPr>
                <w:sz w:val="20"/>
                <w:szCs w:val="20"/>
              </w:rPr>
            </w:pPr>
          </w:p>
        </w:tc>
        <w:tc>
          <w:tcPr>
            <w:tcW w:w="2035" w:type="dxa"/>
            <w:shd w:val="clear" w:color="auto" w:fill="auto"/>
            <w:vAlign w:val="center"/>
          </w:tcPr>
          <w:p>
            <w:pPr>
              <w:widowControl/>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534" w:type="dxa"/>
            <w:shd w:val="clear" w:color="auto" w:fill="auto"/>
            <w:vAlign w:val="center"/>
          </w:tcPr>
          <w:p>
            <w:pPr>
              <w:widowControl/>
              <w:jc w:val="center"/>
              <w:rPr>
                <w:b/>
                <w:bCs/>
                <w:sz w:val="20"/>
                <w:szCs w:val="20"/>
              </w:rPr>
            </w:pPr>
            <w:r>
              <w:rPr>
                <w:b/>
                <w:bCs/>
                <w:sz w:val="20"/>
                <w:szCs w:val="20"/>
              </w:rPr>
              <w:t>…</w:t>
            </w:r>
          </w:p>
        </w:tc>
        <w:tc>
          <w:tcPr>
            <w:tcW w:w="842" w:type="dxa"/>
            <w:shd w:val="clear" w:color="auto" w:fill="auto"/>
            <w:vAlign w:val="center"/>
          </w:tcPr>
          <w:p>
            <w:pPr>
              <w:widowControl/>
              <w:jc w:val="center"/>
              <w:rPr>
                <w:sz w:val="20"/>
                <w:szCs w:val="20"/>
              </w:rPr>
            </w:pPr>
          </w:p>
        </w:tc>
        <w:tc>
          <w:tcPr>
            <w:tcW w:w="928" w:type="dxa"/>
          </w:tcPr>
          <w:p>
            <w:pPr>
              <w:widowControl/>
              <w:jc w:val="center"/>
              <w:rPr>
                <w:sz w:val="20"/>
                <w:szCs w:val="20"/>
              </w:rPr>
            </w:pPr>
          </w:p>
        </w:tc>
        <w:tc>
          <w:tcPr>
            <w:tcW w:w="844" w:type="dxa"/>
          </w:tcPr>
          <w:p>
            <w:pPr>
              <w:widowControl/>
              <w:rPr>
                <w:sz w:val="20"/>
                <w:szCs w:val="20"/>
              </w:rPr>
            </w:pPr>
          </w:p>
        </w:tc>
        <w:tc>
          <w:tcPr>
            <w:tcW w:w="4008" w:type="dxa"/>
            <w:shd w:val="clear" w:color="auto" w:fill="auto"/>
            <w:vAlign w:val="center"/>
          </w:tcPr>
          <w:p>
            <w:pPr>
              <w:widowControl/>
              <w:rPr>
                <w:sz w:val="20"/>
                <w:szCs w:val="20"/>
              </w:rPr>
            </w:pPr>
          </w:p>
        </w:tc>
        <w:tc>
          <w:tcPr>
            <w:tcW w:w="2099" w:type="dxa"/>
          </w:tcPr>
          <w:p>
            <w:pPr>
              <w:widowControl/>
              <w:jc w:val="center"/>
              <w:rPr>
                <w:sz w:val="20"/>
                <w:szCs w:val="20"/>
              </w:rPr>
            </w:pPr>
          </w:p>
        </w:tc>
        <w:tc>
          <w:tcPr>
            <w:tcW w:w="1567" w:type="dxa"/>
          </w:tcPr>
          <w:p>
            <w:pPr>
              <w:widowControl/>
              <w:jc w:val="center"/>
              <w:rPr>
                <w:sz w:val="20"/>
                <w:szCs w:val="20"/>
              </w:rPr>
            </w:pPr>
          </w:p>
        </w:tc>
        <w:tc>
          <w:tcPr>
            <w:tcW w:w="1722" w:type="dxa"/>
          </w:tcPr>
          <w:p>
            <w:pPr>
              <w:widowControl/>
              <w:jc w:val="center"/>
              <w:rPr>
                <w:sz w:val="20"/>
                <w:szCs w:val="20"/>
              </w:rPr>
            </w:pPr>
          </w:p>
        </w:tc>
        <w:tc>
          <w:tcPr>
            <w:tcW w:w="2035" w:type="dxa"/>
            <w:shd w:val="clear" w:color="auto" w:fill="auto"/>
            <w:vAlign w:val="center"/>
          </w:tcPr>
          <w:p>
            <w:pPr>
              <w:widowControl/>
              <w:jc w:val="center"/>
              <w:rPr>
                <w:sz w:val="20"/>
                <w:szCs w:val="20"/>
              </w:rPr>
            </w:pPr>
          </w:p>
        </w:tc>
      </w:tr>
    </w:tbl>
    <w:p>
      <w:pPr>
        <w:spacing w:afterLines="30" w:line="360" w:lineRule="auto"/>
      </w:pPr>
      <w:r>
        <w:rPr>
          <w:rFonts w:hint="eastAsia"/>
        </w:rPr>
        <w:t>注：如项目不接受联合体投标的，联合体牵头人为投标单位，联合体其他成员栏目不需填写，综合信用得分为投标单位的信用得分。</w:t>
      </w:r>
    </w:p>
    <w:p>
      <w:pPr>
        <w:spacing w:line="360" w:lineRule="auto"/>
      </w:pPr>
      <w:r>
        <w:rPr>
          <w:rFonts w:hint="eastAsia"/>
        </w:rPr>
        <w:t xml:space="preserve">评标委员会全体成员签名：                                                 监督：                          </w:t>
      </w:r>
    </w:p>
    <w:p>
      <w:pPr>
        <w:spacing w:line="360" w:lineRule="auto"/>
        <w:rPr>
          <w:rFonts w:ascii="黑体" w:eastAsia="黑体"/>
        </w:rPr>
      </w:pPr>
      <w:r>
        <w:rPr>
          <w:rFonts w:hint="eastAsia"/>
        </w:rPr>
        <w:t>日期：        年     月     日</w:t>
      </w:r>
    </w:p>
    <w:p>
      <w:pPr>
        <w:widowControl/>
        <w:autoSpaceDE/>
        <w:autoSpaceDN/>
        <w:rPr>
          <w:szCs w:val="44"/>
        </w:rPr>
      </w:pPr>
    </w:p>
    <w:p>
      <w:pPr>
        <w:spacing w:afterLines="100" w:line="360" w:lineRule="auto"/>
        <w:rPr>
          <w:rFonts w:ascii="黑体" w:eastAsia="黑体"/>
          <w:sz w:val="36"/>
          <w:szCs w:val="36"/>
        </w:rPr>
      </w:pPr>
      <w:r>
        <w:rPr>
          <w:rFonts w:hint="eastAsia" w:ascii="黑体" w:eastAsia="黑体"/>
          <w:sz w:val="24"/>
        </w:rPr>
        <w:t xml:space="preserve">附表A-9：详细评审评分汇总表                  </w:t>
      </w:r>
      <w:r>
        <w:rPr>
          <w:rFonts w:hint="eastAsia" w:ascii="黑体" w:eastAsia="黑体"/>
          <w:sz w:val="36"/>
          <w:szCs w:val="36"/>
        </w:rPr>
        <w:t>详细评审评分汇总表</w:t>
      </w:r>
    </w:p>
    <w:p>
      <w:pPr>
        <w:spacing w:afterLines="100" w:line="360" w:lineRule="auto"/>
        <w:rPr>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标段</w:t>
      </w:r>
    </w:p>
    <w:tbl>
      <w:tblPr>
        <w:tblStyle w:val="24"/>
        <w:tblW w:w="14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072"/>
        <w:gridCol w:w="1366"/>
        <w:gridCol w:w="1190"/>
        <w:gridCol w:w="1405"/>
        <w:gridCol w:w="1405"/>
        <w:gridCol w:w="1405"/>
        <w:gridCol w:w="1405"/>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restart"/>
            <w:vAlign w:val="center"/>
          </w:tcPr>
          <w:p>
            <w:pPr>
              <w:spacing w:line="360" w:lineRule="auto"/>
              <w:jc w:val="center"/>
            </w:pPr>
            <w:r>
              <w:rPr>
                <w:rFonts w:hint="eastAsia"/>
              </w:rPr>
              <w:t>序号</w:t>
            </w:r>
          </w:p>
        </w:tc>
        <w:tc>
          <w:tcPr>
            <w:tcW w:w="2072" w:type="dxa"/>
            <w:vMerge w:val="restart"/>
            <w:vAlign w:val="center"/>
          </w:tcPr>
          <w:p>
            <w:pPr>
              <w:spacing w:line="360" w:lineRule="auto"/>
              <w:jc w:val="center"/>
            </w:pPr>
            <w:r>
              <w:rPr>
                <w:rFonts w:hint="eastAsia"/>
              </w:rPr>
              <w:t>评分项目</w:t>
            </w:r>
          </w:p>
        </w:tc>
        <w:tc>
          <w:tcPr>
            <w:tcW w:w="1366" w:type="dxa"/>
            <w:vMerge w:val="restart"/>
            <w:vAlign w:val="center"/>
          </w:tcPr>
          <w:p>
            <w:pPr>
              <w:spacing w:line="360" w:lineRule="auto"/>
              <w:jc w:val="center"/>
            </w:pPr>
            <w:r>
              <w:rPr>
                <w:rFonts w:hint="eastAsia"/>
              </w:rPr>
              <w:t>分值</w:t>
            </w:r>
          </w:p>
        </w:tc>
        <w:tc>
          <w:tcPr>
            <w:tcW w:w="9620" w:type="dxa"/>
            <w:gridSpan w:val="7"/>
            <w:vAlign w:val="center"/>
          </w:tcPr>
          <w:p>
            <w:pPr>
              <w:spacing w:line="360" w:lineRule="auto"/>
              <w:jc w:val="center"/>
            </w:pPr>
            <w:r>
              <w:rPr>
                <w:rFonts w:hint="eastAsia"/>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continue"/>
            <w:vAlign w:val="center"/>
          </w:tcPr>
          <w:p>
            <w:pPr>
              <w:spacing w:line="360" w:lineRule="auto"/>
              <w:jc w:val="center"/>
            </w:pPr>
          </w:p>
        </w:tc>
        <w:tc>
          <w:tcPr>
            <w:tcW w:w="2072" w:type="dxa"/>
            <w:vMerge w:val="continue"/>
            <w:vAlign w:val="center"/>
          </w:tcPr>
          <w:p>
            <w:pPr>
              <w:spacing w:line="360" w:lineRule="auto"/>
              <w:jc w:val="center"/>
            </w:pPr>
          </w:p>
        </w:tc>
        <w:tc>
          <w:tcPr>
            <w:tcW w:w="1366" w:type="dxa"/>
            <w:vMerge w:val="continue"/>
            <w:vAlign w:val="center"/>
          </w:tcPr>
          <w:p>
            <w:pPr>
              <w:spacing w:line="360" w:lineRule="auto"/>
              <w:jc w:val="center"/>
            </w:pPr>
          </w:p>
        </w:tc>
        <w:tc>
          <w:tcPr>
            <w:tcW w:w="1190"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Align w:val="center"/>
          </w:tcPr>
          <w:p>
            <w:pPr>
              <w:spacing w:line="360" w:lineRule="auto"/>
              <w:jc w:val="center"/>
            </w:pPr>
            <w:r>
              <w:rPr>
                <w:rFonts w:hint="eastAsia"/>
              </w:rPr>
              <w:t>1</w:t>
            </w:r>
          </w:p>
        </w:tc>
        <w:tc>
          <w:tcPr>
            <w:tcW w:w="2072" w:type="dxa"/>
            <w:vAlign w:val="center"/>
          </w:tcPr>
          <w:p>
            <w:pPr>
              <w:spacing w:line="360" w:lineRule="auto"/>
              <w:jc w:val="center"/>
            </w:pPr>
            <w:r>
              <w:rPr>
                <w:rFonts w:hint="eastAsia"/>
              </w:rPr>
              <w:t>技术标</w:t>
            </w:r>
            <w:r>
              <w:rPr>
                <w:rFonts w:hint="eastAsia"/>
                <w:szCs w:val="21"/>
              </w:rPr>
              <w:t>得分</w:t>
            </w:r>
          </w:p>
        </w:tc>
        <w:tc>
          <w:tcPr>
            <w:tcW w:w="1366" w:type="dxa"/>
            <w:vAlign w:val="center"/>
          </w:tcPr>
          <w:p>
            <w:pPr>
              <w:spacing w:line="360" w:lineRule="auto"/>
              <w:jc w:val="center"/>
            </w:pPr>
            <w:r>
              <w:rPr>
                <w:rFonts w:hint="eastAsia"/>
              </w:rPr>
              <w:t>20</w:t>
            </w:r>
          </w:p>
        </w:tc>
        <w:tc>
          <w:tcPr>
            <w:tcW w:w="1190"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Align w:val="center"/>
          </w:tcPr>
          <w:p>
            <w:pPr>
              <w:spacing w:line="360" w:lineRule="auto"/>
              <w:jc w:val="center"/>
            </w:pPr>
            <w:r>
              <w:rPr>
                <w:rFonts w:hint="eastAsia"/>
              </w:rPr>
              <w:t>2</w:t>
            </w:r>
          </w:p>
        </w:tc>
        <w:tc>
          <w:tcPr>
            <w:tcW w:w="2072" w:type="dxa"/>
            <w:vAlign w:val="center"/>
          </w:tcPr>
          <w:p>
            <w:pPr>
              <w:spacing w:line="360" w:lineRule="auto"/>
              <w:ind w:firstLine="330" w:firstLineChars="150"/>
            </w:pPr>
            <w:r>
              <w:rPr>
                <w:rFonts w:hint="eastAsia"/>
              </w:rPr>
              <w:t>商务</w:t>
            </w:r>
            <w:r>
              <w:rPr>
                <w:rFonts w:hint="eastAsia"/>
                <w:szCs w:val="21"/>
              </w:rPr>
              <w:t>得分</w:t>
            </w:r>
          </w:p>
        </w:tc>
        <w:tc>
          <w:tcPr>
            <w:tcW w:w="1366" w:type="dxa"/>
            <w:vAlign w:val="center"/>
          </w:tcPr>
          <w:p>
            <w:pPr>
              <w:spacing w:line="360" w:lineRule="auto"/>
              <w:jc w:val="center"/>
            </w:pPr>
            <w:r>
              <w:rPr>
                <w:rFonts w:hint="eastAsia"/>
              </w:rPr>
              <w:t>50</w:t>
            </w:r>
          </w:p>
        </w:tc>
        <w:tc>
          <w:tcPr>
            <w:tcW w:w="1190"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Align w:val="center"/>
          </w:tcPr>
          <w:p>
            <w:pPr>
              <w:spacing w:line="360" w:lineRule="auto"/>
              <w:jc w:val="center"/>
            </w:pPr>
            <w:r>
              <w:rPr>
                <w:rFonts w:hint="eastAsia"/>
              </w:rPr>
              <w:t>3</w:t>
            </w:r>
          </w:p>
        </w:tc>
        <w:tc>
          <w:tcPr>
            <w:tcW w:w="2072" w:type="dxa"/>
            <w:vAlign w:val="center"/>
          </w:tcPr>
          <w:p>
            <w:pPr>
              <w:spacing w:line="360" w:lineRule="auto"/>
              <w:ind w:firstLine="330" w:firstLineChars="150"/>
            </w:pPr>
            <w:r>
              <w:rPr>
                <w:rFonts w:hint="eastAsia"/>
              </w:rPr>
              <w:t>报价得分</w:t>
            </w:r>
          </w:p>
        </w:tc>
        <w:tc>
          <w:tcPr>
            <w:tcW w:w="1366" w:type="dxa"/>
            <w:vAlign w:val="center"/>
          </w:tcPr>
          <w:p>
            <w:pPr>
              <w:spacing w:line="360" w:lineRule="auto"/>
              <w:jc w:val="center"/>
            </w:pPr>
            <w:r>
              <w:rPr>
                <w:rFonts w:hint="eastAsia"/>
              </w:rPr>
              <w:t>22</w:t>
            </w:r>
          </w:p>
        </w:tc>
        <w:tc>
          <w:tcPr>
            <w:tcW w:w="1190"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Align w:val="center"/>
          </w:tcPr>
          <w:p>
            <w:pPr>
              <w:spacing w:line="360" w:lineRule="auto"/>
              <w:jc w:val="center"/>
            </w:pPr>
            <w:r>
              <w:rPr>
                <w:rFonts w:hint="eastAsia"/>
              </w:rPr>
              <w:t>4</w:t>
            </w:r>
          </w:p>
        </w:tc>
        <w:tc>
          <w:tcPr>
            <w:tcW w:w="2072" w:type="dxa"/>
            <w:vAlign w:val="center"/>
          </w:tcPr>
          <w:p>
            <w:pPr>
              <w:ind w:firstLine="356" w:firstLineChars="162"/>
            </w:pPr>
            <w:r>
              <w:rPr>
                <w:rFonts w:hint="eastAsia"/>
              </w:rPr>
              <w:t>信用得分</w:t>
            </w:r>
          </w:p>
        </w:tc>
        <w:tc>
          <w:tcPr>
            <w:tcW w:w="1366" w:type="dxa"/>
            <w:vAlign w:val="center"/>
          </w:tcPr>
          <w:p>
            <w:pPr>
              <w:spacing w:line="360" w:lineRule="auto"/>
              <w:jc w:val="center"/>
            </w:pPr>
            <w:r>
              <w:rPr>
                <w:rFonts w:hint="eastAsia"/>
              </w:rPr>
              <w:t>8</w:t>
            </w:r>
          </w:p>
        </w:tc>
        <w:tc>
          <w:tcPr>
            <w:tcW w:w="1190"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8" w:type="dxa"/>
            <w:gridSpan w:val="3"/>
            <w:vAlign w:val="center"/>
          </w:tcPr>
          <w:p>
            <w:pPr>
              <w:spacing w:line="360" w:lineRule="auto"/>
              <w:jc w:val="center"/>
            </w:pPr>
            <w:r>
              <w:rPr>
                <w:rFonts w:hint="eastAsia"/>
              </w:rPr>
              <w:t>详细评审总得分合计</w:t>
            </w:r>
          </w:p>
          <w:p>
            <w:pPr>
              <w:spacing w:line="280" w:lineRule="exact"/>
              <w:rPr>
                <w:color w:val="FF0000"/>
              </w:rPr>
            </w:pPr>
            <w:r>
              <w:rPr>
                <w:rFonts w:hint="eastAsia"/>
                <w:szCs w:val="21"/>
              </w:rPr>
              <w:t>总得分=总得分=技术标得分+商务标得分+报价得分+信用得分</w:t>
            </w:r>
            <w:r>
              <w:rPr>
                <w:rFonts w:hint="eastAsia"/>
                <w:sz w:val="20"/>
                <w:szCs w:val="21"/>
              </w:rPr>
              <w:t>（注：如信用因素权重现场随机抽取确定的，上述商务得分权重、信用因素权重经随机抽取信用因素权重后由招标人补充，提供给评标委员会。</w:t>
            </w:r>
          </w:p>
        </w:tc>
        <w:tc>
          <w:tcPr>
            <w:tcW w:w="1190"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c>
          <w:tcPr>
            <w:tcW w:w="1405" w:type="dxa"/>
            <w:vAlign w:val="center"/>
          </w:tcPr>
          <w:p>
            <w:pPr>
              <w:spacing w:line="360" w:lineRule="auto"/>
              <w:jc w:val="center"/>
            </w:pPr>
          </w:p>
        </w:tc>
      </w:tr>
    </w:tbl>
    <w:p>
      <w:pPr>
        <w:spacing w:line="360" w:lineRule="auto"/>
      </w:pPr>
    </w:p>
    <w:p>
      <w:pPr>
        <w:spacing w:line="360" w:lineRule="auto"/>
        <w:sectPr>
          <w:footerReference r:id="rId5" w:type="default"/>
          <w:footerReference r:id="rId6" w:type="even"/>
          <w:pgSz w:w="16838" w:h="11906" w:orient="landscape"/>
          <w:pgMar w:top="1418" w:right="1134" w:bottom="2127" w:left="1134" w:header="851" w:footer="720" w:gutter="0"/>
          <w:cols w:space="720" w:num="1"/>
          <w:titlePg/>
          <w:docGrid w:linePitch="312" w:charSpace="0"/>
        </w:sectPr>
      </w:pPr>
      <w:r>
        <w:rPr>
          <w:rFonts w:hint="eastAsia"/>
        </w:rPr>
        <w:t>评标委员会成员签名：                                                                               日期：    年   月   日</w:t>
      </w:r>
    </w:p>
    <w:p>
      <w:pPr>
        <w:spacing w:line="360" w:lineRule="auto"/>
        <w:rPr>
          <w:rFonts w:ascii="黑体" w:eastAsia="黑体"/>
        </w:rPr>
      </w:pPr>
      <w:r>
        <w:rPr>
          <w:rFonts w:hint="eastAsia" w:ascii="黑体" w:eastAsia="黑体"/>
        </w:rPr>
        <w:t>附表A-10：投标文件注册人员核查表</w:t>
      </w:r>
    </w:p>
    <w:p>
      <w:pPr>
        <w:spacing w:line="360" w:lineRule="auto"/>
        <w:jc w:val="center"/>
        <w:rPr>
          <w:rFonts w:ascii="黑体" w:eastAsia="黑体"/>
          <w:b/>
          <w:sz w:val="28"/>
        </w:rPr>
      </w:pPr>
      <w:r>
        <w:rPr>
          <w:rFonts w:hint="eastAsia" w:ascii="黑体" w:eastAsia="黑体"/>
          <w:b/>
          <w:sz w:val="28"/>
        </w:rPr>
        <w:t>投标文件注册人员核查表</w:t>
      </w:r>
    </w:p>
    <w:tbl>
      <w:tblPr>
        <w:tblStyle w:val="24"/>
        <w:tblpPr w:leftFromText="180" w:rightFromText="180" w:vertAnchor="page" w:horzAnchor="margin" w:tblpY="267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76"/>
        <w:gridCol w:w="1050"/>
        <w:gridCol w:w="1134"/>
        <w:gridCol w:w="1596"/>
        <w:gridCol w:w="682"/>
        <w:gridCol w:w="841"/>
        <w:gridCol w:w="992"/>
        <w:gridCol w:w="425"/>
        <w:gridCol w:w="1260"/>
        <w:gridCol w:w="1365"/>
        <w:gridCol w:w="12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360" w:lineRule="auto"/>
              <w:jc w:val="center"/>
              <w:rPr>
                <w:rFonts w:ascii="黑体" w:eastAsia="黑体"/>
              </w:rPr>
            </w:pPr>
            <w:r>
              <w:rPr>
                <w:rFonts w:hint="eastAsia" w:ascii="黑体" w:eastAsia="黑体"/>
              </w:rPr>
              <w:t>序号</w:t>
            </w:r>
          </w:p>
        </w:tc>
        <w:tc>
          <w:tcPr>
            <w:tcW w:w="1076" w:type="dxa"/>
            <w:vMerge w:val="restart"/>
            <w:vAlign w:val="center"/>
          </w:tcPr>
          <w:p>
            <w:pPr>
              <w:spacing w:line="360" w:lineRule="auto"/>
              <w:jc w:val="center"/>
              <w:rPr>
                <w:rFonts w:ascii="黑体" w:eastAsia="黑体"/>
              </w:rPr>
            </w:pPr>
            <w:r>
              <w:rPr>
                <w:rFonts w:hint="eastAsia" w:ascii="黑体" w:eastAsia="黑体"/>
              </w:rPr>
              <w:t>投标单位</w:t>
            </w:r>
          </w:p>
        </w:tc>
        <w:tc>
          <w:tcPr>
            <w:tcW w:w="5303" w:type="dxa"/>
            <w:gridSpan w:val="5"/>
            <w:vAlign w:val="center"/>
          </w:tcPr>
          <w:p>
            <w:pPr>
              <w:spacing w:line="360" w:lineRule="auto"/>
              <w:jc w:val="center"/>
              <w:rPr>
                <w:rFonts w:ascii="黑体" w:eastAsia="黑体"/>
              </w:rPr>
            </w:pPr>
            <w:r>
              <w:rPr>
                <w:rFonts w:hint="eastAsia" w:ascii="黑体" w:eastAsia="黑体"/>
              </w:rPr>
              <w:t>注册建造师</w:t>
            </w:r>
          </w:p>
        </w:tc>
        <w:tc>
          <w:tcPr>
            <w:tcW w:w="992" w:type="dxa"/>
            <w:vMerge w:val="restart"/>
            <w:vAlign w:val="center"/>
          </w:tcPr>
          <w:p>
            <w:pPr>
              <w:spacing w:line="360" w:lineRule="auto"/>
              <w:jc w:val="center"/>
              <w:rPr>
                <w:rFonts w:ascii="黑体" w:eastAsia="黑体"/>
              </w:rPr>
            </w:pPr>
            <w:r>
              <w:rPr>
                <w:rFonts w:hint="eastAsia" w:ascii="黑体" w:eastAsia="黑体"/>
              </w:rPr>
              <w:t>核查情况</w:t>
            </w:r>
          </w:p>
        </w:tc>
        <w:tc>
          <w:tcPr>
            <w:tcW w:w="4253" w:type="dxa"/>
            <w:gridSpan w:val="4"/>
            <w:vAlign w:val="center"/>
          </w:tcPr>
          <w:p>
            <w:pPr>
              <w:spacing w:line="360" w:lineRule="auto"/>
              <w:jc w:val="center"/>
              <w:rPr>
                <w:rFonts w:ascii="黑体" w:eastAsia="黑体"/>
              </w:rPr>
            </w:pPr>
            <w:r>
              <w:rPr>
                <w:rFonts w:hint="eastAsia" w:ascii="黑体" w:eastAsia="黑体"/>
              </w:rPr>
              <w:t>注册造价工程师</w:t>
            </w:r>
          </w:p>
        </w:tc>
        <w:tc>
          <w:tcPr>
            <w:tcW w:w="1559" w:type="dxa"/>
            <w:vMerge w:val="restart"/>
            <w:vAlign w:val="center"/>
          </w:tcPr>
          <w:p>
            <w:pPr>
              <w:spacing w:line="360" w:lineRule="auto"/>
              <w:jc w:val="center"/>
              <w:rPr>
                <w:rFonts w:ascii="黑体" w:eastAsia="黑体"/>
              </w:rPr>
            </w:pPr>
            <w:r>
              <w:rPr>
                <w:rFonts w:hint="eastAsia" w:ascii="黑体" w:eastAsia="黑体"/>
              </w:rPr>
              <w:t>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spacing w:line="360" w:lineRule="auto"/>
              <w:rPr>
                <w:rFonts w:ascii="黑体" w:eastAsia="黑体"/>
              </w:rPr>
            </w:pPr>
          </w:p>
        </w:tc>
        <w:tc>
          <w:tcPr>
            <w:tcW w:w="1076" w:type="dxa"/>
            <w:vMerge w:val="continue"/>
          </w:tcPr>
          <w:p>
            <w:pPr>
              <w:spacing w:line="360" w:lineRule="auto"/>
              <w:rPr>
                <w:rFonts w:ascii="黑体" w:eastAsia="黑体"/>
              </w:rPr>
            </w:pPr>
          </w:p>
        </w:tc>
        <w:tc>
          <w:tcPr>
            <w:tcW w:w="1050" w:type="dxa"/>
          </w:tcPr>
          <w:p>
            <w:pPr>
              <w:spacing w:line="360" w:lineRule="auto"/>
              <w:rPr>
                <w:rFonts w:ascii="黑体" w:eastAsia="黑体"/>
              </w:rPr>
            </w:pPr>
            <w:r>
              <w:rPr>
                <w:rFonts w:hint="eastAsia" w:ascii="黑体" w:eastAsia="黑体"/>
              </w:rPr>
              <w:t>姓名</w:t>
            </w:r>
          </w:p>
        </w:tc>
        <w:tc>
          <w:tcPr>
            <w:tcW w:w="1134" w:type="dxa"/>
          </w:tcPr>
          <w:p>
            <w:pPr>
              <w:spacing w:line="360" w:lineRule="auto"/>
              <w:rPr>
                <w:rFonts w:ascii="黑体" w:eastAsia="黑体"/>
              </w:rPr>
            </w:pPr>
            <w:r>
              <w:rPr>
                <w:rFonts w:hint="eastAsia" w:ascii="黑体" w:eastAsia="黑体"/>
              </w:rPr>
              <w:t>聘用单位</w:t>
            </w:r>
          </w:p>
        </w:tc>
        <w:tc>
          <w:tcPr>
            <w:tcW w:w="1596" w:type="dxa"/>
          </w:tcPr>
          <w:p>
            <w:pPr>
              <w:spacing w:line="360" w:lineRule="auto"/>
              <w:ind w:firstLine="110" w:firstLineChars="50"/>
              <w:rPr>
                <w:rFonts w:ascii="黑体" w:eastAsia="黑体"/>
              </w:rPr>
            </w:pPr>
            <w:r>
              <w:rPr>
                <w:rFonts w:hint="eastAsia" w:ascii="黑体" w:eastAsia="黑体"/>
              </w:rPr>
              <w:t>证书有效期</w:t>
            </w:r>
          </w:p>
        </w:tc>
        <w:tc>
          <w:tcPr>
            <w:tcW w:w="682" w:type="dxa"/>
          </w:tcPr>
          <w:p>
            <w:pPr>
              <w:spacing w:line="360" w:lineRule="auto"/>
              <w:rPr>
                <w:rFonts w:ascii="黑体" w:eastAsia="黑体"/>
              </w:rPr>
            </w:pPr>
            <w:r>
              <w:rPr>
                <w:rFonts w:hint="eastAsia" w:ascii="黑体" w:eastAsia="黑体"/>
              </w:rPr>
              <w:t>证号</w:t>
            </w:r>
          </w:p>
        </w:tc>
        <w:tc>
          <w:tcPr>
            <w:tcW w:w="841" w:type="dxa"/>
          </w:tcPr>
          <w:p>
            <w:pPr>
              <w:spacing w:line="360" w:lineRule="auto"/>
              <w:rPr>
                <w:rFonts w:ascii="黑体" w:eastAsia="黑体"/>
              </w:rPr>
            </w:pPr>
            <w:r>
              <w:rPr>
                <w:rFonts w:hint="eastAsia" w:ascii="黑体" w:eastAsia="黑体"/>
              </w:rPr>
              <w:t>项目锁定情况</w:t>
            </w:r>
          </w:p>
        </w:tc>
        <w:tc>
          <w:tcPr>
            <w:tcW w:w="992" w:type="dxa"/>
            <w:vMerge w:val="continue"/>
          </w:tcPr>
          <w:p>
            <w:pPr>
              <w:spacing w:line="360" w:lineRule="auto"/>
              <w:rPr>
                <w:rFonts w:ascii="黑体" w:eastAsia="黑体"/>
              </w:rPr>
            </w:pPr>
          </w:p>
        </w:tc>
        <w:tc>
          <w:tcPr>
            <w:tcW w:w="425" w:type="dxa"/>
          </w:tcPr>
          <w:p>
            <w:pPr>
              <w:spacing w:line="360" w:lineRule="auto"/>
              <w:rPr>
                <w:rFonts w:ascii="黑体" w:eastAsia="黑体"/>
              </w:rPr>
            </w:pPr>
            <w:r>
              <w:rPr>
                <w:rFonts w:hint="eastAsia" w:ascii="黑体" w:eastAsia="黑体"/>
              </w:rPr>
              <w:t>姓名</w:t>
            </w:r>
          </w:p>
        </w:tc>
        <w:tc>
          <w:tcPr>
            <w:tcW w:w="1260" w:type="dxa"/>
          </w:tcPr>
          <w:p>
            <w:pPr>
              <w:spacing w:line="360" w:lineRule="auto"/>
              <w:rPr>
                <w:rFonts w:ascii="黑体" w:eastAsia="黑体"/>
              </w:rPr>
            </w:pPr>
            <w:r>
              <w:rPr>
                <w:rFonts w:hint="eastAsia" w:ascii="黑体" w:eastAsia="黑体"/>
              </w:rPr>
              <w:t>聘用单位</w:t>
            </w:r>
          </w:p>
        </w:tc>
        <w:tc>
          <w:tcPr>
            <w:tcW w:w="1365" w:type="dxa"/>
          </w:tcPr>
          <w:p>
            <w:pPr>
              <w:spacing w:line="360" w:lineRule="auto"/>
              <w:rPr>
                <w:rFonts w:ascii="黑体" w:eastAsia="黑体"/>
              </w:rPr>
            </w:pPr>
            <w:r>
              <w:rPr>
                <w:rFonts w:hint="eastAsia" w:ascii="黑体" w:eastAsia="黑体"/>
              </w:rPr>
              <w:t>证书有效期</w:t>
            </w:r>
          </w:p>
        </w:tc>
        <w:tc>
          <w:tcPr>
            <w:tcW w:w="1203" w:type="dxa"/>
          </w:tcPr>
          <w:p>
            <w:pPr>
              <w:spacing w:line="360" w:lineRule="auto"/>
              <w:rPr>
                <w:rFonts w:ascii="黑体" w:eastAsia="黑体"/>
              </w:rPr>
            </w:pPr>
            <w:r>
              <w:rPr>
                <w:rFonts w:hint="eastAsia" w:ascii="黑体" w:eastAsia="黑体"/>
              </w:rPr>
              <w:t>证号</w:t>
            </w:r>
          </w:p>
        </w:tc>
        <w:tc>
          <w:tcPr>
            <w:tcW w:w="1559" w:type="dxa"/>
            <w:vMerge w:val="continue"/>
          </w:tcPr>
          <w:p>
            <w:pPr>
              <w:spacing w:line="360" w:lineRule="auto"/>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rPr>
                <w:rFonts w:ascii="黑体" w:eastAsia="黑体"/>
              </w:rPr>
            </w:pPr>
          </w:p>
        </w:tc>
        <w:tc>
          <w:tcPr>
            <w:tcW w:w="1076" w:type="dxa"/>
          </w:tcPr>
          <w:p>
            <w:pPr>
              <w:spacing w:line="360" w:lineRule="auto"/>
              <w:rPr>
                <w:rFonts w:ascii="黑体" w:eastAsia="黑体"/>
              </w:rPr>
            </w:pPr>
          </w:p>
        </w:tc>
        <w:tc>
          <w:tcPr>
            <w:tcW w:w="1050" w:type="dxa"/>
          </w:tcPr>
          <w:p>
            <w:pPr>
              <w:spacing w:line="360" w:lineRule="auto"/>
              <w:rPr>
                <w:rFonts w:ascii="黑体" w:eastAsia="黑体"/>
              </w:rPr>
            </w:pPr>
          </w:p>
        </w:tc>
        <w:tc>
          <w:tcPr>
            <w:tcW w:w="1134" w:type="dxa"/>
          </w:tcPr>
          <w:p>
            <w:pPr>
              <w:spacing w:line="360" w:lineRule="auto"/>
              <w:rPr>
                <w:rFonts w:ascii="黑体" w:eastAsia="黑体"/>
              </w:rPr>
            </w:pPr>
          </w:p>
        </w:tc>
        <w:tc>
          <w:tcPr>
            <w:tcW w:w="1596" w:type="dxa"/>
          </w:tcPr>
          <w:p>
            <w:pPr>
              <w:spacing w:line="360" w:lineRule="auto"/>
              <w:rPr>
                <w:rFonts w:ascii="黑体" w:eastAsia="黑体"/>
              </w:rPr>
            </w:pPr>
          </w:p>
        </w:tc>
        <w:tc>
          <w:tcPr>
            <w:tcW w:w="682" w:type="dxa"/>
          </w:tcPr>
          <w:p>
            <w:pPr>
              <w:spacing w:line="360" w:lineRule="auto"/>
              <w:rPr>
                <w:rFonts w:ascii="黑体" w:eastAsia="黑体"/>
              </w:rPr>
            </w:pPr>
          </w:p>
        </w:tc>
        <w:tc>
          <w:tcPr>
            <w:tcW w:w="841" w:type="dxa"/>
          </w:tcPr>
          <w:p>
            <w:pPr>
              <w:spacing w:line="360" w:lineRule="auto"/>
              <w:rPr>
                <w:rFonts w:ascii="黑体" w:eastAsia="黑体"/>
              </w:rPr>
            </w:pPr>
          </w:p>
        </w:tc>
        <w:tc>
          <w:tcPr>
            <w:tcW w:w="992" w:type="dxa"/>
          </w:tcPr>
          <w:p>
            <w:pPr>
              <w:spacing w:line="360" w:lineRule="auto"/>
              <w:rPr>
                <w:rFonts w:ascii="黑体" w:eastAsia="黑体"/>
              </w:rPr>
            </w:pPr>
          </w:p>
        </w:tc>
        <w:tc>
          <w:tcPr>
            <w:tcW w:w="425" w:type="dxa"/>
          </w:tcPr>
          <w:p>
            <w:pPr>
              <w:spacing w:line="360" w:lineRule="auto"/>
              <w:rPr>
                <w:rFonts w:ascii="黑体" w:eastAsia="黑体"/>
              </w:rPr>
            </w:pPr>
          </w:p>
        </w:tc>
        <w:tc>
          <w:tcPr>
            <w:tcW w:w="1260" w:type="dxa"/>
          </w:tcPr>
          <w:p>
            <w:pPr>
              <w:spacing w:line="360" w:lineRule="auto"/>
              <w:rPr>
                <w:rFonts w:ascii="黑体" w:eastAsia="黑体"/>
              </w:rPr>
            </w:pPr>
          </w:p>
        </w:tc>
        <w:tc>
          <w:tcPr>
            <w:tcW w:w="1365" w:type="dxa"/>
          </w:tcPr>
          <w:p>
            <w:pPr>
              <w:spacing w:line="360" w:lineRule="auto"/>
              <w:rPr>
                <w:rFonts w:ascii="黑体" w:eastAsia="黑体"/>
              </w:rPr>
            </w:pPr>
          </w:p>
        </w:tc>
        <w:tc>
          <w:tcPr>
            <w:tcW w:w="1203" w:type="dxa"/>
          </w:tcPr>
          <w:p>
            <w:pPr>
              <w:spacing w:line="360" w:lineRule="auto"/>
              <w:rPr>
                <w:rFonts w:ascii="黑体" w:eastAsia="黑体"/>
              </w:rPr>
            </w:pPr>
          </w:p>
        </w:tc>
        <w:tc>
          <w:tcPr>
            <w:tcW w:w="1559" w:type="dxa"/>
          </w:tcPr>
          <w:p>
            <w:pPr>
              <w:spacing w:line="360" w:lineRule="auto"/>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rPr>
                <w:rFonts w:ascii="黑体" w:eastAsia="黑体"/>
              </w:rPr>
            </w:pPr>
          </w:p>
        </w:tc>
        <w:tc>
          <w:tcPr>
            <w:tcW w:w="1076" w:type="dxa"/>
          </w:tcPr>
          <w:p>
            <w:pPr>
              <w:spacing w:line="360" w:lineRule="auto"/>
              <w:rPr>
                <w:rFonts w:ascii="黑体" w:eastAsia="黑体"/>
              </w:rPr>
            </w:pPr>
          </w:p>
        </w:tc>
        <w:tc>
          <w:tcPr>
            <w:tcW w:w="1050" w:type="dxa"/>
          </w:tcPr>
          <w:p>
            <w:pPr>
              <w:spacing w:line="360" w:lineRule="auto"/>
              <w:rPr>
                <w:rFonts w:ascii="黑体" w:eastAsia="黑体"/>
              </w:rPr>
            </w:pPr>
          </w:p>
        </w:tc>
        <w:tc>
          <w:tcPr>
            <w:tcW w:w="1134" w:type="dxa"/>
          </w:tcPr>
          <w:p>
            <w:pPr>
              <w:spacing w:line="360" w:lineRule="auto"/>
              <w:rPr>
                <w:rFonts w:ascii="黑体" w:eastAsia="黑体"/>
              </w:rPr>
            </w:pPr>
          </w:p>
        </w:tc>
        <w:tc>
          <w:tcPr>
            <w:tcW w:w="1596" w:type="dxa"/>
          </w:tcPr>
          <w:p>
            <w:pPr>
              <w:spacing w:line="360" w:lineRule="auto"/>
              <w:rPr>
                <w:rFonts w:ascii="黑体" w:eastAsia="黑体"/>
              </w:rPr>
            </w:pPr>
          </w:p>
        </w:tc>
        <w:tc>
          <w:tcPr>
            <w:tcW w:w="682" w:type="dxa"/>
          </w:tcPr>
          <w:p>
            <w:pPr>
              <w:spacing w:line="360" w:lineRule="auto"/>
              <w:rPr>
                <w:rFonts w:ascii="黑体" w:eastAsia="黑体"/>
              </w:rPr>
            </w:pPr>
          </w:p>
        </w:tc>
        <w:tc>
          <w:tcPr>
            <w:tcW w:w="841" w:type="dxa"/>
          </w:tcPr>
          <w:p>
            <w:pPr>
              <w:spacing w:line="360" w:lineRule="auto"/>
              <w:rPr>
                <w:rFonts w:ascii="黑体" w:eastAsia="黑体"/>
              </w:rPr>
            </w:pPr>
          </w:p>
        </w:tc>
        <w:tc>
          <w:tcPr>
            <w:tcW w:w="992" w:type="dxa"/>
          </w:tcPr>
          <w:p>
            <w:pPr>
              <w:spacing w:line="360" w:lineRule="auto"/>
              <w:rPr>
                <w:rFonts w:ascii="黑体" w:eastAsia="黑体"/>
              </w:rPr>
            </w:pPr>
          </w:p>
        </w:tc>
        <w:tc>
          <w:tcPr>
            <w:tcW w:w="425" w:type="dxa"/>
          </w:tcPr>
          <w:p>
            <w:pPr>
              <w:spacing w:line="360" w:lineRule="auto"/>
              <w:rPr>
                <w:rFonts w:ascii="黑体" w:eastAsia="黑体"/>
              </w:rPr>
            </w:pPr>
          </w:p>
        </w:tc>
        <w:tc>
          <w:tcPr>
            <w:tcW w:w="1260" w:type="dxa"/>
          </w:tcPr>
          <w:p>
            <w:pPr>
              <w:spacing w:line="360" w:lineRule="auto"/>
              <w:rPr>
                <w:rFonts w:ascii="黑体" w:eastAsia="黑体"/>
              </w:rPr>
            </w:pPr>
          </w:p>
        </w:tc>
        <w:tc>
          <w:tcPr>
            <w:tcW w:w="1365" w:type="dxa"/>
          </w:tcPr>
          <w:p>
            <w:pPr>
              <w:spacing w:line="360" w:lineRule="auto"/>
              <w:rPr>
                <w:rFonts w:ascii="黑体" w:eastAsia="黑体"/>
              </w:rPr>
            </w:pPr>
          </w:p>
        </w:tc>
        <w:tc>
          <w:tcPr>
            <w:tcW w:w="1203" w:type="dxa"/>
          </w:tcPr>
          <w:p>
            <w:pPr>
              <w:spacing w:line="360" w:lineRule="auto"/>
              <w:rPr>
                <w:rFonts w:ascii="黑体" w:eastAsia="黑体"/>
              </w:rPr>
            </w:pPr>
          </w:p>
        </w:tc>
        <w:tc>
          <w:tcPr>
            <w:tcW w:w="1559" w:type="dxa"/>
          </w:tcPr>
          <w:p>
            <w:pPr>
              <w:spacing w:line="360" w:lineRule="auto"/>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pacing w:line="360" w:lineRule="auto"/>
              <w:rPr>
                <w:rFonts w:ascii="黑体" w:eastAsia="黑体"/>
              </w:rPr>
            </w:pPr>
          </w:p>
        </w:tc>
        <w:tc>
          <w:tcPr>
            <w:tcW w:w="1076" w:type="dxa"/>
          </w:tcPr>
          <w:p>
            <w:pPr>
              <w:spacing w:line="360" w:lineRule="auto"/>
              <w:rPr>
                <w:rFonts w:ascii="黑体" w:eastAsia="黑体"/>
              </w:rPr>
            </w:pPr>
          </w:p>
        </w:tc>
        <w:tc>
          <w:tcPr>
            <w:tcW w:w="1050" w:type="dxa"/>
          </w:tcPr>
          <w:p>
            <w:pPr>
              <w:spacing w:line="360" w:lineRule="auto"/>
              <w:rPr>
                <w:rFonts w:ascii="黑体" w:eastAsia="黑体"/>
              </w:rPr>
            </w:pPr>
          </w:p>
        </w:tc>
        <w:tc>
          <w:tcPr>
            <w:tcW w:w="1134" w:type="dxa"/>
          </w:tcPr>
          <w:p>
            <w:pPr>
              <w:spacing w:line="360" w:lineRule="auto"/>
              <w:rPr>
                <w:rFonts w:ascii="黑体" w:eastAsia="黑体"/>
              </w:rPr>
            </w:pPr>
          </w:p>
        </w:tc>
        <w:tc>
          <w:tcPr>
            <w:tcW w:w="1596" w:type="dxa"/>
          </w:tcPr>
          <w:p>
            <w:pPr>
              <w:spacing w:line="360" w:lineRule="auto"/>
              <w:rPr>
                <w:rFonts w:ascii="黑体" w:eastAsia="黑体"/>
              </w:rPr>
            </w:pPr>
          </w:p>
        </w:tc>
        <w:tc>
          <w:tcPr>
            <w:tcW w:w="682" w:type="dxa"/>
          </w:tcPr>
          <w:p>
            <w:pPr>
              <w:spacing w:line="360" w:lineRule="auto"/>
              <w:rPr>
                <w:rFonts w:ascii="黑体" w:eastAsia="黑体"/>
              </w:rPr>
            </w:pPr>
          </w:p>
        </w:tc>
        <w:tc>
          <w:tcPr>
            <w:tcW w:w="841" w:type="dxa"/>
          </w:tcPr>
          <w:p>
            <w:pPr>
              <w:spacing w:line="360" w:lineRule="auto"/>
              <w:rPr>
                <w:rFonts w:ascii="黑体" w:eastAsia="黑体"/>
              </w:rPr>
            </w:pPr>
          </w:p>
        </w:tc>
        <w:tc>
          <w:tcPr>
            <w:tcW w:w="992" w:type="dxa"/>
          </w:tcPr>
          <w:p>
            <w:pPr>
              <w:spacing w:line="360" w:lineRule="auto"/>
              <w:rPr>
                <w:rFonts w:ascii="黑体" w:eastAsia="黑体"/>
              </w:rPr>
            </w:pPr>
          </w:p>
        </w:tc>
        <w:tc>
          <w:tcPr>
            <w:tcW w:w="425" w:type="dxa"/>
          </w:tcPr>
          <w:p>
            <w:pPr>
              <w:spacing w:line="360" w:lineRule="auto"/>
              <w:rPr>
                <w:rFonts w:ascii="黑体" w:eastAsia="黑体"/>
              </w:rPr>
            </w:pPr>
          </w:p>
        </w:tc>
        <w:tc>
          <w:tcPr>
            <w:tcW w:w="1260" w:type="dxa"/>
          </w:tcPr>
          <w:p>
            <w:pPr>
              <w:spacing w:line="360" w:lineRule="auto"/>
              <w:rPr>
                <w:rFonts w:ascii="黑体" w:eastAsia="黑体"/>
              </w:rPr>
            </w:pPr>
          </w:p>
        </w:tc>
        <w:tc>
          <w:tcPr>
            <w:tcW w:w="1365" w:type="dxa"/>
          </w:tcPr>
          <w:p>
            <w:pPr>
              <w:spacing w:line="360" w:lineRule="auto"/>
              <w:rPr>
                <w:rFonts w:ascii="黑体" w:eastAsia="黑体"/>
              </w:rPr>
            </w:pPr>
          </w:p>
        </w:tc>
        <w:tc>
          <w:tcPr>
            <w:tcW w:w="1203" w:type="dxa"/>
          </w:tcPr>
          <w:p>
            <w:pPr>
              <w:spacing w:line="360" w:lineRule="auto"/>
              <w:rPr>
                <w:rFonts w:ascii="黑体" w:eastAsia="黑体"/>
              </w:rPr>
            </w:pPr>
          </w:p>
        </w:tc>
        <w:tc>
          <w:tcPr>
            <w:tcW w:w="1559" w:type="dxa"/>
          </w:tcPr>
          <w:p>
            <w:pPr>
              <w:spacing w:line="360" w:lineRule="auto"/>
              <w:rPr>
                <w:rFonts w:ascii="黑体" w:eastAsia="黑体"/>
              </w:rPr>
            </w:pPr>
          </w:p>
        </w:tc>
      </w:tr>
    </w:tbl>
    <w:p>
      <w:pPr>
        <w:spacing w:line="360" w:lineRule="auto"/>
        <w:rPr>
          <w:rFonts w:ascii="仿宋_GB2312" w:eastAsia="仿宋_GB2312"/>
        </w:rPr>
      </w:pPr>
      <w:r>
        <w:rPr>
          <w:rFonts w:hint="eastAsia" w:ascii="仿宋_GB2312" w:eastAsia="仿宋_GB2312"/>
        </w:rPr>
        <w:t>说明：</w:t>
      </w:r>
      <w:r>
        <w:rPr>
          <w:rFonts w:hint="eastAsia" w:ascii="黑体" w:eastAsia="黑体"/>
        </w:rPr>
        <w:t xml:space="preserve"> </w:t>
      </w:r>
      <w:r>
        <w:rPr>
          <w:rFonts w:hint="eastAsia" w:ascii="仿宋_GB2312" w:eastAsia="仿宋_GB2312"/>
        </w:rPr>
        <w:t>1、评标委员会根据投标文件将</w:t>
      </w:r>
      <w:r>
        <w:rPr>
          <w:rFonts w:hint="eastAsia" w:ascii="仿宋_GB2312" w:eastAsia="仿宋_GB2312"/>
          <w:szCs w:val="21"/>
        </w:rPr>
        <w:t>拟投入本项目的项目负责人（注册建造师）及在投标报价文件中签字盖章的注册造价工程师</w:t>
      </w:r>
      <w:r>
        <w:rPr>
          <w:rFonts w:hint="eastAsia" w:ascii="仿宋_GB2312" w:eastAsia="仿宋_GB2312"/>
        </w:rPr>
        <w:t>列出，并将核查结果作为评审的依据。</w:t>
      </w:r>
    </w:p>
    <w:p>
      <w:pPr>
        <w:spacing w:line="360" w:lineRule="auto"/>
        <w:rPr>
          <w:rFonts w:ascii="仿宋_GB2312" w:eastAsia="仿宋_GB2312"/>
          <w:szCs w:val="21"/>
        </w:rPr>
      </w:pPr>
      <w:r>
        <w:rPr>
          <w:rFonts w:hint="eastAsia" w:ascii="仿宋_GB2312" w:eastAsia="仿宋_GB2312"/>
        </w:rPr>
        <w:t>2、</w:t>
      </w:r>
      <w:r>
        <w:rPr>
          <w:rFonts w:hint="eastAsia" w:ascii="仿宋_GB2312" w:eastAsia="仿宋_GB2312"/>
          <w:szCs w:val="21"/>
        </w:rPr>
        <w:t>投标文件中拟投入本项目的项目负责人（注册建造师）及在投标报价文件中签字盖章的注册造价工程师信息由</w:t>
      </w:r>
      <w:r>
        <w:rPr>
          <w:rFonts w:hint="eastAsia" w:ascii="仿宋_GB2312" w:eastAsia="仿宋_GB2312"/>
        </w:rPr>
        <w:t>评标委员会</w:t>
      </w:r>
      <w:r>
        <w:rPr>
          <w:rFonts w:hint="eastAsia" w:ascii="仿宋_GB2312" w:eastAsia="仿宋_GB2312"/>
          <w:szCs w:val="21"/>
        </w:rPr>
        <w:t>从官网相关注册人员库中核查。</w:t>
      </w:r>
    </w:p>
    <w:p>
      <w:pPr>
        <w:spacing w:line="360" w:lineRule="auto"/>
        <w:rPr>
          <w:rFonts w:ascii="仿宋_GB2312" w:hAnsi="仿宋_GB2312" w:eastAsia="仿宋_GB2312" w:cs="仿宋_GB2312"/>
          <w:szCs w:val="21"/>
        </w:rPr>
      </w:pPr>
      <w:r>
        <w:rPr>
          <w:rFonts w:hint="eastAsia" w:ascii="仿宋_GB2312" w:eastAsia="仿宋_GB2312"/>
          <w:szCs w:val="21"/>
        </w:rPr>
        <w:t>3、投标文件中拟投入本项目的项目负责人（注册建造师）项目锁定情况信息由</w:t>
      </w:r>
      <w:r>
        <w:rPr>
          <w:rFonts w:hint="eastAsia" w:ascii="仿宋_GB2312" w:eastAsia="仿宋_GB2312"/>
        </w:rPr>
        <w:t>评标委员会</w:t>
      </w:r>
      <w:r>
        <w:rPr>
          <w:rFonts w:hint="eastAsia" w:ascii="仿宋_GB2312" w:eastAsia="仿宋_GB2312"/>
          <w:szCs w:val="21"/>
        </w:rPr>
        <w:t>从部级、省级建设信息网站</w:t>
      </w:r>
      <w:r>
        <w:rPr>
          <w:rFonts w:hint="eastAsia"/>
          <w:szCs w:val="21"/>
        </w:rPr>
        <w:t>――</w:t>
      </w:r>
      <w:r>
        <w:rPr>
          <w:rFonts w:hint="eastAsia" w:ascii="仿宋_GB2312" w:hAnsi="仿宋_GB2312" w:eastAsia="仿宋_GB2312" w:cs="仿宋_GB2312"/>
          <w:szCs w:val="21"/>
        </w:rPr>
        <w:t>三库一平台管理信息服务系统</w:t>
      </w:r>
      <w:r>
        <w:rPr>
          <w:rFonts w:hint="eastAsia"/>
          <w:szCs w:val="21"/>
        </w:rPr>
        <w:t>――</w:t>
      </w:r>
      <w:r>
        <w:rPr>
          <w:rFonts w:hint="eastAsia" w:ascii="仿宋_GB2312" w:hAnsi="仿宋_GB2312" w:eastAsia="仿宋_GB2312" w:cs="仿宋_GB2312"/>
          <w:szCs w:val="21"/>
        </w:rPr>
        <w:t>人员信息</w:t>
      </w:r>
      <w:r>
        <w:rPr>
          <w:rFonts w:hint="eastAsia"/>
          <w:szCs w:val="21"/>
        </w:rPr>
        <w:t>――</w:t>
      </w:r>
      <w:r>
        <w:rPr>
          <w:rFonts w:hint="eastAsia" w:ascii="仿宋_GB2312" w:hAnsi="仿宋_GB2312" w:eastAsia="仿宋_GB2312" w:cs="仿宋_GB2312"/>
          <w:szCs w:val="21"/>
        </w:rPr>
        <w:t>关键岗位人员项目锁定信息栏中核查。（</w:t>
      </w:r>
      <w:r>
        <w:rPr>
          <w:rFonts w:hint="eastAsia" w:ascii="仿宋_GB2312" w:eastAsia="仿宋_GB2312"/>
          <w:szCs w:val="21"/>
        </w:rPr>
        <w:t>部级、省级建设信息网站指有设置</w:t>
      </w:r>
      <w:r>
        <w:rPr>
          <w:rFonts w:hint="eastAsia" w:ascii="仿宋_GB2312" w:hAnsi="仿宋_GB2312" w:eastAsia="仿宋_GB2312" w:cs="仿宋_GB2312"/>
          <w:szCs w:val="21"/>
        </w:rPr>
        <w:t>关键岗位人员项目锁定查询业务的</w:t>
      </w:r>
      <w:r>
        <w:rPr>
          <w:rFonts w:hint="eastAsia" w:ascii="仿宋_GB2312" w:eastAsia="仿宋_GB2312"/>
          <w:szCs w:val="21"/>
        </w:rPr>
        <w:t>部级、省级建设信息网站</w:t>
      </w:r>
      <w:r>
        <w:rPr>
          <w:rFonts w:hint="eastAsia" w:ascii="仿宋_GB2312" w:hAnsi="仿宋_GB2312" w:eastAsia="仿宋_GB2312" w:cs="仿宋_GB2312"/>
          <w:szCs w:val="21"/>
        </w:rPr>
        <w:t>）</w:t>
      </w:r>
    </w:p>
    <w:p>
      <w:pPr>
        <w:spacing w:line="360" w:lineRule="auto"/>
        <w:rPr>
          <w:rFonts w:ascii="仿宋_GB2312" w:eastAsia="仿宋_GB2312"/>
        </w:rPr>
      </w:pPr>
      <w:r>
        <w:rPr>
          <w:rFonts w:hint="eastAsia" w:ascii="仿宋_GB2312" w:eastAsia="仿宋_GB2312"/>
        </w:rPr>
        <w:t>评标委员会全体成员签名：</w:t>
      </w:r>
    </w:p>
    <w:p>
      <w:pPr>
        <w:spacing w:line="360" w:lineRule="auto"/>
        <w:rPr>
          <w:rFonts w:ascii="仿宋_GB2312" w:eastAsia="仿宋_GB2312"/>
        </w:rPr>
      </w:pPr>
      <w:r>
        <w:rPr>
          <w:rFonts w:hint="eastAsia" w:ascii="仿宋_GB2312" w:eastAsia="仿宋_GB2312"/>
        </w:rPr>
        <w:t>监督人员签名：                                                         招标人签名：</w:t>
      </w:r>
    </w:p>
    <w:p>
      <w:pPr>
        <w:spacing w:line="357" w:lineRule="auto"/>
        <w:jc w:val="both"/>
        <w:rPr>
          <w:rFonts w:ascii="Times New Roman" w:eastAsia="Times New Roman"/>
        </w:rPr>
        <w:sectPr>
          <w:footerReference r:id="rId7" w:type="default"/>
          <w:footerReference r:id="rId8" w:type="even"/>
          <w:pgSz w:w="16840" w:h="11910" w:orient="landscape"/>
          <w:pgMar w:top="920" w:right="1480" w:bottom="580" w:left="1220" w:header="0" w:footer="950" w:gutter="0"/>
          <w:cols w:space="720" w:num="1"/>
          <w:docGrid w:linePitch="299" w:charSpace="0"/>
        </w:sect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
        <w:rPr>
          <w:sz w:val="16"/>
        </w:rPr>
      </w:pPr>
    </w:p>
    <w:p>
      <w:pPr>
        <w:pStyle w:val="2"/>
        <w:ind w:right="339"/>
      </w:pPr>
      <w:bookmarkStart w:id="116" w:name="_bookmark78"/>
      <w:bookmarkEnd w:id="116"/>
      <w:bookmarkStart w:id="117" w:name="_Toc37926041"/>
      <w:r>
        <w:t>第四章 合同条款及格式</w:t>
      </w:r>
      <w:bookmarkEnd w:id="117"/>
    </w:p>
    <w:p/>
    <w:p>
      <w:pPr>
        <w:pStyle w:val="2"/>
        <w:rPr>
          <w:sz w:val="40"/>
        </w:rPr>
      </w:pPr>
      <w:bookmarkStart w:id="118" w:name="_Toc37926042"/>
      <w:r>
        <w:rPr>
          <w:rFonts w:hint="eastAsia"/>
          <w:sz w:val="40"/>
        </w:rPr>
        <w:t>《建设项目工程总承包合同》</w:t>
      </w:r>
      <w:bookmarkEnd w:id="118"/>
    </w:p>
    <w:p/>
    <w:p>
      <w:r>
        <w:rPr>
          <w:rFonts w:hint="eastAsia"/>
          <w:color w:val="0070C0"/>
          <w:sz w:val="28"/>
          <w:szCs w:val="28"/>
        </w:rPr>
        <w:t>（本合同文本仅供形式上的参考，具体条款内容由招标人和中标人协商确定）</w:t>
      </w:r>
    </w:p>
    <w:p/>
    <w:p>
      <w:pPr>
        <w:widowControl/>
        <w:autoSpaceDE/>
        <w:autoSpaceDN/>
      </w:pPr>
      <w:r>
        <w:br w:type="page"/>
      </w:r>
    </w:p>
    <w:p>
      <w:pPr>
        <w:spacing w:line="360" w:lineRule="auto"/>
        <w:jc w:val="center"/>
        <w:rPr>
          <w:sz w:val="29"/>
          <w:szCs w:val="29"/>
        </w:rPr>
      </w:pPr>
      <w:r>
        <w:rPr>
          <w:rFonts w:hint="eastAsia" w:ascii="黑体" w:eastAsia="黑体"/>
          <w:sz w:val="30"/>
          <w:szCs w:val="30"/>
        </w:rPr>
        <w:t xml:space="preserve">     </w:t>
      </w:r>
      <w:r>
        <w:rPr>
          <w:rFonts w:hint="eastAsia"/>
          <w:sz w:val="29"/>
          <w:szCs w:val="29"/>
        </w:rPr>
        <w:t>工程编号：</w:t>
      </w:r>
    </w:p>
    <w:p>
      <w:pPr>
        <w:spacing w:line="360" w:lineRule="auto"/>
        <w:jc w:val="center"/>
        <w:rPr>
          <w:rFonts w:ascii="楷体_GB2312" w:eastAsia="楷体_GB2312"/>
        </w:rPr>
      </w:pPr>
    </w:p>
    <w:p>
      <w:pPr>
        <w:adjustRightInd w:val="0"/>
        <w:spacing w:line="200" w:lineRule="exact"/>
        <w:rPr>
          <w:rFonts w:cs="MingLiU"/>
          <w:sz w:val="20"/>
          <w:szCs w:val="20"/>
        </w:rPr>
      </w:pPr>
    </w:p>
    <w:p>
      <w:pPr>
        <w:adjustRightInd w:val="0"/>
        <w:spacing w:line="200" w:lineRule="exact"/>
        <w:rPr>
          <w:rFonts w:cs="MingLiU"/>
          <w:sz w:val="20"/>
          <w:szCs w:val="20"/>
        </w:rPr>
      </w:pPr>
    </w:p>
    <w:p>
      <w:pPr>
        <w:adjustRightInd w:val="0"/>
        <w:spacing w:line="200" w:lineRule="exact"/>
        <w:rPr>
          <w:rFonts w:cs="MingLiU"/>
          <w:sz w:val="20"/>
          <w:szCs w:val="20"/>
        </w:rPr>
      </w:pPr>
    </w:p>
    <w:p>
      <w:pPr>
        <w:tabs>
          <w:tab w:val="left" w:pos="8600"/>
        </w:tabs>
        <w:adjustRightInd w:val="0"/>
        <w:spacing w:line="390" w:lineRule="exact"/>
        <w:ind w:left="4556" w:right="-41"/>
        <w:rPr>
          <w:rFonts w:cs="MingLiU"/>
          <w:sz w:val="30"/>
          <w:szCs w:val="30"/>
        </w:rPr>
      </w:pPr>
      <w:r>
        <w:rPr>
          <w:rFonts w:hint="eastAsia" w:cs="MingLiU"/>
          <w:position w:val="-2"/>
          <w:sz w:val="30"/>
          <w:szCs w:val="30"/>
        </w:rPr>
        <w:t>工程编号：</w:t>
      </w:r>
      <w:r>
        <w:rPr>
          <w:rFonts w:cs="MingLiU"/>
          <w:w w:val="200"/>
          <w:position w:val="-2"/>
          <w:sz w:val="30"/>
          <w:szCs w:val="30"/>
          <w:u w:val="single"/>
        </w:rPr>
        <w:t xml:space="preserve"> </w:t>
      </w:r>
      <w:r>
        <w:rPr>
          <w:position w:val="-2"/>
          <w:sz w:val="30"/>
          <w:szCs w:val="30"/>
          <w:u w:val="single"/>
        </w:rPr>
        <w:tab/>
      </w:r>
    </w:p>
    <w:p>
      <w:pPr>
        <w:adjustRightInd w:val="0"/>
        <w:spacing w:before="7" w:line="120" w:lineRule="exact"/>
        <w:rPr>
          <w:rFonts w:cs="MingLiU"/>
          <w:sz w:val="12"/>
          <w:szCs w:val="12"/>
        </w:rPr>
      </w:pPr>
    </w:p>
    <w:p>
      <w:pPr>
        <w:adjustRightInd w:val="0"/>
        <w:spacing w:line="200" w:lineRule="exact"/>
        <w:rPr>
          <w:rFonts w:cs="MingLiU"/>
          <w:sz w:val="20"/>
          <w:szCs w:val="20"/>
        </w:rPr>
      </w:pPr>
    </w:p>
    <w:p>
      <w:pPr>
        <w:tabs>
          <w:tab w:val="left" w:pos="8600"/>
        </w:tabs>
        <w:adjustRightInd w:val="0"/>
        <w:spacing w:line="290" w:lineRule="exact"/>
        <w:ind w:left="4556" w:right="-41"/>
        <w:rPr>
          <w:rFonts w:cs="MingLiU"/>
          <w:sz w:val="30"/>
          <w:szCs w:val="30"/>
        </w:rPr>
      </w:pPr>
      <w:r>
        <w:rPr>
          <w:rFonts w:hint="eastAsia" w:cs="MingLiU"/>
          <w:sz w:val="30"/>
          <w:szCs w:val="30"/>
        </w:rPr>
        <w:t>合同编号：</w:t>
      </w:r>
      <w:r>
        <w:rPr>
          <w:rFonts w:cs="MingLiU"/>
          <w:w w:val="200"/>
          <w:sz w:val="30"/>
          <w:szCs w:val="30"/>
          <w:u w:val="single"/>
        </w:rPr>
        <w:t xml:space="preserve"> </w:t>
      </w:r>
      <w:r>
        <w:rPr>
          <w:sz w:val="30"/>
          <w:szCs w:val="30"/>
          <w:u w:val="single"/>
        </w:rPr>
        <w:tab/>
      </w:r>
    </w:p>
    <w:p>
      <w:pPr>
        <w:adjustRightInd w:val="0"/>
        <w:spacing w:before="6" w:line="100" w:lineRule="exact"/>
        <w:rPr>
          <w:rFonts w:cs="MingLiU"/>
          <w:sz w:val="10"/>
          <w:szCs w:val="10"/>
        </w:rPr>
      </w:pPr>
    </w:p>
    <w:p>
      <w:pPr>
        <w:adjustRightInd w:val="0"/>
        <w:spacing w:line="200" w:lineRule="exact"/>
        <w:rPr>
          <w:rFonts w:cs="MingLiU"/>
          <w:sz w:val="20"/>
          <w:szCs w:val="20"/>
        </w:rPr>
      </w:pPr>
    </w:p>
    <w:p>
      <w:pPr>
        <w:adjustRightInd w:val="0"/>
        <w:spacing w:line="200" w:lineRule="exact"/>
        <w:rPr>
          <w:rFonts w:cs="MingLiU"/>
          <w:sz w:val="20"/>
          <w:szCs w:val="20"/>
        </w:rPr>
      </w:pPr>
    </w:p>
    <w:p>
      <w:pPr>
        <w:adjustRightInd w:val="0"/>
        <w:spacing w:line="200" w:lineRule="exact"/>
        <w:rPr>
          <w:rFonts w:cs="MingLiU"/>
          <w:sz w:val="20"/>
          <w:szCs w:val="20"/>
        </w:rPr>
      </w:pPr>
    </w:p>
    <w:p>
      <w:pPr>
        <w:adjustRightInd w:val="0"/>
        <w:spacing w:line="200" w:lineRule="exact"/>
        <w:rPr>
          <w:rFonts w:cs="MingLiU"/>
          <w:sz w:val="20"/>
          <w:szCs w:val="20"/>
        </w:rPr>
      </w:pPr>
    </w:p>
    <w:p>
      <w:pPr>
        <w:tabs>
          <w:tab w:val="left" w:pos="8740"/>
        </w:tabs>
        <w:adjustRightInd w:val="0"/>
        <w:spacing w:line="600" w:lineRule="exact"/>
        <w:ind w:right="-20"/>
        <w:jc w:val="center"/>
        <w:rPr>
          <w:b/>
          <w:sz w:val="56"/>
          <w:szCs w:val="56"/>
        </w:rPr>
      </w:pPr>
    </w:p>
    <w:p>
      <w:pPr>
        <w:tabs>
          <w:tab w:val="left" w:pos="8740"/>
        </w:tabs>
        <w:adjustRightInd w:val="0"/>
        <w:spacing w:line="600" w:lineRule="exact"/>
        <w:ind w:right="-20"/>
        <w:jc w:val="center"/>
        <w:rPr>
          <w:rFonts w:cs="MingLiU"/>
          <w:b/>
          <w:sz w:val="20"/>
          <w:szCs w:val="20"/>
        </w:rPr>
      </w:pPr>
      <w:r>
        <w:rPr>
          <w:rFonts w:hint="eastAsia"/>
          <w:b/>
          <w:sz w:val="56"/>
          <w:szCs w:val="56"/>
        </w:rPr>
        <w:t>建设项目工程总承包合同</w:t>
      </w:r>
    </w:p>
    <w:p>
      <w:pPr>
        <w:adjustRightInd w:val="0"/>
        <w:spacing w:before="8" w:line="120" w:lineRule="exact"/>
        <w:rPr>
          <w:sz w:val="12"/>
          <w:szCs w:val="12"/>
        </w:rPr>
      </w:pPr>
    </w:p>
    <w:p>
      <w:pPr>
        <w:adjustRightInd w:val="0"/>
        <w:spacing w:before="8" w:line="120" w:lineRule="exact"/>
        <w:rPr>
          <w:sz w:val="12"/>
          <w:szCs w:val="12"/>
        </w:rPr>
      </w:pPr>
    </w:p>
    <w:p>
      <w:pPr>
        <w:adjustRightInd w:val="0"/>
        <w:spacing w:before="8" w:line="120" w:lineRule="exact"/>
        <w:rPr>
          <w:sz w:val="12"/>
          <w:szCs w:val="12"/>
        </w:rPr>
      </w:pPr>
    </w:p>
    <w:p>
      <w:pPr>
        <w:adjustRightInd w:val="0"/>
        <w:spacing w:before="8" w:line="120" w:lineRule="exact"/>
        <w:rPr>
          <w:sz w:val="12"/>
          <w:szCs w:val="12"/>
        </w:rPr>
      </w:pPr>
    </w:p>
    <w:p>
      <w:pPr>
        <w:adjustRightInd w:val="0"/>
        <w:spacing w:before="8" w:line="120" w:lineRule="exact"/>
        <w:rPr>
          <w:sz w:val="12"/>
          <w:szCs w:val="12"/>
        </w:rPr>
      </w:pPr>
    </w:p>
    <w:p>
      <w:pPr>
        <w:adjustRightInd w:val="0"/>
        <w:spacing w:before="8" w:line="120" w:lineRule="exact"/>
        <w:rPr>
          <w:sz w:val="12"/>
          <w:szCs w:val="12"/>
        </w:rPr>
      </w:pPr>
    </w:p>
    <w:p>
      <w:pPr>
        <w:adjustRightInd w:val="0"/>
        <w:spacing w:line="200" w:lineRule="exact"/>
        <w:rPr>
          <w:szCs w:val="21"/>
        </w:rPr>
      </w:pPr>
    </w:p>
    <w:p>
      <w:pPr>
        <w:adjustRightInd w:val="0"/>
        <w:spacing w:line="200" w:lineRule="exact"/>
        <w:rPr>
          <w:sz w:val="20"/>
          <w:szCs w:val="20"/>
        </w:rPr>
      </w:pPr>
    </w:p>
    <w:p>
      <w:pPr>
        <w:adjustRightInd w:val="0"/>
        <w:spacing w:line="200" w:lineRule="exact"/>
        <w:rPr>
          <w:sz w:val="20"/>
          <w:szCs w:val="20"/>
        </w:rPr>
      </w:pPr>
    </w:p>
    <w:p>
      <w:pPr>
        <w:tabs>
          <w:tab w:val="left" w:pos="8560"/>
        </w:tabs>
        <w:adjustRightInd w:val="0"/>
        <w:ind w:left="102" w:right="-207"/>
        <w:rPr>
          <w:rFonts w:cs="MingLiU"/>
          <w:sz w:val="36"/>
          <w:szCs w:val="36"/>
        </w:rPr>
      </w:pPr>
    </w:p>
    <w:p>
      <w:pPr>
        <w:tabs>
          <w:tab w:val="left" w:pos="8560"/>
        </w:tabs>
        <w:adjustRightInd w:val="0"/>
        <w:ind w:left="102" w:right="-207"/>
        <w:rPr>
          <w:rFonts w:cs="MingLiU"/>
          <w:sz w:val="36"/>
          <w:szCs w:val="36"/>
        </w:rPr>
      </w:pPr>
    </w:p>
    <w:p>
      <w:pPr>
        <w:tabs>
          <w:tab w:val="left" w:pos="8560"/>
        </w:tabs>
        <w:adjustRightInd w:val="0"/>
        <w:ind w:left="102" w:right="-207"/>
        <w:rPr>
          <w:rFonts w:cs="MingLiU"/>
          <w:sz w:val="36"/>
          <w:szCs w:val="36"/>
        </w:rPr>
      </w:pPr>
    </w:p>
    <w:p>
      <w:pPr>
        <w:tabs>
          <w:tab w:val="left" w:pos="8560"/>
        </w:tabs>
        <w:adjustRightInd w:val="0"/>
        <w:ind w:left="102" w:right="-207"/>
        <w:rPr>
          <w:rFonts w:cs="MingLiU"/>
          <w:sz w:val="36"/>
          <w:szCs w:val="36"/>
        </w:rPr>
      </w:pPr>
      <w:r>
        <w:rPr>
          <w:rFonts w:hint="eastAsia" w:cs="MingLiU"/>
          <w:sz w:val="36"/>
          <w:szCs w:val="36"/>
        </w:rPr>
        <w:t>工程名称：</w:t>
      </w:r>
      <w:r>
        <w:rPr>
          <w:rFonts w:cs="MingLiU"/>
          <w:w w:val="200"/>
          <w:sz w:val="36"/>
          <w:szCs w:val="36"/>
          <w:u w:val="single"/>
        </w:rPr>
        <w:t xml:space="preserve"> </w:t>
      </w:r>
      <w:r>
        <w:rPr>
          <w:sz w:val="36"/>
          <w:szCs w:val="36"/>
          <w:u w:val="single"/>
        </w:rPr>
        <w:tab/>
      </w:r>
    </w:p>
    <w:p>
      <w:pPr>
        <w:tabs>
          <w:tab w:val="left" w:pos="8560"/>
        </w:tabs>
        <w:adjustRightInd w:val="0"/>
        <w:ind w:left="102" w:right="-207"/>
        <w:rPr>
          <w:rFonts w:cs="MingLiU"/>
          <w:sz w:val="36"/>
          <w:szCs w:val="36"/>
        </w:rPr>
      </w:pPr>
    </w:p>
    <w:p>
      <w:pPr>
        <w:tabs>
          <w:tab w:val="left" w:pos="8560"/>
        </w:tabs>
        <w:adjustRightInd w:val="0"/>
        <w:ind w:left="102" w:right="-207"/>
        <w:rPr>
          <w:rFonts w:cs="MingLiU"/>
          <w:sz w:val="18"/>
          <w:szCs w:val="18"/>
        </w:rPr>
      </w:pPr>
    </w:p>
    <w:p>
      <w:pPr>
        <w:tabs>
          <w:tab w:val="left" w:pos="8560"/>
        </w:tabs>
        <w:adjustRightInd w:val="0"/>
        <w:spacing w:line="380" w:lineRule="exact"/>
        <w:ind w:left="102" w:right="-207"/>
        <w:rPr>
          <w:sz w:val="36"/>
          <w:szCs w:val="36"/>
          <w:u w:val="single"/>
        </w:rPr>
      </w:pPr>
      <w:r>
        <w:rPr>
          <w:rFonts w:hint="eastAsia" w:cs="MingLiU"/>
          <w:sz w:val="36"/>
          <w:szCs w:val="36"/>
        </w:rPr>
        <w:t>工程地点：</w:t>
      </w:r>
      <w:r>
        <w:rPr>
          <w:rFonts w:cs="MingLiU"/>
          <w:w w:val="200"/>
          <w:sz w:val="36"/>
          <w:szCs w:val="36"/>
          <w:u w:val="single"/>
        </w:rPr>
        <w:t xml:space="preserve"> </w:t>
      </w:r>
      <w:r>
        <w:rPr>
          <w:sz w:val="36"/>
          <w:szCs w:val="36"/>
          <w:u w:val="single"/>
        </w:rPr>
        <w:tab/>
      </w:r>
    </w:p>
    <w:p>
      <w:pPr>
        <w:tabs>
          <w:tab w:val="left" w:pos="8560"/>
        </w:tabs>
        <w:adjustRightInd w:val="0"/>
        <w:spacing w:line="380" w:lineRule="exact"/>
        <w:ind w:left="102" w:right="-207"/>
        <w:rPr>
          <w:sz w:val="36"/>
          <w:szCs w:val="36"/>
          <w:u w:val="single"/>
        </w:rPr>
      </w:pPr>
    </w:p>
    <w:p>
      <w:pPr>
        <w:tabs>
          <w:tab w:val="left" w:pos="8560"/>
        </w:tabs>
        <w:adjustRightInd w:val="0"/>
        <w:spacing w:line="380" w:lineRule="exact"/>
        <w:ind w:left="102" w:right="-207"/>
        <w:rPr>
          <w:sz w:val="36"/>
          <w:szCs w:val="36"/>
          <w:u w:val="single"/>
        </w:rPr>
      </w:pPr>
    </w:p>
    <w:p>
      <w:pPr>
        <w:tabs>
          <w:tab w:val="left" w:pos="8560"/>
        </w:tabs>
        <w:adjustRightInd w:val="0"/>
        <w:spacing w:line="380" w:lineRule="exact"/>
        <w:ind w:left="102" w:right="-207"/>
        <w:rPr>
          <w:sz w:val="36"/>
          <w:szCs w:val="36"/>
          <w:u w:val="single"/>
        </w:rPr>
      </w:pPr>
      <w:r>
        <w:rPr>
          <w:rFonts w:hint="eastAsia"/>
          <w:sz w:val="36"/>
          <w:szCs w:val="36"/>
        </w:rPr>
        <w:t>发 包 人：</w:t>
      </w:r>
      <w:r>
        <w:rPr>
          <w:rFonts w:hint="eastAsia"/>
          <w:sz w:val="36"/>
          <w:szCs w:val="36"/>
          <w:u w:val="single"/>
        </w:rPr>
        <w:t xml:space="preserve">                                     </w:t>
      </w:r>
    </w:p>
    <w:p>
      <w:pPr>
        <w:tabs>
          <w:tab w:val="left" w:pos="8560"/>
        </w:tabs>
        <w:adjustRightInd w:val="0"/>
        <w:spacing w:line="380" w:lineRule="exact"/>
        <w:ind w:left="102" w:right="-207"/>
        <w:rPr>
          <w:sz w:val="36"/>
          <w:szCs w:val="36"/>
          <w:u w:val="single"/>
        </w:rPr>
      </w:pPr>
    </w:p>
    <w:p>
      <w:pPr>
        <w:tabs>
          <w:tab w:val="left" w:pos="8560"/>
        </w:tabs>
        <w:adjustRightInd w:val="0"/>
        <w:spacing w:line="380" w:lineRule="exact"/>
        <w:ind w:left="102" w:right="-207"/>
        <w:rPr>
          <w:sz w:val="36"/>
          <w:szCs w:val="36"/>
          <w:u w:val="single"/>
        </w:rPr>
      </w:pPr>
    </w:p>
    <w:p>
      <w:pPr>
        <w:tabs>
          <w:tab w:val="left" w:pos="8560"/>
        </w:tabs>
        <w:adjustRightInd w:val="0"/>
        <w:spacing w:line="380" w:lineRule="exact"/>
        <w:ind w:left="102" w:right="-207"/>
        <w:rPr>
          <w:sz w:val="36"/>
          <w:szCs w:val="36"/>
          <w:u w:val="single"/>
        </w:rPr>
      </w:pPr>
      <w:r>
        <w:rPr>
          <w:rFonts w:hint="eastAsia"/>
          <w:sz w:val="36"/>
          <w:szCs w:val="36"/>
        </w:rPr>
        <w:t>承 包 人：</w:t>
      </w:r>
      <w:r>
        <w:rPr>
          <w:rFonts w:hint="eastAsia"/>
          <w:sz w:val="36"/>
          <w:szCs w:val="36"/>
          <w:u w:val="single"/>
        </w:rPr>
        <w:t xml:space="preserve">                                     </w:t>
      </w:r>
    </w:p>
    <w:p>
      <w:pPr>
        <w:tabs>
          <w:tab w:val="left" w:pos="8560"/>
        </w:tabs>
        <w:adjustRightInd w:val="0"/>
        <w:spacing w:line="380" w:lineRule="exact"/>
        <w:ind w:left="102" w:right="-207"/>
        <w:rPr>
          <w:sz w:val="16"/>
          <w:szCs w:val="16"/>
          <w:u w:val="single"/>
        </w:rPr>
      </w:pPr>
    </w:p>
    <w:p/>
    <w:p/>
    <w:p>
      <w:pPr>
        <w:widowControl/>
        <w:autoSpaceDE/>
        <w:autoSpaceDN/>
      </w:pPr>
      <w:r>
        <w:br w:type="page"/>
      </w:r>
    </w:p>
    <w:p>
      <w:pPr>
        <w:pStyle w:val="3"/>
      </w:pPr>
      <w:bookmarkStart w:id="119" w:name="_Toc37926043"/>
      <w:r>
        <w:rPr>
          <w:rFonts w:hint="eastAsia"/>
        </w:rPr>
        <w:t>第一部分</w:t>
      </w:r>
      <w:r>
        <w:t xml:space="preserve">  </w:t>
      </w:r>
      <w:r>
        <w:rPr>
          <w:rFonts w:hint="eastAsia"/>
        </w:rPr>
        <w:t>合同协议书</w:t>
      </w:r>
      <w:bookmarkEnd w:id="119"/>
    </w:p>
    <w:p>
      <w:pPr>
        <w:spacing w:line="300" w:lineRule="auto"/>
        <w:ind w:firstLine="440" w:firstLineChars="200"/>
      </w:pPr>
    </w:p>
    <w:p>
      <w:pPr>
        <w:spacing w:line="300" w:lineRule="auto"/>
        <w:ind w:firstLine="440" w:firstLineChars="200"/>
        <w:rPr>
          <w:u w:val="single"/>
        </w:rPr>
      </w:pPr>
      <w:r>
        <w:rPr>
          <w:rFonts w:hint="eastAsia"/>
        </w:rPr>
        <w:t>发包人（全称）</w:t>
      </w:r>
      <w:r>
        <w:rPr>
          <w:rFonts w:hint="eastAsia"/>
          <w:u w:val="single"/>
        </w:rPr>
        <w:t xml:space="preserve">                                                 </w:t>
      </w:r>
    </w:p>
    <w:p>
      <w:pPr>
        <w:spacing w:line="300" w:lineRule="auto"/>
        <w:ind w:firstLine="440" w:firstLineChars="200"/>
        <w:rPr>
          <w:u w:val="single"/>
        </w:rPr>
      </w:pPr>
      <w:r>
        <w:rPr>
          <w:rFonts w:hint="eastAsia"/>
        </w:rPr>
        <w:t>承包人（全称）</w:t>
      </w:r>
      <w:r>
        <w:rPr>
          <w:rFonts w:hint="eastAsia"/>
          <w:u w:val="single"/>
        </w:rPr>
        <w:t xml:space="preserve">                                                 </w:t>
      </w:r>
    </w:p>
    <w:p>
      <w:pPr>
        <w:spacing w:line="300" w:lineRule="auto"/>
        <w:ind w:firstLine="440" w:firstLineChars="200"/>
      </w:pPr>
      <w:r>
        <w:rPr>
          <w:rFonts w:hint="eastAsia"/>
        </w:rPr>
        <w:t>依照《中华人民共和国合同法》、《中华人民共和国建筑法》、《中华人民共和国招标投标法》及相关法律、行政法规，遵循平等、自愿、公平和诚信原则，合同双方就</w:t>
      </w:r>
      <w:r>
        <w:rPr>
          <w:rFonts w:hint="eastAsia"/>
          <w:u w:val="single"/>
        </w:rPr>
        <w:t xml:space="preserve">_____     </w:t>
      </w:r>
      <w:r>
        <w:rPr>
          <w:rFonts w:hint="eastAsia"/>
        </w:rPr>
        <w:t>项目</w:t>
      </w:r>
      <w:r>
        <w:rPr>
          <w:rFonts w:hint="eastAsia"/>
          <w:u w:val="single"/>
        </w:rPr>
        <w:t xml:space="preserve">           </w:t>
      </w:r>
      <w:r>
        <w:rPr>
          <w:rFonts w:hint="eastAsia"/>
        </w:rPr>
        <w:t>（标段）工程总承包事宜经协商一致，订立本合同。</w:t>
      </w:r>
    </w:p>
    <w:p>
      <w:pPr>
        <w:pStyle w:val="3"/>
        <w:rPr>
          <w:u w:val="single"/>
        </w:rPr>
      </w:pPr>
      <w:bookmarkStart w:id="120" w:name="_Toc37926044"/>
      <w:r>
        <w:rPr>
          <w:rFonts w:hint="eastAsia"/>
        </w:rPr>
        <w:t>一、工程概况</w:t>
      </w:r>
      <w:bookmarkEnd w:id="120"/>
    </w:p>
    <w:p>
      <w:pPr>
        <w:spacing w:line="300" w:lineRule="auto"/>
        <w:ind w:firstLine="440" w:firstLineChars="200"/>
        <w:rPr>
          <w:u w:val="single"/>
        </w:rPr>
      </w:pPr>
      <w:r>
        <w:rPr>
          <w:rFonts w:hint="eastAsia"/>
        </w:rPr>
        <w:t xml:space="preserve">工程名称： </w:t>
      </w:r>
      <w:r>
        <w:rPr>
          <w:rFonts w:hint="eastAsia"/>
          <w:u w:val="single"/>
        </w:rPr>
        <w:t xml:space="preserve">                                                      </w:t>
      </w:r>
    </w:p>
    <w:p>
      <w:pPr>
        <w:spacing w:line="300" w:lineRule="auto"/>
        <w:ind w:firstLine="440" w:firstLineChars="200"/>
        <w:rPr>
          <w:u w:val="single"/>
        </w:rPr>
      </w:pPr>
      <w:r>
        <w:rPr>
          <w:rFonts w:hint="eastAsia"/>
        </w:rPr>
        <w:t>工程批准、核准或备案文号：</w:t>
      </w:r>
      <w:r>
        <w:rPr>
          <w:rFonts w:hint="eastAsia"/>
          <w:u w:val="single"/>
        </w:rPr>
        <w:t xml:space="preserve">                                       </w:t>
      </w:r>
    </w:p>
    <w:p>
      <w:pPr>
        <w:spacing w:line="300" w:lineRule="auto"/>
        <w:ind w:firstLine="440" w:firstLineChars="200"/>
        <w:rPr>
          <w:u w:val="single"/>
        </w:rPr>
      </w:pPr>
      <w:r>
        <w:rPr>
          <w:rFonts w:hint="eastAsia"/>
        </w:rPr>
        <w:t>工程内容及规模：</w:t>
      </w:r>
      <w:r>
        <w:rPr>
          <w:rFonts w:hint="eastAsia"/>
          <w:u w:val="single"/>
        </w:rPr>
        <w:t xml:space="preserve">                                                 </w:t>
      </w:r>
    </w:p>
    <w:p>
      <w:pPr>
        <w:spacing w:line="300" w:lineRule="auto"/>
        <w:ind w:firstLine="440" w:firstLineChars="200"/>
        <w:rPr>
          <w:u w:val="single"/>
        </w:rPr>
      </w:pPr>
      <w:r>
        <w:rPr>
          <w:rFonts w:hint="eastAsia"/>
        </w:rPr>
        <w:t xml:space="preserve">工程所在省市详细地址： </w:t>
      </w:r>
      <w:r>
        <w:rPr>
          <w:rFonts w:hint="eastAsia"/>
          <w:u w:val="single"/>
        </w:rPr>
        <w:t xml:space="preserve">                                          </w:t>
      </w:r>
    </w:p>
    <w:p>
      <w:pPr>
        <w:spacing w:line="300" w:lineRule="auto"/>
        <w:ind w:firstLine="440" w:firstLineChars="200"/>
        <w:rPr>
          <w:u w:val="single"/>
        </w:rPr>
      </w:pPr>
      <w:r>
        <w:rPr>
          <w:rFonts w:hint="eastAsia"/>
        </w:rPr>
        <w:t>工程承包范围：</w:t>
      </w:r>
      <w:r>
        <w:rPr>
          <w:rFonts w:hint="eastAsia"/>
          <w:u w:val="single"/>
        </w:rPr>
        <w:t xml:space="preserve">                                                   </w:t>
      </w:r>
    </w:p>
    <w:p>
      <w:pPr>
        <w:pStyle w:val="3"/>
      </w:pPr>
      <w:bookmarkStart w:id="121" w:name="_Toc37926045"/>
      <w:r>
        <w:rPr>
          <w:rFonts w:hint="eastAsia"/>
        </w:rPr>
        <w:t>二、工程主要生产技术</w:t>
      </w:r>
      <w:r>
        <w:t>（</w:t>
      </w:r>
      <w:r>
        <w:rPr>
          <w:rFonts w:hint="eastAsia"/>
        </w:rPr>
        <w:t>或建筑设计方案）来源</w:t>
      </w:r>
      <w:bookmarkEnd w:id="121"/>
    </w:p>
    <w:p>
      <w:pPr>
        <w:ind w:firstLine="480"/>
        <w:rPr>
          <w:u w:val="single"/>
        </w:rPr>
      </w:pPr>
      <w:r>
        <w:rPr>
          <w:rFonts w:hint="eastAsia"/>
          <w:u w:val="single"/>
        </w:rPr>
        <w:t xml:space="preserve">                                                                 </w:t>
      </w:r>
    </w:p>
    <w:p>
      <w:pPr>
        <w:pStyle w:val="3"/>
      </w:pPr>
      <w:bookmarkStart w:id="122" w:name="_Toc37926046"/>
      <w:r>
        <w:rPr>
          <w:rFonts w:hint="eastAsia"/>
        </w:rPr>
        <w:t>三、主要日期</w:t>
      </w:r>
      <w:bookmarkEnd w:id="122"/>
      <w:r>
        <w:rPr>
          <w:rFonts w:hint="eastAsia"/>
        </w:rPr>
        <w:t xml:space="preserve"> </w:t>
      </w:r>
    </w:p>
    <w:p>
      <w:pPr>
        <w:spacing w:line="300" w:lineRule="auto"/>
        <w:ind w:left="1082" w:hanging="1082" w:hangingChars="490"/>
        <w:rPr>
          <w:u w:val="single"/>
        </w:rPr>
      </w:pPr>
      <w:r>
        <w:rPr>
          <w:rFonts w:hint="eastAsia"/>
          <w:b/>
        </w:rPr>
        <w:t xml:space="preserve">    </w:t>
      </w:r>
      <w:r>
        <w:rPr>
          <w:rFonts w:hint="eastAsia"/>
        </w:rPr>
        <w:t>设计开工日期(绝对日期或相对日期)：</w:t>
      </w:r>
      <w:r>
        <w:rPr>
          <w:rFonts w:hint="eastAsia"/>
          <w:u w:val="single"/>
        </w:rPr>
        <w:t xml:space="preserve">                               </w:t>
      </w:r>
    </w:p>
    <w:p>
      <w:pPr>
        <w:spacing w:line="300" w:lineRule="auto"/>
        <w:ind w:left="1078" w:hanging="1078" w:hangingChars="490"/>
      </w:pPr>
      <w:r>
        <w:rPr>
          <w:rFonts w:hint="eastAsia"/>
        </w:rPr>
        <w:t xml:space="preserve">    施工开工日期(绝对日期或相对日期)：</w:t>
      </w:r>
      <w:r>
        <w:rPr>
          <w:rFonts w:hint="eastAsia"/>
          <w:u w:val="single"/>
        </w:rPr>
        <w:t xml:space="preserve">                               </w:t>
      </w:r>
    </w:p>
    <w:p>
      <w:pPr>
        <w:spacing w:line="300" w:lineRule="auto"/>
        <w:ind w:left="1140" w:leftChars="228" w:hanging="638" w:hangingChars="290"/>
        <w:rPr>
          <w:u w:val="single"/>
        </w:rPr>
      </w:pPr>
      <w:r>
        <w:rPr>
          <w:rFonts w:hint="eastAsia"/>
        </w:rPr>
        <w:t>工程竣工日期(绝对日期或相对日期)：</w:t>
      </w:r>
      <w:r>
        <w:rPr>
          <w:rFonts w:hint="eastAsia"/>
          <w:u w:val="single"/>
        </w:rPr>
        <w:t xml:space="preserve">                               </w:t>
      </w:r>
    </w:p>
    <w:p>
      <w:pPr>
        <w:pStyle w:val="3"/>
      </w:pPr>
      <w:bookmarkStart w:id="123" w:name="_Toc37926047"/>
      <w:r>
        <w:rPr>
          <w:rFonts w:hint="eastAsia"/>
        </w:rPr>
        <w:t>四、工程质量标准</w:t>
      </w:r>
      <w:bookmarkEnd w:id="123"/>
    </w:p>
    <w:p>
      <w:pPr>
        <w:ind w:firstLine="431" w:firstLineChars="196"/>
        <w:rPr>
          <w:u w:val="single"/>
        </w:rPr>
      </w:pPr>
      <w:r>
        <w:rPr>
          <w:rFonts w:hint="eastAsia"/>
        </w:rPr>
        <w:t>工程设计质量标准：</w:t>
      </w:r>
      <w:r>
        <w:rPr>
          <w:rFonts w:hint="eastAsia"/>
          <w:u w:val="single"/>
        </w:rPr>
        <w:t xml:space="preserve">                                               </w:t>
      </w:r>
    </w:p>
    <w:p>
      <w:pPr>
        <w:ind w:firstLine="431" w:firstLineChars="196"/>
      </w:pPr>
      <w:r>
        <w:rPr>
          <w:rFonts w:hint="eastAsia"/>
        </w:rPr>
        <w:t>工程施工质量标准：</w:t>
      </w:r>
      <w:r>
        <w:rPr>
          <w:rFonts w:hint="eastAsia"/>
          <w:u w:val="single"/>
        </w:rPr>
        <w:t xml:space="preserve">                                               </w:t>
      </w:r>
    </w:p>
    <w:p>
      <w:pPr>
        <w:pStyle w:val="3"/>
      </w:pPr>
      <w:bookmarkStart w:id="124" w:name="_Toc37926048"/>
      <w:r>
        <w:rPr>
          <w:rFonts w:hint="eastAsia"/>
        </w:rPr>
        <w:t>五、合同价格和付款货币</w:t>
      </w:r>
      <w:bookmarkEnd w:id="124"/>
    </w:p>
    <w:p>
      <w:pPr>
        <w:spacing w:line="300" w:lineRule="auto"/>
        <w:ind w:firstLine="440" w:firstLineChars="200"/>
      </w:pPr>
      <w:r>
        <w:rPr>
          <w:rFonts w:hint="eastAsia"/>
        </w:rPr>
        <w:t>合同价格为人民币（大写）：</w:t>
      </w:r>
      <w:r>
        <w:rPr>
          <w:u w:val="single"/>
        </w:rPr>
        <w:t xml:space="preserve">         </w:t>
      </w:r>
      <w:r>
        <w:rPr>
          <w:rFonts w:hint="eastAsia"/>
          <w:u w:val="single"/>
        </w:rPr>
        <w:t xml:space="preserve"> </w:t>
      </w:r>
      <w:r>
        <w:rPr>
          <w:u w:val="single"/>
        </w:rPr>
        <w:t xml:space="preserve">  </w:t>
      </w:r>
      <w:r>
        <w:rPr>
          <w:rFonts w:hint="eastAsia"/>
        </w:rPr>
        <w:t>元（小写金额：</w:t>
      </w:r>
      <w:r>
        <w:rPr>
          <w:rFonts w:hint="eastAsia"/>
          <w:u w:val="single"/>
        </w:rPr>
        <w:t xml:space="preserve">           </w:t>
      </w:r>
      <w:r>
        <w:rPr>
          <w:rFonts w:hint="eastAsia"/>
        </w:rPr>
        <w:t>元）。</w:t>
      </w:r>
    </w:p>
    <w:p>
      <w:pPr>
        <w:spacing w:line="300" w:lineRule="auto"/>
        <w:rPr>
          <w:b/>
        </w:rPr>
      </w:pPr>
      <w:r>
        <w:rPr>
          <w:rFonts w:hint="eastAsia"/>
        </w:rPr>
        <w:t>详见合同价格清单分项表</w:t>
      </w:r>
      <w:r>
        <w:t>。</w:t>
      </w:r>
      <w:r>
        <w:rPr>
          <w:rFonts w:hint="eastAsia"/>
        </w:rPr>
        <w:t>除根据合同约定的在工程实施过程中需进行增减的款项外，合同价格不作调整。</w:t>
      </w:r>
    </w:p>
    <w:p>
      <w:pPr>
        <w:pStyle w:val="3"/>
      </w:pPr>
      <w:bookmarkStart w:id="125" w:name="_Toc37926049"/>
      <w:r>
        <w:rPr>
          <w:rFonts w:hint="eastAsia"/>
        </w:rPr>
        <w:t>六、定义与解释</w:t>
      </w:r>
      <w:bookmarkEnd w:id="125"/>
    </w:p>
    <w:p>
      <w:pPr>
        <w:spacing w:beforeLines="50" w:afterLines="50"/>
        <w:ind w:left="482"/>
      </w:pPr>
      <w:r>
        <w:rPr>
          <w:rFonts w:hint="eastAsia"/>
        </w:rPr>
        <w:t>本协议书中有关词语的含义与通用条款中赋予的定义与解释相同。</w:t>
      </w:r>
    </w:p>
    <w:p>
      <w:pPr>
        <w:pStyle w:val="3"/>
      </w:pPr>
      <w:bookmarkStart w:id="126" w:name="_Toc37926050"/>
      <w:r>
        <w:rPr>
          <w:rFonts w:hint="eastAsia"/>
        </w:rPr>
        <w:t>七、特别约定</w:t>
      </w:r>
      <w:bookmarkEnd w:id="126"/>
    </w:p>
    <w:p>
      <w:pPr>
        <w:spacing w:beforeLines="50" w:afterLines="50"/>
        <w:ind w:left="482"/>
      </w:pPr>
      <w:r>
        <w:rPr>
          <w:rFonts w:hint="eastAsia"/>
        </w:rPr>
        <w:t>1.本工程属于招标工程，承包人承诺响应招标文件的所有条款，如本合同中（含合同的相关补充协议）任何条款与招标文件的实质性条款相低触的，以招标文件为准。</w:t>
      </w:r>
    </w:p>
    <w:p>
      <w:pPr>
        <w:spacing w:beforeLines="50" w:afterLines="50"/>
        <w:ind w:left="482"/>
      </w:pPr>
      <w:r>
        <w:rPr>
          <w:rFonts w:hint="eastAsia"/>
        </w:rPr>
        <w:t>2. 政府投资项目禁止使用带资承包方式进行建设。</w:t>
      </w:r>
    </w:p>
    <w:p>
      <w:pPr>
        <w:spacing w:beforeLines="50" w:afterLines="50"/>
        <w:ind w:left="482"/>
      </w:pPr>
      <w:r>
        <w:rPr>
          <w:rFonts w:hint="eastAsia"/>
        </w:rPr>
        <w:t>3.</w:t>
      </w:r>
      <w:r>
        <w:t xml:space="preserve"> 合同未尽事宜，双方另行签订补充协议。补充协议是合同的组成部分。</w:t>
      </w:r>
    </w:p>
    <w:p>
      <w:pPr>
        <w:spacing w:beforeLines="50" w:afterLines="50"/>
        <w:ind w:left="482"/>
      </w:pPr>
      <w:r>
        <w:rPr>
          <w:rFonts w:hint="eastAsia"/>
        </w:rPr>
        <w:t>4.</w:t>
      </w:r>
      <w:r>
        <w:t xml:space="preserve"> 本协议书一式 </w:t>
      </w:r>
      <w:r>
        <w:rPr>
          <w:u w:val="single"/>
        </w:rPr>
        <w:t xml:space="preserve">    </w:t>
      </w:r>
      <w:r>
        <w:t>份</w:t>
      </w:r>
      <w:r>
        <w:rPr>
          <w:rFonts w:hint="eastAsia"/>
        </w:rPr>
        <w:t>：发包人</w:t>
      </w:r>
      <w:r>
        <w:t>执</w:t>
      </w:r>
      <w:r>
        <w:rPr>
          <w:rFonts w:hint="eastAsia"/>
          <w:u w:val="single"/>
        </w:rPr>
        <w:t xml:space="preserve">     </w:t>
      </w:r>
      <w:r>
        <w:t>份</w:t>
      </w:r>
      <w:r>
        <w:rPr>
          <w:rFonts w:hint="eastAsia"/>
        </w:rPr>
        <w:t>，承包人</w:t>
      </w:r>
      <w:r>
        <w:t>执</w:t>
      </w:r>
      <w:r>
        <w:rPr>
          <w:rFonts w:hint="eastAsia"/>
          <w:u w:val="single"/>
        </w:rPr>
        <w:t xml:space="preserve">     </w:t>
      </w:r>
      <w:r>
        <w:t>份。</w:t>
      </w:r>
    </w:p>
    <w:p>
      <w:pPr>
        <w:pStyle w:val="3"/>
      </w:pPr>
      <w:bookmarkStart w:id="127" w:name="_Toc37926051"/>
      <w:r>
        <w:rPr>
          <w:rFonts w:hint="eastAsia"/>
        </w:rPr>
        <w:t>八、合同生效</w:t>
      </w:r>
      <w:bookmarkEnd w:id="127"/>
    </w:p>
    <w:p>
      <w:pPr>
        <w:spacing w:beforeLines="50" w:afterLines="50"/>
        <w:ind w:left="482"/>
        <w:rPr>
          <w:u w:val="single"/>
        </w:rPr>
      </w:pPr>
      <w:r>
        <w:rPr>
          <w:rFonts w:hint="eastAsia"/>
        </w:rPr>
        <w:t>本合同在以下条件全部满足之后生效：</w:t>
      </w:r>
      <w:r>
        <w:rPr>
          <w:rFonts w:hint="eastAsia"/>
          <w:u w:val="single"/>
        </w:rPr>
        <w:t xml:space="preserve">                               </w:t>
      </w:r>
    </w:p>
    <w:p>
      <w:pPr>
        <w:spacing w:beforeLines="50" w:afterLines="50"/>
        <w:rPr>
          <w:u w:val="single"/>
        </w:rPr>
      </w:pPr>
    </w:p>
    <w:p>
      <w:pPr>
        <w:spacing w:line="300" w:lineRule="auto"/>
        <w:ind w:firstLine="480"/>
      </w:pPr>
      <w:r>
        <w:rPr>
          <w:rFonts w:hint="eastAsia"/>
        </w:rPr>
        <w:t xml:space="preserve">发包人：                           承包人：                          </w:t>
      </w:r>
    </w:p>
    <w:p>
      <w:pPr>
        <w:spacing w:line="300" w:lineRule="auto"/>
        <w:ind w:firstLine="550" w:firstLineChars="250"/>
      </w:pPr>
      <w:r>
        <w:rPr>
          <w:rFonts w:hint="eastAsia"/>
        </w:rPr>
        <w:t xml:space="preserve">（公章或合同专用章）              （公章或合同专用章）              </w:t>
      </w:r>
    </w:p>
    <w:p>
      <w:pPr>
        <w:spacing w:line="300" w:lineRule="auto"/>
      </w:pPr>
    </w:p>
    <w:p>
      <w:pPr>
        <w:spacing w:line="300" w:lineRule="auto"/>
        <w:ind w:firstLine="480"/>
      </w:pPr>
      <w:r>
        <w:rPr>
          <w:rFonts w:hint="eastAsia"/>
        </w:rPr>
        <w:t xml:space="preserve">法定代表人或其授权代表：         法定代表人或其授权代表：          </w:t>
      </w:r>
    </w:p>
    <w:p>
      <w:pPr>
        <w:spacing w:line="300" w:lineRule="auto"/>
        <w:ind w:firstLine="480"/>
      </w:pPr>
      <w:r>
        <w:rPr>
          <w:rFonts w:hint="eastAsia"/>
        </w:rPr>
        <w:t xml:space="preserve">   （签字）                         （签字）                             </w:t>
      </w:r>
    </w:p>
    <w:p>
      <w:pPr>
        <w:spacing w:line="300" w:lineRule="auto"/>
        <w:ind w:firstLine="440" w:firstLineChars="200"/>
      </w:pPr>
      <w:r>
        <w:rPr>
          <w:rFonts w:hint="eastAsia"/>
        </w:rPr>
        <w:t>工商注册住所：　　</w:t>
      </w:r>
      <w:r>
        <w:t xml:space="preserve">                </w:t>
      </w:r>
      <w:r>
        <w:rPr>
          <w:rFonts w:hint="eastAsia"/>
        </w:rPr>
        <w:t xml:space="preserve">工商注册住所：                         </w:t>
      </w:r>
    </w:p>
    <w:p>
      <w:pPr>
        <w:spacing w:line="300" w:lineRule="auto"/>
        <w:ind w:firstLine="440" w:firstLineChars="200"/>
        <w:rPr>
          <w:bCs/>
        </w:rPr>
      </w:pPr>
      <w:r>
        <w:rPr>
          <w:rFonts w:hint="eastAsia"/>
          <w:bCs/>
        </w:rPr>
        <w:t>企业组织机构代码：</w:t>
      </w:r>
      <w:r>
        <w:rPr>
          <w:bCs/>
        </w:rPr>
        <w:t xml:space="preserve">                </w:t>
      </w:r>
      <w:r>
        <w:rPr>
          <w:rFonts w:hint="eastAsia"/>
          <w:bCs/>
        </w:rPr>
        <w:t>企业组织机构代码：</w:t>
      </w:r>
    </w:p>
    <w:p>
      <w:pPr>
        <w:spacing w:line="300" w:lineRule="auto"/>
        <w:ind w:firstLine="440" w:firstLineChars="200"/>
      </w:pPr>
      <w:r>
        <w:rPr>
          <w:rFonts w:hint="eastAsia"/>
        </w:rPr>
        <w:t>邮政编码：　　</w:t>
      </w:r>
      <w:r>
        <w:t xml:space="preserve">                    </w:t>
      </w:r>
      <w:r>
        <w:rPr>
          <w:rFonts w:hint="eastAsia"/>
        </w:rPr>
        <w:t>邮政编码：　　</w:t>
      </w:r>
    </w:p>
    <w:p>
      <w:pPr>
        <w:spacing w:line="300" w:lineRule="auto"/>
        <w:ind w:firstLine="440" w:firstLineChars="200"/>
      </w:pPr>
      <w:r>
        <w:rPr>
          <w:rFonts w:hint="eastAsia"/>
        </w:rPr>
        <w:t>法定代表人：　　</w:t>
      </w:r>
      <w:r>
        <w:t xml:space="preserve">                  </w:t>
      </w:r>
      <w:r>
        <w:rPr>
          <w:rFonts w:hint="eastAsia"/>
        </w:rPr>
        <w:t>法定代表人：　　　　</w:t>
      </w:r>
    </w:p>
    <w:p>
      <w:pPr>
        <w:spacing w:line="300" w:lineRule="auto"/>
        <w:ind w:firstLine="440" w:firstLineChars="200"/>
      </w:pPr>
      <w:r>
        <w:rPr>
          <w:rFonts w:hint="eastAsia"/>
        </w:rPr>
        <w:t>授权代表：　　</w:t>
      </w:r>
      <w:r>
        <w:t xml:space="preserve">               </w:t>
      </w:r>
      <w:r>
        <w:rPr>
          <w:rFonts w:hint="eastAsia"/>
        </w:rPr>
        <w:t xml:space="preserve">     授权代表：　　　　</w:t>
      </w:r>
    </w:p>
    <w:p>
      <w:pPr>
        <w:spacing w:line="300" w:lineRule="auto"/>
        <w:ind w:firstLine="440" w:firstLineChars="200"/>
      </w:pPr>
      <w:r>
        <w:rPr>
          <w:rFonts w:hint="eastAsia"/>
        </w:rPr>
        <w:t>电　　话：　　</w:t>
      </w:r>
      <w:r>
        <w:t xml:space="preserve">                    </w:t>
      </w:r>
      <w:r>
        <w:rPr>
          <w:rFonts w:hint="eastAsia"/>
        </w:rPr>
        <w:t>电　　话：　　　　</w:t>
      </w:r>
    </w:p>
    <w:p>
      <w:pPr>
        <w:spacing w:line="300" w:lineRule="auto"/>
        <w:ind w:firstLine="440" w:firstLineChars="200"/>
      </w:pPr>
      <w:r>
        <w:rPr>
          <w:rFonts w:hint="eastAsia"/>
        </w:rPr>
        <w:t>传　　真：　　</w:t>
      </w:r>
      <w:r>
        <w:t xml:space="preserve">                    </w:t>
      </w:r>
      <w:r>
        <w:rPr>
          <w:rFonts w:hint="eastAsia"/>
        </w:rPr>
        <w:t>传　　真：</w:t>
      </w:r>
    </w:p>
    <w:p>
      <w:pPr>
        <w:spacing w:line="300" w:lineRule="auto"/>
        <w:ind w:firstLine="440" w:firstLineChars="200"/>
      </w:pPr>
      <w:r>
        <w:rPr>
          <w:rFonts w:hint="eastAsia"/>
        </w:rPr>
        <w:t>电子邮箱：</w:t>
      </w:r>
      <w:r>
        <w:t xml:space="preserve">                        </w:t>
      </w:r>
      <w:r>
        <w:rPr>
          <w:rFonts w:hint="eastAsia"/>
        </w:rPr>
        <w:t>电子邮箱：　　　　</w:t>
      </w:r>
    </w:p>
    <w:p>
      <w:pPr>
        <w:spacing w:line="300" w:lineRule="auto"/>
        <w:ind w:firstLine="440" w:firstLineChars="200"/>
      </w:pPr>
      <w:r>
        <w:rPr>
          <w:rFonts w:hint="eastAsia"/>
        </w:rPr>
        <w:t>开户银行：　　</w:t>
      </w:r>
      <w:r>
        <w:t xml:space="preserve">                    </w:t>
      </w:r>
      <w:r>
        <w:rPr>
          <w:rFonts w:hint="eastAsia"/>
        </w:rPr>
        <w:t>开户银行：　　　　</w:t>
      </w:r>
    </w:p>
    <w:p>
      <w:pPr>
        <w:spacing w:line="300" w:lineRule="auto"/>
        <w:ind w:firstLine="440" w:firstLineChars="200"/>
      </w:pPr>
      <w:r>
        <w:rPr>
          <w:rFonts w:hint="eastAsia"/>
        </w:rPr>
        <w:t>账　　号：　　</w:t>
      </w:r>
      <w:r>
        <w:t xml:space="preserve">                    </w:t>
      </w:r>
      <w:r>
        <w:rPr>
          <w:rFonts w:hint="eastAsia"/>
        </w:rPr>
        <w:t>账　　号：　　　　　</w:t>
      </w:r>
    </w:p>
    <w:p/>
    <w:p>
      <w:pPr>
        <w:spacing w:line="300" w:lineRule="auto"/>
      </w:pPr>
      <w:r>
        <w:rPr>
          <w:rFonts w:hint="eastAsia"/>
        </w:rPr>
        <w:t>合同订立时间：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300" w:lineRule="auto"/>
      </w:pPr>
    </w:p>
    <w:p>
      <w:pPr>
        <w:widowControl/>
        <w:autoSpaceDE/>
        <w:autoSpaceDN/>
      </w:pPr>
      <w:r>
        <w:rPr>
          <w:rFonts w:hint="eastAsia"/>
        </w:rPr>
        <w:t>合同订立地点：</w:t>
      </w:r>
      <w:r>
        <w:rPr>
          <w:rFonts w:hint="eastAsia"/>
          <w:u w:val="single"/>
        </w:rPr>
        <w:t xml:space="preserve">                       </w:t>
      </w:r>
    </w:p>
    <w:p>
      <w:pPr>
        <w:sectPr>
          <w:pgSz w:w="11910" w:h="16840"/>
          <w:pgMar w:top="1580" w:right="580" w:bottom="1220" w:left="920" w:header="0" w:footer="950" w:gutter="0"/>
          <w:cols w:space="720" w:num="1"/>
        </w:sectPr>
      </w:pPr>
    </w:p>
    <w:p>
      <w:pPr>
        <w:pStyle w:val="10"/>
        <w:spacing w:before="12"/>
        <w:rPr>
          <w:b/>
          <w:sz w:val="14"/>
        </w:rPr>
      </w:pPr>
    </w:p>
    <w:p>
      <w:pPr>
        <w:pStyle w:val="3"/>
        <w:jc w:val="center"/>
        <w:rPr>
          <w:b w:val="0"/>
        </w:rPr>
      </w:pPr>
      <w:bookmarkStart w:id="128" w:name="_bookmark79"/>
      <w:bookmarkEnd w:id="128"/>
      <w:bookmarkStart w:id="129" w:name="_Toc37926052"/>
      <w:r>
        <w:rPr>
          <w:rFonts w:hint="eastAsia"/>
          <w:b w:val="0"/>
        </w:rPr>
        <w:t>第一节</w:t>
      </w:r>
      <w:r>
        <w:rPr>
          <w:rFonts w:hint="eastAsia"/>
          <w:b w:val="0"/>
        </w:rPr>
        <w:tab/>
      </w:r>
      <w:r>
        <w:rPr>
          <w:rFonts w:hint="eastAsia"/>
          <w:b w:val="0"/>
        </w:rPr>
        <w:t>通用合同条款</w:t>
      </w:r>
      <w:bookmarkEnd w:id="129"/>
    </w:p>
    <w:p>
      <w:pPr>
        <w:pStyle w:val="35"/>
        <w:numPr>
          <w:ilvl w:val="0"/>
          <w:numId w:val="23"/>
        </w:numPr>
        <w:tabs>
          <w:tab w:val="left" w:pos="641"/>
        </w:tabs>
        <w:spacing w:before="47"/>
        <w:ind w:hanging="429"/>
        <w:outlineLvl w:val="2"/>
        <w:rPr>
          <w:rFonts w:ascii="黑体" w:eastAsia="黑体"/>
          <w:b/>
          <w:sz w:val="32"/>
        </w:rPr>
      </w:pPr>
      <w:bookmarkStart w:id="130" w:name="_bookmark80"/>
      <w:bookmarkEnd w:id="130"/>
      <w:bookmarkStart w:id="131" w:name="_Toc37926053"/>
      <w:r>
        <w:rPr>
          <w:rFonts w:hint="eastAsia" w:ascii="黑体" w:eastAsia="黑体"/>
          <w:b/>
          <w:sz w:val="32"/>
        </w:rPr>
        <w:t>一般约定</w:t>
      </w:r>
      <w:bookmarkEnd w:id="131"/>
    </w:p>
    <w:p>
      <w:pPr>
        <w:pStyle w:val="10"/>
        <w:spacing w:before="2"/>
        <w:rPr>
          <w:rFonts w:ascii="黑体"/>
          <w:b/>
          <w:sz w:val="39"/>
        </w:rPr>
      </w:pPr>
    </w:p>
    <w:p>
      <w:pPr>
        <w:tabs>
          <w:tab w:val="left" w:pos="840"/>
        </w:tabs>
        <w:rPr>
          <w:rFonts w:ascii="Times New Roman" w:eastAsia="Times New Roman"/>
          <w:sz w:val="28"/>
        </w:rPr>
      </w:pPr>
      <w:bookmarkStart w:id="132" w:name="_bookmark81"/>
      <w:bookmarkEnd w:id="132"/>
      <w:r>
        <w:rPr>
          <w:rFonts w:hint="eastAsia" w:ascii="黑体" w:eastAsia="黑体"/>
          <w:sz w:val="28"/>
        </w:rPr>
        <w:t>1.1词语定义</w:t>
      </w:r>
    </w:p>
    <w:p>
      <w:pPr>
        <w:pStyle w:val="10"/>
        <w:spacing w:before="2"/>
        <w:rPr>
          <w:rFonts w:ascii="黑体"/>
          <w:sz w:val="38"/>
        </w:rPr>
      </w:pPr>
    </w:p>
    <w:p>
      <w:pPr>
        <w:pStyle w:val="10"/>
        <w:ind w:left="633"/>
      </w:pPr>
      <w:r>
        <w:t>通用合同条款、专用合同条款中的下列词语应具有本款所赋予的含义。</w:t>
      </w:r>
    </w:p>
    <w:p>
      <w:pPr>
        <w:pStyle w:val="35"/>
        <w:numPr>
          <w:ilvl w:val="2"/>
          <w:numId w:val="23"/>
        </w:numPr>
        <w:tabs>
          <w:tab w:val="left" w:pos="1152"/>
        </w:tabs>
        <w:spacing w:before="122"/>
        <w:ind w:hanging="526"/>
        <w:rPr>
          <w:sz w:val="21"/>
        </w:rPr>
      </w:pPr>
      <w:r>
        <w:rPr>
          <w:sz w:val="21"/>
        </w:rPr>
        <w:t>合同</w:t>
      </w:r>
    </w:p>
    <w:p>
      <w:pPr>
        <w:pStyle w:val="35"/>
        <w:numPr>
          <w:ilvl w:val="3"/>
          <w:numId w:val="23"/>
        </w:numPr>
        <w:tabs>
          <w:tab w:val="left" w:pos="1529"/>
        </w:tabs>
        <w:spacing w:before="120" w:line="417" w:lineRule="auto"/>
        <w:ind w:right="443" w:firstLine="631"/>
        <w:rPr>
          <w:sz w:val="21"/>
        </w:rPr>
      </w:pPr>
      <w:r>
        <w:rPr>
          <w:spacing w:val="-6"/>
          <w:sz w:val="21"/>
        </w:rPr>
        <w:t>合同文件</w:t>
      </w:r>
      <w:r>
        <w:rPr>
          <w:spacing w:val="-3"/>
          <w:sz w:val="21"/>
        </w:rPr>
        <w:t>（或称合同</w:t>
      </w:r>
      <w:r>
        <w:rPr>
          <w:spacing w:val="-106"/>
          <w:sz w:val="21"/>
        </w:rPr>
        <w:t>）</w:t>
      </w:r>
      <w:r>
        <w:rPr>
          <w:spacing w:val="-9"/>
          <w:sz w:val="21"/>
        </w:rPr>
        <w:t>：指合同协议书、中标通知书、投标函及投标函附录、专用合同条款、</w:t>
      </w:r>
      <w:r>
        <w:rPr>
          <w:spacing w:val="-5"/>
          <w:sz w:val="21"/>
        </w:rPr>
        <w:t>通用合同条款、发包人要求、价格清单，以及其他构成合同组成部分的文件。</w:t>
      </w:r>
    </w:p>
    <w:p>
      <w:pPr>
        <w:pStyle w:val="35"/>
        <w:numPr>
          <w:ilvl w:val="3"/>
          <w:numId w:val="23"/>
        </w:numPr>
        <w:tabs>
          <w:tab w:val="left" w:pos="1529"/>
        </w:tabs>
        <w:spacing w:line="269" w:lineRule="exact"/>
        <w:ind w:left="1528" w:hanging="685"/>
        <w:rPr>
          <w:sz w:val="21"/>
        </w:rPr>
      </w:pPr>
      <w:r>
        <w:rPr>
          <w:spacing w:val="-9"/>
          <w:sz w:val="21"/>
        </w:rPr>
        <w:t xml:space="preserve">合同协议书：指第 </w:t>
      </w:r>
      <w:r>
        <w:rPr>
          <w:rFonts w:ascii="Times New Roman" w:eastAsia="Times New Roman"/>
          <w:sz w:val="21"/>
        </w:rPr>
        <w:t xml:space="preserve">1.5 </w:t>
      </w:r>
      <w:r>
        <w:rPr>
          <w:spacing w:val="-3"/>
          <w:sz w:val="21"/>
        </w:rPr>
        <w:t>款所指的合同协议书。</w:t>
      </w:r>
    </w:p>
    <w:p>
      <w:pPr>
        <w:pStyle w:val="10"/>
        <w:spacing w:before="7"/>
        <w:rPr>
          <w:sz w:val="15"/>
        </w:rPr>
      </w:pPr>
    </w:p>
    <w:p>
      <w:pPr>
        <w:pStyle w:val="35"/>
        <w:numPr>
          <w:ilvl w:val="3"/>
          <w:numId w:val="23"/>
        </w:numPr>
        <w:tabs>
          <w:tab w:val="left" w:pos="1529"/>
        </w:tabs>
        <w:spacing w:line="417" w:lineRule="auto"/>
        <w:ind w:right="546" w:firstLine="631"/>
        <w:rPr>
          <w:sz w:val="21"/>
        </w:rPr>
      </w:pPr>
      <w:r>
        <w:rPr>
          <w:spacing w:val="-9"/>
          <w:sz w:val="21"/>
        </w:rPr>
        <w:t>中标通知书：指发包人通知承包人中标的函件。中标通知书随附的澄清、说明、补正事项纪</w:t>
      </w:r>
      <w:r>
        <w:rPr>
          <w:spacing w:val="-5"/>
          <w:sz w:val="21"/>
        </w:rPr>
        <w:t>要等，是中标通知书的组成部分。</w:t>
      </w:r>
    </w:p>
    <w:p>
      <w:pPr>
        <w:pStyle w:val="35"/>
        <w:numPr>
          <w:ilvl w:val="3"/>
          <w:numId w:val="23"/>
        </w:numPr>
        <w:tabs>
          <w:tab w:val="left" w:pos="1529"/>
        </w:tabs>
        <w:spacing w:line="269" w:lineRule="exact"/>
        <w:ind w:left="1528" w:hanging="685"/>
        <w:rPr>
          <w:sz w:val="21"/>
        </w:rPr>
      </w:pPr>
      <w:r>
        <w:rPr>
          <w:spacing w:val="-3"/>
          <w:sz w:val="21"/>
        </w:rPr>
        <w:t>投标函：指构成合同文件组成部分的由承包人填写并签署的投标函。</w:t>
      </w:r>
    </w:p>
    <w:p>
      <w:pPr>
        <w:pStyle w:val="10"/>
        <w:spacing w:before="7"/>
        <w:rPr>
          <w:sz w:val="15"/>
        </w:rPr>
      </w:pPr>
    </w:p>
    <w:p>
      <w:pPr>
        <w:pStyle w:val="35"/>
        <w:numPr>
          <w:ilvl w:val="3"/>
          <w:numId w:val="23"/>
        </w:numPr>
        <w:tabs>
          <w:tab w:val="left" w:pos="1529"/>
        </w:tabs>
        <w:ind w:left="1528" w:hanging="685"/>
        <w:rPr>
          <w:sz w:val="21"/>
        </w:rPr>
      </w:pPr>
      <w:r>
        <w:rPr>
          <w:spacing w:val="-3"/>
          <w:sz w:val="21"/>
        </w:rPr>
        <w:t>投标函附录：指附在投标函后构成合同文件的投标函附录。</w:t>
      </w:r>
    </w:p>
    <w:p>
      <w:pPr>
        <w:pStyle w:val="10"/>
        <w:spacing w:before="6"/>
        <w:rPr>
          <w:sz w:val="15"/>
        </w:rPr>
      </w:pPr>
    </w:p>
    <w:p>
      <w:pPr>
        <w:pStyle w:val="35"/>
        <w:numPr>
          <w:ilvl w:val="3"/>
          <w:numId w:val="23"/>
        </w:numPr>
        <w:tabs>
          <w:tab w:val="left" w:pos="1529"/>
        </w:tabs>
        <w:spacing w:before="1" w:line="417" w:lineRule="auto"/>
        <w:ind w:right="546" w:firstLine="631"/>
        <w:rPr>
          <w:sz w:val="21"/>
        </w:rPr>
      </w:pPr>
      <w:r>
        <w:rPr>
          <w:spacing w:val="-9"/>
          <w:sz w:val="21"/>
        </w:rPr>
        <w:t>发包人要求：指构成合同文件组成部分的名为发包人要求的文件，包括招标项目的目的、范</w:t>
      </w:r>
      <w:r>
        <w:rPr>
          <w:spacing w:val="-5"/>
          <w:sz w:val="21"/>
        </w:rPr>
        <w:t>围、设计与其他技术标准和要求，以及合同双方当事人约定对其所作的修改或补充。</w:t>
      </w:r>
    </w:p>
    <w:p>
      <w:pPr>
        <w:pStyle w:val="35"/>
        <w:numPr>
          <w:ilvl w:val="3"/>
          <w:numId w:val="23"/>
        </w:numPr>
        <w:tabs>
          <w:tab w:val="left" w:pos="1534"/>
        </w:tabs>
        <w:spacing w:line="269" w:lineRule="exact"/>
        <w:ind w:left="1533" w:hanging="690"/>
        <w:rPr>
          <w:sz w:val="21"/>
        </w:rPr>
      </w:pPr>
      <w:r>
        <w:rPr>
          <w:sz w:val="21"/>
        </w:rPr>
        <w:t>价格清单：指构成合同文件组成部分的由承包人按规定的格式和要求填写并标明价格的清</w:t>
      </w:r>
    </w:p>
    <w:p>
      <w:pPr>
        <w:pStyle w:val="10"/>
        <w:spacing w:before="6"/>
        <w:rPr>
          <w:sz w:val="15"/>
        </w:rPr>
      </w:pPr>
    </w:p>
    <w:p>
      <w:pPr>
        <w:pStyle w:val="10"/>
        <w:ind w:left="212"/>
      </w:pPr>
      <w:r>
        <w:t>单。</w:t>
      </w:r>
    </w:p>
    <w:p>
      <w:pPr>
        <w:pStyle w:val="10"/>
        <w:spacing w:before="7"/>
        <w:rPr>
          <w:sz w:val="15"/>
        </w:rPr>
      </w:pPr>
    </w:p>
    <w:p>
      <w:pPr>
        <w:pStyle w:val="35"/>
        <w:numPr>
          <w:ilvl w:val="3"/>
          <w:numId w:val="23"/>
        </w:numPr>
        <w:tabs>
          <w:tab w:val="left" w:pos="1529"/>
        </w:tabs>
        <w:ind w:left="1528" w:hanging="685"/>
        <w:rPr>
          <w:sz w:val="21"/>
        </w:rPr>
      </w:pPr>
      <w:r>
        <w:rPr>
          <w:spacing w:val="-3"/>
          <w:sz w:val="21"/>
        </w:rPr>
        <w:t>其他合同文件：指经合同双方当事人确认构成合同文件的其他文件。</w:t>
      </w:r>
    </w:p>
    <w:p>
      <w:pPr>
        <w:pStyle w:val="35"/>
        <w:numPr>
          <w:ilvl w:val="2"/>
          <w:numId w:val="23"/>
        </w:numPr>
        <w:tabs>
          <w:tab w:val="left" w:pos="1152"/>
        </w:tabs>
        <w:spacing w:before="123"/>
        <w:ind w:hanging="526"/>
        <w:rPr>
          <w:sz w:val="21"/>
        </w:rPr>
      </w:pPr>
      <w:r>
        <w:rPr>
          <w:spacing w:val="-3"/>
          <w:sz w:val="21"/>
        </w:rPr>
        <w:t>合同当事人和人员</w:t>
      </w:r>
    </w:p>
    <w:p>
      <w:pPr>
        <w:pStyle w:val="35"/>
        <w:numPr>
          <w:ilvl w:val="3"/>
          <w:numId w:val="23"/>
        </w:numPr>
        <w:tabs>
          <w:tab w:val="left" w:pos="1529"/>
        </w:tabs>
        <w:spacing w:before="119"/>
        <w:ind w:left="1528" w:hanging="685"/>
        <w:rPr>
          <w:sz w:val="21"/>
        </w:rPr>
      </w:pPr>
      <w:r>
        <w:rPr>
          <w:spacing w:val="-3"/>
          <w:sz w:val="21"/>
        </w:rPr>
        <w:t>合同当事人：指发包人和</w:t>
      </w:r>
      <w:r>
        <w:rPr>
          <w:sz w:val="21"/>
        </w:rPr>
        <w:t>（</w:t>
      </w:r>
      <w:r>
        <w:rPr>
          <w:spacing w:val="-3"/>
          <w:sz w:val="21"/>
        </w:rPr>
        <w:t>或</w:t>
      </w:r>
      <w:r>
        <w:rPr>
          <w:sz w:val="21"/>
        </w:rPr>
        <w:t>）</w:t>
      </w:r>
      <w:r>
        <w:rPr>
          <w:spacing w:val="-3"/>
          <w:sz w:val="21"/>
        </w:rPr>
        <w:t>承包人。</w:t>
      </w:r>
    </w:p>
    <w:p>
      <w:pPr>
        <w:pStyle w:val="10"/>
        <w:spacing w:before="7"/>
        <w:rPr>
          <w:sz w:val="15"/>
        </w:rPr>
      </w:pPr>
    </w:p>
    <w:p>
      <w:pPr>
        <w:pStyle w:val="35"/>
        <w:numPr>
          <w:ilvl w:val="3"/>
          <w:numId w:val="23"/>
        </w:numPr>
        <w:tabs>
          <w:tab w:val="left" w:pos="1529"/>
        </w:tabs>
        <w:ind w:left="1528" w:hanging="685"/>
        <w:rPr>
          <w:sz w:val="21"/>
        </w:rPr>
      </w:pPr>
      <w:r>
        <w:rPr>
          <w:spacing w:val="-3"/>
          <w:sz w:val="21"/>
        </w:rPr>
        <w:t>发包人：指专用合同条款中指明并与承包人在合同协议书中签字的当事人。</w:t>
      </w:r>
    </w:p>
    <w:p>
      <w:pPr>
        <w:pStyle w:val="10"/>
        <w:spacing w:before="7"/>
        <w:rPr>
          <w:sz w:val="15"/>
        </w:rPr>
      </w:pPr>
    </w:p>
    <w:p>
      <w:pPr>
        <w:pStyle w:val="35"/>
        <w:numPr>
          <w:ilvl w:val="3"/>
          <w:numId w:val="23"/>
        </w:numPr>
        <w:tabs>
          <w:tab w:val="left" w:pos="1529"/>
        </w:tabs>
        <w:ind w:left="1528" w:hanging="685"/>
        <w:rPr>
          <w:sz w:val="21"/>
        </w:rPr>
      </w:pPr>
      <w:r>
        <w:rPr>
          <w:spacing w:val="-3"/>
          <w:sz w:val="21"/>
        </w:rPr>
        <w:t>承包人：指与发包人签订合同协议书的当事人。</w:t>
      </w:r>
    </w:p>
    <w:p>
      <w:pPr>
        <w:pStyle w:val="10"/>
        <w:spacing w:before="6"/>
        <w:rPr>
          <w:sz w:val="15"/>
        </w:rPr>
      </w:pPr>
    </w:p>
    <w:p>
      <w:pPr>
        <w:pStyle w:val="35"/>
        <w:numPr>
          <w:ilvl w:val="3"/>
          <w:numId w:val="23"/>
        </w:numPr>
        <w:tabs>
          <w:tab w:val="left" w:pos="1529"/>
        </w:tabs>
        <w:spacing w:before="1"/>
        <w:ind w:left="1528" w:hanging="685"/>
        <w:rPr>
          <w:sz w:val="21"/>
        </w:rPr>
      </w:pPr>
      <w:r>
        <w:rPr>
          <w:spacing w:val="-3"/>
          <w:sz w:val="21"/>
        </w:rPr>
        <w:t>承包人项目经理：指承包人指定代表承包人履行义务的负责人。</w:t>
      </w:r>
    </w:p>
    <w:p>
      <w:pPr>
        <w:pStyle w:val="10"/>
        <w:spacing w:before="6"/>
        <w:rPr>
          <w:sz w:val="15"/>
        </w:rPr>
      </w:pPr>
    </w:p>
    <w:p>
      <w:pPr>
        <w:pStyle w:val="35"/>
        <w:numPr>
          <w:ilvl w:val="3"/>
          <w:numId w:val="23"/>
        </w:numPr>
        <w:tabs>
          <w:tab w:val="left" w:pos="1529"/>
        </w:tabs>
        <w:ind w:left="1528" w:hanging="685"/>
        <w:rPr>
          <w:sz w:val="21"/>
        </w:rPr>
      </w:pPr>
      <w:r>
        <w:rPr>
          <w:spacing w:val="-3"/>
          <w:sz w:val="21"/>
        </w:rPr>
        <w:t>设计经理：指承包人指定负责组织指导协调设计工作并具有相应资格的人员。</w:t>
      </w:r>
    </w:p>
    <w:p>
      <w:pPr>
        <w:pStyle w:val="10"/>
        <w:spacing w:before="7"/>
        <w:rPr>
          <w:sz w:val="15"/>
        </w:rPr>
      </w:pPr>
    </w:p>
    <w:p>
      <w:pPr>
        <w:pStyle w:val="35"/>
        <w:numPr>
          <w:ilvl w:val="3"/>
          <w:numId w:val="23"/>
        </w:numPr>
        <w:tabs>
          <w:tab w:val="left" w:pos="1476"/>
        </w:tabs>
        <w:ind w:left="1475"/>
        <w:rPr>
          <w:sz w:val="21"/>
        </w:rPr>
      </w:pPr>
      <w:r>
        <w:rPr>
          <w:spacing w:val="-3"/>
          <w:sz w:val="21"/>
        </w:rPr>
        <w:t>施工负责人：指承包人指定负责组织指导协调施工工作并具有相应资格的人员。</w:t>
      </w:r>
    </w:p>
    <w:p>
      <w:pPr>
        <w:pStyle w:val="10"/>
        <w:spacing w:before="7"/>
        <w:rPr>
          <w:sz w:val="15"/>
        </w:rPr>
      </w:pPr>
    </w:p>
    <w:p>
      <w:pPr>
        <w:pStyle w:val="35"/>
        <w:numPr>
          <w:ilvl w:val="3"/>
          <w:numId w:val="23"/>
        </w:numPr>
        <w:tabs>
          <w:tab w:val="left" w:pos="1529"/>
        </w:tabs>
        <w:ind w:left="1528" w:hanging="685"/>
        <w:rPr>
          <w:sz w:val="21"/>
        </w:rPr>
      </w:pPr>
      <w:r>
        <w:rPr>
          <w:spacing w:val="-3"/>
          <w:sz w:val="21"/>
        </w:rPr>
        <w:t>采购负责人：指承包人指定负责组织指导协调采购工作的人员。</w:t>
      </w:r>
    </w:p>
    <w:p>
      <w:pPr>
        <w:pStyle w:val="10"/>
        <w:spacing w:before="7"/>
        <w:rPr>
          <w:sz w:val="15"/>
        </w:rPr>
      </w:pPr>
    </w:p>
    <w:p>
      <w:pPr>
        <w:pStyle w:val="35"/>
        <w:numPr>
          <w:ilvl w:val="3"/>
          <w:numId w:val="23"/>
        </w:numPr>
        <w:tabs>
          <w:tab w:val="left" w:pos="1529"/>
        </w:tabs>
        <w:ind w:left="1528" w:hanging="685"/>
        <w:rPr>
          <w:sz w:val="21"/>
        </w:rPr>
      </w:pPr>
      <w:r>
        <w:rPr>
          <w:spacing w:val="-3"/>
          <w:sz w:val="21"/>
        </w:rPr>
        <w:t>分包人：指从承包人处分包合同中某一部分工作，并与其签订分包合同的分包人。</w:t>
      </w:r>
    </w:p>
    <w:p>
      <w:pPr>
        <w:pStyle w:val="10"/>
        <w:spacing w:before="7"/>
        <w:rPr>
          <w:sz w:val="15"/>
        </w:rPr>
      </w:pPr>
    </w:p>
    <w:p>
      <w:pPr>
        <w:pStyle w:val="35"/>
        <w:numPr>
          <w:ilvl w:val="3"/>
          <w:numId w:val="23"/>
        </w:numPr>
        <w:tabs>
          <w:tab w:val="left" w:pos="1529"/>
        </w:tabs>
        <w:spacing w:line="417" w:lineRule="auto"/>
        <w:ind w:right="440" w:firstLine="631"/>
        <w:rPr>
          <w:sz w:val="21"/>
        </w:rPr>
      </w:pPr>
      <w:r>
        <w:rPr>
          <w:spacing w:val="-17"/>
          <w:sz w:val="21"/>
        </w:rPr>
        <w:t>监理人：指在专用合同条款中指明的，受发包人委托对合同履行实施管理的法人或其他组织。</w:t>
      </w:r>
      <w:r>
        <w:rPr>
          <w:spacing w:val="-7"/>
          <w:sz w:val="21"/>
        </w:rPr>
        <w:t>属于国家强制监理的，监理人应当具有相应的监理资质。</w:t>
      </w:r>
    </w:p>
    <w:p>
      <w:pPr>
        <w:pStyle w:val="35"/>
        <w:numPr>
          <w:ilvl w:val="3"/>
          <w:numId w:val="23"/>
        </w:numPr>
        <w:tabs>
          <w:tab w:val="left" w:pos="1582"/>
        </w:tabs>
        <w:spacing w:line="269" w:lineRule="exact"/>
        <w:ind w:left="1581" w:hanging="738"/>
        <w:rPr>
          <w:sz w:val="21"/>
        </w:rPr>
      </w:pPr>
      <w:r>
        <w:rPr>
          <w:spacing w:val="-3"/>
          <w:sz w:val="21"/>
        </w:rPr>
        <w:t>总监理工程师：指由监理人委派对合同履行实施管理的全权负责人。</w:t>
      </w:r>
    </w:p>
    <w:p>
      <w:pPr>
        <w:pStyle w:val="35"/>
        <w:numPr>
          <w:ilvl w:val="3"/>
          <w:numId w:val="23"/>
        </w:numPr>
        <w:tabs>
          <w:tab w:val="left" w:pos="1152"/>
        </w:tabs>
        <w:spacing w:before="59"/>
        <w:ind w:left="1528" w:hanging="685"/>
        <w:rPr>
          <w:sz w:val="21"/>
        </w:rPr>
      </w:pPr>
      <w:r>
        <w:rPr>
          <w:spacing w:val="-3"/>
          <w:sz w:val="21"/>
        </w:rPr>
        <w:t>工程和设备工程：指永久工程和</w:t>
      </w:r>
      <w:r>
        <w:rPr>
          <w:sz w:val="21"/>
        </w:rPr>
        <w:t>（</w:t>
      </w:r>
      <w:r>
        <w:rPr>
          <w:spacing w:val="-3"/>
          <w:sz w:val="21"/>
        </w:rPr>
        <w:t>或</w:t>
      </w:r>
      <w:r>
        <w:rPr>
          <w:sz w:val="21"/>
        </w:rPr>
        <w:t>）</w:t>
      </w:r>
      <w:r>
        <w:rPr>
          <w:spacing w:val="-3"/>
          <w:sz w:val="21"/>
        </w:rPr>
        <w:t>临时工程。</w:t>
      </w:r>
    </w:p>
    <w:p>
      <w:pPr>
        <w:pStyle w:val="10"/>
        <w:spacing w:before="7"/>
        <w:rPr>
          <w:sz w:val="15"/>
        </w:rPr>
      </w:pPr>
    </w:p>
    <w:p>
      <w:pPr>
        <w:pStyle w:val="35"/>
        <w:numPr>
          <w:ilvl w:val="3"/>
          <w:numId w:val="23"/>
        </w:numPr>
        <w:tabs>
          <w:tab w:val="left" w:pos="1529"/>
        </w:tabs>
        <w:ind w:left="1528" w:hanging="685"/>
        <w:rPr>
          <w:sz w:val="21"/>
        </w:rPr>
      </w:pPr>
      <w:r>
        <w:rPr>
          <w:spacing w:val="-3"/>
          <w:sz w:val="21"/>
        </w:rPr>
        <w:t>永久工程：指按合同约定建造并移交给发包人的工程，包括工程设备。</w:t>
      </w:r>
    </w:p>
    <w:p>
      <w:pPr>
        <w:pStyle w:val="10"/>
        <w:spacing w:before="7"/>
        <w:rPr>
          <w:sz w:val="15"/>
        </w:rPr>
      </w:pPr>
    </w:p>
    <w:p>
      <w:pPr>
        <w:pStyle w:val="35"/>
        <w:numPr>
          <w:ilvl w:val="3"/>
          <w:numId w:val="23"/>
        </w:numPr>
        <w:tabs>
          <w:tab w:val="left" w:pos="1529"/>
        </w:tabs>
        <w:ind w:left="1528" w:hanging="685"/>
        <w:rPr>
          <w:sz w:val="21"/>
        </w:rPr>
      </w:pPr>
      <w:r>
        <w:rPr>
          <w:spacing w:val="-3"/>
          <w:sz w:val="21"/>
        </w:rPr>
        <w:t>临时工程：指为完成合同约定的永久工程所修建的各类临时性工程，不包括施工设备。</w:t>
      </w:r>
    </w:p>
    <w:p>
      <w:pPr>
        <w:pStyle w:val="10"/>
        <w:spacing w:before="7"/>
        <w:rPr>
          <w:sz w:val="15"/>
        </w:rPr>
      </w:pPr>
    </w:p>
    <w:p>
      <w:pPr>
        <w:pStyle w:val="35"/>
        <w:numPr>
          <w:ilvl w:val="3"/>
          <w:numId w:val="23"/>
        </w:numPr>
        <w:tabs>
          <w:tab w:val="left" w:pos="1529"/>
        </w:tabs>
        <w:ind w:left="1528" w:hanging="685"/>
        <w:rPr>
          <w:sz w:val="21"/>
        </w:rPr>
      </w:pPr>
      <w:r>
        <w:rPr>
          <w:spacing w:val="-3"/>
          <w:sz w:val="21"/>
        </w:rPr>
        <w:t>区段工程：指专用合同条款中指明特定范围的能单独接收并使用的永久工程。</w:t>
      </w:r>
    </w:p>
    <w:p>
      <w:pPr>
        <w:pStyle w:val="10"/>
        <w:spacing w:before="7"/>
        <w:rPr>
          <w:sz w:val="15"/>
        </w:rPr>
      </w:pPr>
    </w:p>
    <w:p>
      <w:pPr>
        <w:pStyle w:val="35"/>
        <w:numPr>
          <w:ilvl w:val="3"/>
          <w:numId w:val="23"/>
        </w:numPr>
        <w:tabs>
          <w:tab w:val="left" w:pos="1529"/>
        </w:tabs>
        <w:spacing w:line="417" w:lineRule="auto"/>
        <w:ind w:right="546" w:firstLine="631"/>
        <w:rPr>
          <w:sz w:val="21"/>
        </w:rPr>
      </w:pPr>
      <w:r>
        <w:rPr>
          <w:spacing w:val="-9"/>
          <w:sz w:val="21"/>
        </w:rPr>
        <w:t>工程设备：指构成或计划构成永久工程的机电设备、仪器装置、运载工具及其他类似的设备</w:t>
      </w:r>
      <w:r>
        <w:rPr>
          <w:spacing w:val="-6"/>
          <w:sz w:val="21"/>
        </w:rPr>
        <w:t>和装置。</w:t>
      </w:r>
    </w:p>
    <w:p>
      <w:pPr>
        <w:pStyle w:val="35"/>
        <w:numPr>
          <w:ilvl w:val="3"/>
          <w:numId w:val="23"/>
        </w:numPr>
        <w:tabs>
          <w:tab w:val="left" w:pos="1529"/>
        </w:tabs>
        <w:spacing w:line="417" w:lineRule="auto"/>
        <w:ind w:right="546" w:firstLine="631"/>
        <w:rPr>
          <w:sz w:val="21"/>
        </w:rPr>
      </w:pPr>
      <w:r>
        <w:rPr>
          <w:spacing w:val="-9"/>
          <w:sz w:val="21"/>
        </w:rPr>
        <w:t>施工设备：指为完成合同约定的各项工作所需的设备、器具和其他物品，不包括临时工程和材料。</w:t>
      </w:r>
    </w:p>
    <w:p>
      <w:pPr>
        <w:pStyle w:val="35"/>
        <w:numPr>
          <w:ilvl w:val="3"/>
          <w:numId w:val="23"/>
        </w:numPr>
        <w:tabs>
          <w:tab w:val="left" w:pos="1529"/>
        </w:tabs>
        <w:spacing w:line="269" w:lineRule="exact"/>
        <w:ind w:left="1528" w:hanging="685"/>
        <w:rPr>
          <w:sz w:val="21"/>
        </w:rPr>
      </w:pPr>
      <w:r>
        <w:rPr>
          <w:spacing w:val="-3"/>
          <w:sz w:val="21"/>
        </w:rPr>
        <w:t>临时设施：指为完成合同约定的各项工作所服务的临时性生产和生活设施。</w:t>
      </w:r>
    </w:p>
    <w:p>
      <w:pPr>
        <w:pStyle w:val="10"/>
        <w:spacing w:before="7"/>
        <w:rPr>
          <w:sz w:val="15"/>
        </w:rPr>
      </w:pPr>
    </w:p>
    <w:p>
      <w:pPr>
        <w:pStyle w:val="35"/>
        <w:numPr>
          <w:ilvl w:val="3"/>
          <w:numId w:val="23"/>
        </w:numPr>
        <w:tabs>
          <w:tab w:val="left" w:pos="1529"/>
        </w:tabs>
        <w:ind w:left="1528" w:hanging="685"/>
        <w:rPr>
          <w:sz w:val="21"/>
        </w:rPr>
      </w:pPr>
      <w:r>
        <w:rPr>
          <w:spacing w:val="-3"/>
          <w:sz w:val="21"/>
        </w:rPr>
        <w:t>承包人设备：指承包人为工程实施提供的施工设备。</w:t>
      </w:r>
    </w:p>
    <w:p>
      <w:pPr>
        <w:pStyle w:val="10"/>
        <w:spacing w:before="6"/>
        <w:rPr>
          <w:sz w:val="15"/>
        </w:rPr>
      </w:pPr>
    </w:p>
    <w:p>
      <w:pPr>
        <w:pStyle w:val="35"/>
        <w:numPr>
          <w:ilvl w:val="3"/>
          <w:numId w:val="23"/>
        </w:numPr>
        <w:tabs>
          <w:tab w:val="left" w:pos="1531"/>
        </w:tabs>
        <w:spacing w:line="417" w:lineRule="auto"/>
        <w:ind w:right="549" w:firstLine="631"/>
        <w:rPr>
          <w:sz w:val="21"/>
        </w:rPr>
      </w:pPr>
      <w:r>
        <w:rPr>
          <w:spacing w:val="-2"/>
          <w:sz w:val="21"/>
        </w:rPr>
        <w:t>施工场地</w:t>
      </w:r>
      <w:r>
        <w:rPr>
          <w:sz w:val="21"/>
        </w:rPr>
        <w:t>（</w:t>
      </w:r>
      <w:r>
        <w:rPr>
          <w:spacing w:val="-3"/>
          <w:sz w:val="21"/>
        </w:rPr>
        <w:t>或称工地、现场</w:t>
      </w:r>
      <w:r>
        <w:rPr>
          <w:spacing w:val="-104"/>
          <w:sz w:val="21"/>
        </w:rPr>
        <w:t>）</w:t>
      </w:r>
      <w:r>
        <w:rPr>
          <w:spacing w:val="-3"/>
          <w:sz w:val="21"/>
        </w:rPr>
        <w:t>：指用于合同工程施工的场所，以及在合同中指定作为施工场地组成部分的其他场所，包括永久占地和临时占地。</w:t>
      </w:r>
    </w:p>
    <w:p>
      <w:pPr>
        <w:pStyle w:val="35"/>
        <w:numPr>
          <w:ilvl w:val="3"/>
          <w:numId w:val="23"/>
        </w:numPr>
        <w:tabs>
          <w:tab w:val="left" w:pos="1634"/>
        </w:tabs>
        <w:spacing w:line="269" w:lineRule="exact"/>
        <w:ind w:left="1634" w:hanging="790"/>
        <w:rPr>
          <w:sz w:val="21"/>
        </w:rPr>
      </w:pPr>
      <w:r>
        <w:rPr>
          <w:spacing w:val="-3"/>
          <w:sz w:val="21"/>
        </w:rPr>
        <w:t>永久占地：指专用合同条款中指明为实施合同工程需永久占用的土地。</w:t>
      </w:r>
    </w:p>
    <w:p>
      <w:pPr>
        <w:pStyle w:val="10"/>
        <w:spacing w:before="7"/>
        <w:rPr>
          <w:sz w:val="15"/>
        </w:rPr>
      </w:pPr>
    </w:p>
    <w:p>
      <w:pPr>
        <w:pStyle w:val="35"/>
        <w:numPr>
          <w:ilvl w:val="3"/>
          <w:numId w:val="23"/>
        </w:numPr>
        <w:tabs>
          <w:tab w:val="left" w:pos="1625"/>
        </w:tabs>
        <w:ind w:left="1624" w:hanging="781"/>
        <w:rPr>
          <w:sz w:val="21"/>
        </w:rPr>
      </w:pPr>
      <w:r>
        <w:rPr>
          <w:spacing w:val="-3"/>
          <w:sz w:val="21"/>
        </w:rPr>
        <w:t>临时占地：指专用合同条款中指明为实施合同工程需临时占用的土地。</w:t>
      </w:r>
    </w:p>
    <w:p>
      <w:pPr>
        <w:pStyle w:val="35"/>
        <w:numPr>
          <w:ilvl w:val="2"/>
          <w:numId w:val="23"/>
        </w:numPr>
        <w:tabs>
          <w:tab w:val="left" w:pos="1152"/>
        </w:tabs>
        <w:spacing w:before="122"/>
        <w:ind w:hanging="526"/>
        <w:rPr>
          <w:sz w:val="21"/>
        </w:rPr>
      </w:pPr>
      <w:r>
        <w:rPr>
          <w:spacing w:val="-3"/>
          <w:sz w:val="21"/>
        </w:rPr>
        <w:t>日期、检验和竣工</w:t>
      </w:r>
    </w:p>
    <w:p>
      <w:pPr>
        <w:pStyle w:val="35"/>
        <w:numPr>
          <w:ilvl w:val="3"/>
          <w:numId w:val="23"/>
        </w:numPr>
        <w:tabs>
          <w:tab w:val="left" w:pos="1529"/>
        </w:tabs>
        <w:spacing w:before="120"/>
        <w:ind w:left="1528" w:hanging="685"/>
        <w:rPr>
          <w:sz w:val="21"/>
        </w:rPr>
      </w:pPr>
      <w:r>
        <w:rPr>
          <w:spacing w:val="-7"/>
          <w:sz w:val="21"/>
        </w:rPr>
        <w:t xml:space="preserve">开始工作通知：指监理人按第 </w:t>
      </w:r>
      <w:r>
        <w:rPr>
          <w:sz w:val="21"/>
        </w:rPr>
        <w:t>11.1</w:t>
      </w:r>
      <w:r>
        <w:rPr>
          <w:spacing w:val="-3"/>
          <w:sz w:val="21"/>
        </w:rPr>
        <w:t xml:space="preserve"> 款通知承包人开始工作的函件。</w:t>
      </w:r>
    </w:p>
    <w:p>
      <w:pPr>
        <w:pStyle w:val="10"/>
        <w:spacing w:before="7"/>
        <w:rPr>
          <w:sz w:val="15"/>
        </w:rPr>
      </w:pPr>
    </w:p>
    <w:p>
      <w:pPr>
        <w:pStyle w:val="35"/>
        <w:numPr>
          <w:ilvl w:val="3"/>
          <w:numId w:val="23"/>
        </w:numPr>
        <w:tabs>
          <w:tab w:val="left" w:pos="1529"/>
        </w:tabs>
        <w:ind w:left="1528" w:hanging="685"/>
        <w:rPr>
          <w:sz w:val="21"/>
        </w:rPr>
      </w:pPr>
      <w:r>
        <w:rPr>
          <w:spacing w:val="-7"/>
          <w:sz w:val="21"/>
        </w:rPr>
        <w:t xml:space="preserve">开始工作日期：指监理人按第 </w:t>
      </w:r>
      <w:r>
        <w:rPr>
          <w:sz w:val="21"/>
        </w:rPr>
        <w:t>11.1</w:t>
      </w:r>
      <w:r>
        <w:rPr>
          <w:spacing w:val="-9"/>
          <w:sz w:val="21"/>
        </w:rPr>
        <w:t xml:space="preserve"> 款发出的开始工作通知中写明的开始工作日期。</w:t>
      </w:r>
    </w:p>
    <w:p>
      <w:pPr>
        <w:pStyle w:val="10"/>
        <w:spacing w:before="7"/>
        <w:rPr>
          <w:sz w:val="15"/>
        </w:rPr>
      </w:pPr>
    </w:p>
    <w:p>
      <w:pPr>
        <w:pStyle w:val="35"/>
        <w:numPr>
          <w:ilvl w:val="3"/>
          <w:numId w:val="23"/>
        </w:numPr>
        <w:tabs>
          <w:tab w:val="left" w:pos="1529"/>
        </w:tabs>
        <w:spacing w:line="417" w:lineRule="auto"/>
        <w:ind w:right="546" w:firstLine="631"/>
        <w:rPr>
          <w:sz w:val="21"/>
        </w:rPr>
      </w:pPr>
      <w:r>
        <w:rPr>
          <w:spacing w:val="-10"/>
          <w:sz w:val="21"/>
        </w:rPr>
        <w:t xml:space="preserve">工期：指承包人在投标函中承诺的完成合同工作所需的期限，包括按第 </w:t>
      </w:r>
      <w:r>
        <w:rPr>
          <w:sz w:val="21"/>
        </w:rPr>
        <w:t>11.3</w:t>
      </w:r>
      <w:r>
        <w:rPr>
          <w:spacing w:val="-24"/>
          <w:sz w:val="21"/>
        </w:rPr>
        <w:t xml:space="preserve"> 款、第 </w:t>
      </w:r>
      <w:r>
        <w:rPr>
          <w:sz w:val="21"/>
        </w:rPr>
        <w:t>11.4</w:t>
      </w:r>
      <w:r>
        <w:rPr>
          <w:spacing w:val="-22"/>
          <w:sz w:val="21"/>
        </w:rPr>
        <w:t xml:space="preserve"> 款</w:t>
      </w:r>
      <w:r>
        <w:rPr>
          <w:spacing w:val="-32"/>
          <w:sz w:val="21"/>
        </w:rPr>
        <w:t xml:space="preserve">和第 </w:t>
      </w:r>
      <w:r>
        <w:rPr>
          <w:sz w:val="21"/>
        </w:rPr>
        <w:t>11.6</w:t>
      </w:r>
      <w:r>
        <w:rPr>
          <w:spacing w:val="-9"/>
          <w:sz w:val="21"/>
        </w:rPr>
        <w:t xml:space="preserve"> 款约定所作的变更。</w:t>
      </w:r>
    </w:p>
    <w:p>
      <w:pPr>
        <w:pStyle w:val="35"/>
        <w:numPr>
          <w:ilvl w:val="3"/>
          <w:numId w:val="23"/>
        </w:numPr>
        <w:tabs>
          <w:tab w:val="left" w:pos="1529"/>
        </w:tabs>
        <w:spacing w:line="417" w:lineRule="auto"/>
        <w:ind w:right="546" w:firstLine="631"/>
        <w:rPr>
          <w:sz w:val="21"/>
        </w:rPr>
      </w:pPr>
      <w:r>
        <w:rPr>
          <w:spacing w:val="-13"/>
          <w:sz w:val="21"/>
        </w:rPr>
        <w:t xml:space="preserve">竣工日期：指第 </w:t>
      </w:r>
      <w:r>
        <w:rPr>
          <w:sz w:val="21"/>
        </w:rPr>
        <w:t>1.1.4.3</w:t>
      </w:r>
      <w:r>
        <w:rPr>
          <w:spacing w:val="-10"/>
          <w:sz w:val="21"/>
        </w:rPr>
        <w:t xml:space="preserve"> 目约定工期届满时的日期。实际竣工日期以工程接收证书中写明的</w:t>
      </w:r>
      <w:r>
        <w:rPr>
          <w:spacing w:val="-5"/>
          <w:sz w:val="21"/>
        </w:rPr>
        <w:t>日期为准。</w:t>
      </w:r>
    </w:p>
    <w:p>
      <w:pPr>
        <w:pStyle w:val="35"/>
        <w:numPr>
          <w:ilvl w:val="3"/>
          <w:numId w:val="23"/>
        </w:numPr>
        <w:tabs>
          <w:tab w:val="left" w:pos="1529"/>
        </w:tabs>
        <w:spacing w:line="417" w:lineRule="auto"/>
        <w:ind w:right="546" w:firstLine="631"/>
        <w:rPr>
          <w:sz w:val="21"/>
        </w:rPr>
      </w:pPr>
      <w:r>
        <w:rPr>
          <w:spacing w:val="-5"/>
          <w:sz w:val="21"/>
        </w:rPr>
        <w:t xml:space="preserve">缺陷责任期：指履行第 </w:t>
      </w:r>
      <w:r>
        <w:rPr>
          <w:sz w:val="21"/>
        </w:rPr>
        <w:t>19.2</w:t>
      </w:r>
      <w:r>
        <w:rPr>
          <w:spacing w:val="-5"/>
          <w:sz w:val="21"/>
        </w:rPr>
        <w:t xml:space="preserve"> 款约定的缺陷责任的期限，具体期限在发包人要求中明确的包</w:t>
      </w:r>
      <w:r>
        <w:rPr>
          <w:spacing w:val="-14"/>
          <w:sz w:val="21"/>
        </w:rPr>
        <w:t xml:space="preserve">括根据第 </w:t>
      </w:r>
      <w:r>
        <w:rPr>
          <w:sz w:val="21"/>
        </w:rPr>
        <w:t>19.3</w:t>
      </w:r>
      <w:r>
        <w:rPr>
          <w:spacing w:val="-3"/>
          <w:sz w:val="21"/>
        </w:rPr>
        <w:t xml:space="preserve"> 款约定所作的延长。</w:t>
      </w:r>
    </w:p>
    <w:p>
      <w:pPr>
        <w:pStyle w:val="35"/>
        <w:numPr>
          <w:ilvl w:val="3"/>
          <w:numId w:val="23"/>
        </w:numPr>
        <w:tabs>
          <w:tab w:val="left" w:pos="1529"/>
        </w:tabs>
        <w:spacing w:line="269" w:lineRule="exact"/>
        <w:ind w:left="1528" w:hanging="685"/>
        <w:rPr>
          <w:sz w:val="21"/>
        </w:rPr>
      </w:pPr>
      <w:r>
        <w:rPr>
          <w:spacing w:val="-7"/>
          <w:sz w:val="21"/>
        </w:rPr>
        <w:t xml:space="preserve">基准日期：指投标截止之日前 </w:t>
      </w:r>
      <w:r>
        <w:rPr>
          <w:sz w:val="21"/>
        </w:rPr>
        <w:t>28</w:t>
      </w:r>
      <w:r>
        <w:rPr>
          <w:spacing w:val="-11"/>
          <w:sz w:val="21"/>
        </w:rPr>
        <w:t xml:space="preserve"> 天的日期。</w:t>
      </w:r>
    </w:p>
    <w:p>
      <w:pPr>
        <w:pStyle w:val="10"/>
        <w:spacing w:before="6"/>
        <w:rPr>
          <w:sz w:val="15"/>
        </w:rPr>
      </w:pPr>
    </w:p>
    <w:p>
      <w:pPr>
        <w:pStyle w:val="35"/>
        <w:numPr>
          <w:ilvl w:val="3"/>
          <w:numId w:val="23"/>
        </w:numPr>
        <w:tabs>
          <w:tab w:val="left" w:pos="1529"/>
        </w:tabs>
        <w:spacing w:line="417" w:lineRule="auto"/>
        <w:ind w:right="444" w:firstLine="631"/>
        <w:rPr>
          <w:sz w:val="21"/>
        </w:rPr>
      </w:pPr>
      <w:r>
        <w:rPr>
          <w:spacing w:val="-16"/>
          <w:sz w:val="21"/>
        </w:rPr>
        <w:t>天：除特别指明外，指日历天。合同中按天计算时间的，开始当天不计入，从次日开始计算。</w:t>
      </w:r>
      <w:r>
        <w:rPr>
          <w:spacing w:val="-10"/>
          <w:sz w:val="21"/>
        </w:rPr>
        <w:t xml:space="preserve">期限最后一天的截止时间为当天 </w:t>
      </w:r>
      <w:r>
        <w:rPr>
          <w:sz w:val="21"/>
        </w:rPr>
        <w:t>24:00。</w:t>
      </w:r>
    </w:p>
    <w:p>
      <w:pPr>
        <w:pStyle w:val="35"/>
        <w:numPr>
          <w:ilvl w:val="3"/>
          <w:numId w:val="23"/>
        </w:numPr>
        <w:tabs>
          <w:tab w:val="left" w:pos="1529"/>
        </w:tabs>
        <w:ind w:left="1528" w:hanging="685"/>
        <w:rPr>
          <w:sz w:val="21"/>
        </w:rPr>
      </w:pPr>
      <w:r>
        <w:rPr>
          <w:spacing w:val="-6"/>
          <w:sz w:val="21"/>
        </w:rPr>
        <w:t xml:space="preserve">竣工试验：是指在工程竣工验收前，根据第 </w:t>
      </w:r>
      <w:r>
        <w:rPr>
          <w:sz w:val="21"/>
        </w:rPr>
        <w:t>18.1</w:t>
      </w:r>
      <w:r>
        <w:rPr>
          <w:spacing w:val="-9"/>
          <w:sz w:val="21"/>
        </w:rPr>
        <w:t xml:space="preserve"> 款要求进行的试验。</w:t>
      </w:r>
    </w:p>
    <w:p>
      <w:pPr>
        <w:pStyle w:val="10"/>
        <w:spacing w:before="7"/>
        <w:rPr>
          <w:sz w:val="15"/>
        </w:rPr>
      </w:pPr>
    </w:p>
    <w:p>
      <w:pPr>
        <w:pStyle w:val="35"/>
        <w:numPr>
          <w:ilvl w:val="3"/>
          <w:numId w:val="23"/>
        </w:numPr>
        <w:tabs>
          <w:tab w:val="left" w:pos="1529"/>
        </w:tabs>
        <w:ind w:left="1528" w:hanging="685"/>
        <w:rPr>
          <w:sz w:val="21"/>
        </w:rPr>
      </w:pPr>
      <w:r>
        <w:rPr>
          <w:spacing w:val="-3"/>
          <w:sz w:val="21"/>
        </w:rPr>
        <w:t>竣工验收：是指承包人完成了全部合同工作后，发包人按合同要求进行的验收。</w:t>
      </w:r>
    </w:p>
    <w:p>
      <w:pPr>
        <w:pStyle w:val="10"/>
        <w:spacing w:before="7"/>
        <w:rPr>
          <w:sz w:val="15"/>
        </w:rPr>
      </w:pPr>
    </w:p>
    <w:p>
      <w:pPr>
        <w:pStyle w:val="35"/>
        <w:numPr>
          <w:ilvl w:val="3"/>
          <w:numId w:val="23"/>
        </w:numPr>
        <w:tabs>
          <w:tab w:val="left" w:pos="1634"/>
        </w:tabs>
        <w:ind w:left="1634" w:hanging="790"/>
        <w:rPr>
          <w:sz w:val="21"/>
        </w:rPr>
      </w:pPr>
      <w:r>
        <w:rPr>
          <w:spacing w:val="-6"/>
          <w:sz w:val="21"/>
        </w:rPr>
        <w:t xml:space="preserve">竣工后试验：是指在工程竣工验收后，根据第 </w:t>
      </w:r>
      <w:r>
        <w:rPr>
          <w:sz w:val="21"/>
        </w:rPr>
        <w:t>18.9</w:t>
      </w:r>
      <w:r>
        <w:rPr>
          <w:spacing w:val="-9"/>
          <w:sz w:val="21"/>
        </w:rPr>
        <w:t xml:space="preserve"> 款约定进行的试验。</w:t>
      </w:r>
    </w:p>
    <w:p>
      <w:pPr>
        <w:pStyle w:val="10"/>
        <w:spacing w:before="6"/>
        <w:rPr>
          <w:sz w:val="15"/>
        </w:rPr>
      </w:pPr>
    </w:p>
    <w:p>
      <w:pPr>
        <w:pStyle w:val="35"/>
        <w:numPr>
          <w:ilvl w:val="3"/>
          <w:numId w:val="23"/>
        </w:numPr>
        <w:tabs>
          <w:tab w:val="left" w:pos="1627"/>
        </w:tabs>
        <w:ind w:left="1626" w:hanging="783"/>
        <w:rPr>
          <w:sz w:val="21"/>
        </w:rPr>
      </w:pPr>
      <w:r>
        <w:rPr>
          <w:spacing w:val="-3"/>
          <w:sz w:val="21"/>
        </w:rPr>
        <w:t>国家验收：是指政府有关部门根据法律、规范、规程和政策要求，针对发包人全面组织实</w:t>
      </w:r>
    </w:p>
    <w:p>
      <w:pPr>
        <w:rPr>
          <w:sz w:val="21"/>
        </w:rPr>
        <w:sectPr>
          <w:pgSz w:w="11910" w:h="16840"/>
          <w:pgMar w:top="1440" w:right="580" w:bottom="1220" w:left="920" w:header="0" w:footer="950" w:gutter="0"/>
          <w:cols w:space="720" w:num="1"/>
        </w:sectPr>
      </w:pPr>
    </w:p>
    <w:p>
      <w:pPr>
        <w:pStyle w:val="10"/>
        <w:spacing w:before="59"/>
        <w:ind w:left="212"/>
      </w:pPr>
      <w:r>
        <w:t>施的整个工程正式交付投运前的验收。</w:t>
      </w:r>
    </w:p>
    <w:p>
      <w:pPr>
        <w:pStyle w:val="35"/>
        <w:numPr>
          <w:ilvl w:val="2"/>
          <w:numId w:val="23"/>
        </w:numPr>
        <w:tabs>
          <w:tab w:val="left" w:pos="1152"/>
        </w:tabs>
        <w:spacing w:before="123"/>
        <w:ind w:hanging="526"/>
        <w:rPr>
          <w:sz w:val="21"/>
        </w:rPr>
      </w:pPr>
      <w:r>
        <w:rPr>
          <w:spacing w:val="-3"/>
          <w:sz w:val="21"/>
        </w:rPr>
        <w:t>合同价格和费用</w:t>
      </w:r>
    </w:p>
    <w:p>
      <w:pPr>
        <w:pStyle w:val="35"/>
        <w:numPr>
          <w:ilvl w:val="3"/>
          <w:numId w:val="23"/>
        </w:numPr>
        <w:tabs>
          <w:tab w:val="left" w:pos="1529"/>
        </w:tabs>
        <w:spacing w:before="120" w:line="417" w:lineRule="auto"/>
        <w:ind w:right="440" w:firstLine="631"/>
        <w:rPr>
          <w:sz w:val="21"/>
        </w:rPr>
      </w:pPr>
      <w:r>
        <w:rPr>
          <w:spacing w:val="-15"/>
          <w:sz w:val="21"/>
        </w:rPr>
        <w:t>签约合同价：指中标通知书明确的并在签</w:t>
      </w:r>
      <w:r>
        <w:rPr>
          <w:rFonts w:hint="eastAsia"/>
          <w:spacing w:val="-15"/>
          <w:sz w:val="21"/>
        </w:rPr>
        <w:t>订</w:t>
      </w:r>
      <w:r>
        <w:rPr>
          <w:spacing w:val="-15"/>
          <w:sz w:val="21"/>
        </w:rPr>
        <w:t>合同时于合同协议书中写明的，包括了暂列金额、</w:t>
      </w:r>
      <w:r>
        <w:rPr>
          <w:spacing w:val="-7"/>
          <w:sz w:val="21"/>
        </w:rPr>
        <w:t>暂估价的合同总金额。</w:t>
      </w:r>
    </w:p>
    <w:p>
      <w:pPr>
        <w:pStyle w:val="35"/>
        <w:numPr>
          <w:ilvl w:val="3"/>
          <w:numId w:val="23"/>
        </w:numPr>
        <w:tabs>
          <w:tab w:val="left" w:pos="1529"/>
        </w:tabs>
        <w:spacing w:line="417" w:lineRule="auto"/>
        <w:ind w:right="546" w:firstLine="631"/>
        <w:rPr>
          <w:sz w:val="21"/>
        </w:rPr>
      </w:pPr>
      <w:r>
        <w:rPr>
          <w:spacing w:val="-9"/>
          <w:sz w:val="21"/>
        </w:rPr>
        <w:t>合同价格：指承包人按合同约定完成了包括缺陷责任期内的全部承包工作后，发包人应付给</w:t>
      </w:r>
      <w:r>
        <w:rPr>
          <w:spacing w:val="-5"/>
          <w:sz w:val="21"/>
        </w:rPr>
        <w:t>承包人的金额，包括在履行合同过程中按合同约定进行的变更和调整。</w:t>
      </w:r>
    </w:p>
    <w:p>
      <w:pPr>
        <w:pStyle w:val="35"/>
        <w:numPr>
          <w:ilvl w:val="3"/>
          <w:numId w:val="23"/>
        </w:numPr>
        <w:tabs>
          <w:tab w:val="left" w:pos="1529"/>
        </w:tabs>
        <w:spacing w:line="417" w:lineRule="auto"/>
        <w:ind w:right="440" w:firstLine="631"/>
        <w:rPr>
          <w:sz w:val="21"/>
        </w:rPr>
      </w:pPr>
      <w:r>
        <w:rPr>
          <w:spacing w:val="-14"/>
          <w:sz w:val="21"/>
        </w:rPr>
        <w:t xml:space="preserve">费用：指为履行合同所发生的或将要发生的所有合理开支，包括管理费和应分摊的其他费用， </w:t>
      </w:r>
      <w:r>
        <w:rPr>
          <w:spacing w:val="-6"/>
          <w:sz w:val="21"/>
        </w:rPr>
        <w:t>但不包括利润。</w:t>
      </w:r>
    </w:p>
    <w:p>
      <w:pPr>
        <w:pStyle w:val="35"/>
        <w:numPr>
          <w:ilvl w:val="3"/>
          <w:numId w:val="23"/>
        </w:numPr>
        <w:tabs>
          <w:tab w:val="left" w:pos="1529"/>
        </w:tabs>
        <w:spacing w:line="417" w:lineRule="auto"/>
        <w:ind w:right="546" w:firstLine="631"/>
        <w:rPr>
          <w:sz w:val="21"/>
        </w:rPr>
      </w:pPr>
      <w:r>
        <w:rPr>
          <w:spacing w:val="-10"/>
          <w:sz w:val="21"/>
        </w:rPr>
        <w:t>暂列金额：指招标文件中给定的，用于在签订协议书时尚未确定或不可预见变更的设计、施</w:t>
      </w:r>
      <w:r>
        <w:rPr>
          <w:spacing w:val="-5"/>
          <w:sz w:val="21"/>
        </w:rPr>
        <w:t>工及其所需材料、工程设备、服务等的金额，包括以计日工方式支付的金额。</w:t>
      </w:r>
    </w:p>
    <w:p>
      <w:pPr>
        <w:pStyle w:val="35"/>
        <w:numPr>
          <w:ilvl w:val="3"/>
          <w:numId w:val="23"/>
        </w:numPr>
        <w:tabs>
          <w:tab w:val="left" w:pos="1529"/>
        </w:tabs>
        <w:spacing w:line="417" w:lineRule="auto"/>
        <w:ind w:right="472" w:firstLine="631"/>
        <w:rPr>
          <w:sz w:val="21"/>
        </w:rPr>
      </w:pPr>
      <w:r>
        <w:rPr>
          <w:spacing w:val="-3"/>
          <w:sz w:val="21"/>
        </w:rPr>
        <w:t>暂估价：指招标文件中给定的，用于支付必然发生但暂时不能确定价格的专业服务、材料、设备专业工程的金额。</w:t>
      </w:r>
    </w:p>
    <w:p>
      <w:pPr>
        <w:pStyle w:val="35"/>
        <w:numPr>
          <w:ilvl w:val="3"/>
          <w:numId w:val="23"/>
        </w:numPr>
        <w:tabs>
          <w:tab w:val="left" w:pos="1529"/>
        </w:tabs>
        <w:spacing w:line="269" w:lineRule="exact"/>
        <w:ind w:left="1528" w:hanging="685"/>
        <w:rPr>
          <w:sz w:val="21"/>
        </w:rPr>
      </w:pPr>
      <w:r>
        <w:rPr>
          <w:spacing w:val="-3"/>
          <w:sz w:val="21"/>
        </w:rPr>
        <w:t>计日工：指对零星工作采取的一种计价方式，按合同中的计日工子目及其单价计价付款。</w:t>
      </w:r>
    </w:p>
    <w:p>
      <w:pPr>
        <w:pStyle w:val="10"/>
        <w:spacing w:before="5"/>
        <w:rPr>
          <w:sz w:val="15"/>
        </w:rPr>
      </w:pPr>
    </w:p>
    <w:p>
      <w:pPr>
        <w:pStyle w:val="35"/>
        <w:numPr>
          <w:ilvl w:val="3"/>
          <w:numId w:val="23"/>
        </w:numPr>
        <w:tabs>
          <w:tab w:val="left" w:pos="1529"/>
        </w:tabs>
        <w:spacing w:before="1"/>
        <w:ind w:left="1528" w:hanging="685"/>
        <w:rPr>
          <w:sz w:val="21"/>
        </w:rPr>
      </w:pPr>
      <w:r>
        <w:rPr>
          <w:spacing w:val="-8"/>
          <w:sz w:val="21"/>
        </w:rPr>
        <w:t xml:space="preserve">质量保证金：指按第 </w:t>
      </w:r>
      <w:r>
        <w:rPr>
          <w:sz w:val="21"/>
        </w:rPr>
        <w:t>17.4.1</w:t>
      </w:r>
      <w:r>
        <w:rPr>
          <w:spacing w:val="-9"/>
          <w:sz w:val="21"/>
        </w:rPr>
        <w:t xml:space="preserve"> 项约定用于保证在缺陷责任期内履行缺陷修复义务的金额。</w:t>
      </w:r>
    </w:p>
    <w:p>
      <w:pPr>
        <w:pStyle w:val="35"/>
        <w:numPr>
          <w:ilvl w:val="2"/>
          <w:numId w:val="23"/>
        </w:numPr>
        <w:tabs>
          <w:tab w:val="left" w:pos="1152"/>
        </w:tabs>
        <w:spacing w:before="122"/>
        <w:ind w:hanging="526"/>
        <w:rPr>
          <w:sz w:val="21"/>
        </w:rPr>
      </w:pPr>
      <w:r>
        <w:rPr>
          <w:sz w:val="21"/>
        </w:rPr>
        <w:t>其他</w:t>
      </w:r>
    </w:p>
    <w:p>
      <w:pPr>
        <w:pStyle w:val="35"/>
        <w:numPr>
          <w:ilvl w:val="3"/>
          <w:numId w:val="23"/>
        </w:numPr>
        <w:tabs>
          <w:tab w:val="left" w:pos="1529"/>
        </w:tabs>
        <w:spacing w:before="119" w:line="417" w:lineRule="auto"/>
        <w:ind w:right="548" w:firstLine="631"/>
        <w:rPr>
          <w:sz w:val="21"/>
        </w:rPr>
      </w:pPr>
      <w:r>
        <w:rPr>
          <w:spacing w:val="-11"/>
          <w:sz w:val="21"/>
        </w:rPr>
        <w:t>书面形式：指合同文件、信函、电报、传真、数据电文、电子邮件、会议纪要等可以有形地</w:t>
      </w:r>
      <w:r>
        <w:rPr>
          <w:spacing w:val="-6"/>
          <w:sz w:val="21"/>
        </w:rPr>
        <w:t>表现所载内容的形式。</w:t>
      </w:r>
    </w:p>
    <w:p>
      <w:pPr>
        <w:pStyle w:val="35"/>
        <w:numPr>
          <w:ilvl w:val="3"/>
          <w:numId w:val="23"/>
        </w:numPr>
        <w:tabs>
          <w:tab w:val="left" w:pos="1529"/>
        </w:tabs>
        <w:spacing w:line="269" w:lineRule="exact"/>
        <w:ind w:left="1528" w:hanging="685"/>
        <w:rPr>
          <w:sz w:val="21"/>
        </w:rPr>
      </w:pPr>
      <w:r>
        <w:rPr>
          <w:spacing w:val="-9"/>
          <w:sz w:val="21"/>
        </w:rPr>
        <w:t>承包人文件：指由承包人根据合同应提交的所有图纸、手册、模型、计算书、软件和其他文</w:t>
      </w:r>
    </w:p>
    <w:p>
      <w:pPr>
        <w:pStyle w:val="10"/>
        <w:spacing w:before="7"/>
        <w:rPr>
          <w:sz w:val="15"/>
        </w:rPr>
      </w:pPr>
    </w:p>
    <w:p>
      <w:pPr>
        <w:pStyle w:val="10"/>
        <w:spacing w:before="1"/>
        <w:ind w:left="212"/>
      </w:pPr>
      <w:r>
        <w:t>件。</w:t>
      </w:r>
    </w:p>
    <w:p>
      <w:pPr>
        <w:pStyle w:val="10"/>
        <w:spacing w:before="6"/>
        <w:rPr>
          <w:sz w:val="15"/>
        </w:rPr>
      </w:pPr>
    </w:p>
    <w:p>
      <w:pPr>
        <w:pStyle w:val="35"/>
        <w:numPr>
          <w:ilvl w:val="3"/>
          <w:numId w:val="23"/>
        </w:numPr>
        <w:tabs>
          <w:tab w:val="left" w:pos="1529"/>
        </w:tabs>
        <w:ind w:left="1528" w:hanging="685"/>
        <w:rPr>
          <w:sz w:val="21"/>
        </w:rPr>
      </w:pPr>
      <w:r>
        <w:rPr>
          <w:spacing w:val="-10"/>
          <w:sz w:val="21"/>
        </w:rPr>
        <w:t xml:space="preserve">变更是指根据第 </w:t>
      </w:r>
      <w:r>
        <w:rPr>
          <w:rFonts w:ascii="Times New Roman" w:eastAsia="Times New Roman"/>
          <w:sz w:val="21"/>
        </w:rPr>
        <w:t>15</w:t>
      </w:r>
      <w:r>
        <w:rPr>
          <w:rFonts w:ascii="Times New Roman" w:eastAsia="Times New Roman"/>
          <w:spacing w:val="1"/>
          <w:sz w:val="21"/>
        </w:rPr>
        <w:t xml:space="preserve"> </w:t>
      </w:r>
      <w:r>
        <w:rPr>
          <w:spacing w:val="-3"/>
          <w:sz w:val="21"/>
        </w:rPr>
        <w:t>条的约定，经指示或批准对发包人要求或工程所做的改变。</w:t>
      </w:r>
    </w:p>
    <w:p>
      <w:pPr>
        <w:pStyle w:val="10"/>
        <w:rPr>
          <w:sz w:val="22"/>
        </w:rPr>
      </w:pPr>
    </w:p>
    <w:p>
      <w:pPr>
        <w:pStyle w:val="10"/>
        <w:spacing w:before="7"/>
        <w:rPr>
          <w:sz w:val="16"/>
        </w:rPr>
      </w:pPr>
    </w:p>
    <w:p>
      <w:pPr>
        <w:rPr>
          <w:rFonts w:ascii="黑体" w:eastAsia="黑体"/>
          <w:sz w:val="28"/>
        </w:rPr>
      </w:pPr>
      <w:bookmarkStart w:id="133" w:name="_bookmark82"/>
      <w:bookmarkEnd w:id="133"/>
      <w:r>
        <w:rPr>
          <w:rFonts w:hint="eastAsia" w:ascii="黑体" w:eastAsia="黑体"/>
          <w:sz w:val="28"/>
        </w:rPr>
        <w:t xml:space="preserve">1.2 </w:t>
      </w:r>
      <w:r>
        <w:rPr>
          <w:rFonts w:ascii="黑体" w:eastAsia="黑体"/>
          <w:sz w:val="28"/>
        </w:rPr>
        <w:t>语言文字</w:t>
      </w:r>
    </w:p>
    <w:p>
      <w:pPr>
        <w:pStyle w:val="10"/>
        <w:spacing w:before="2"/>
        <w:rPr>
          <w:rFonts w:ascii="黑体"/>
          <w:sz w:val="38"/>
        </w:rPr>
      </w:pPr>
    </w:p>
    <w:p>
      <w:pPr>
        <w:pStyle w:val="10"/>
        <w:ind w:left="633"/>
      </w:pPr>
      <w:r>
        <w:t>合同使用的语言文字为中文</w:t>
      </w:r>
      <w:r>
        <w:rPr>
          <w:rFonts w:hint="eastAsia"/>
          <w:color w:val="00B0F0"/>
        </w:rPr>
        <w:t>（汉语）</w:t>
      </w:r>
      <w:r>
        <w:t>。专用术语使用外文的，应附有中文注释。</w:t>
      </w:r>
    </w:p>
    <w:p>
      <w:pPr>
        <w:pStyle w:val="10"/>
        <w:rPr>
          <w:sz w:val="20"/>
        </w:rPr>
      </w:pPr>
    </w:p>
    <w:p>
      <w:pPr>
        <w:pStyle w:val="10"/>
        <w:spacing w:before="7"/>
        <w:rPr>
          <w:sz w:val="18"/>
        </w:rPr>
      </w:pPr>
    </w:p>
    <w:p>
      <w:pPr>
        <w:rPr>
          <w:rFonts w:ascii="黑体" w:eastAsia="黑体"/>
          <w:sz w:val="28"/>
        </w:rPr>
      </w:pPr>
      <w:bookmarkStart w:id="134" w:name="_bookmark83"/>
      <w:bookmarkEnd w:id="134"/>
      <w:r>
        <w:rPr>
          <w:rFonts w:hint="eastAsia" w:ascii="黑体" w:eastAsia="黑体"/>
          <w:sz w:val="28"/>
        </w:rPr>
        <w:t xml:space="preserve">1.3 </w:t>
      </w:r>
      <w:r>
        <w:rPr>
          <w:rFonts w:ascii="黑体" w:eastAsia="黑体"/>
          <w:sz w:val="28"/>
        </w:rPr>
        <w:t>法律</w:t>
      </w:r>
    </w:p>
    <w:p>
      <w:pPr>
        <w:pStyle w:val="10"/>
        <w:spacing w:before="5"/>
        <w:rPr>
          <w:rFonts w:ascii="黑体"/>
          <w:sz w:val="38"/>
        </w:rPr>
      </w:pPr>
    </w:p>
    <w:p>
      <w:pPr>
        <w:pStyle w:val="10"/>
        <w:spacing w:line="417" w:lineRule="auto"/>
        <w:ind w:left="212" w:right="548" w:firstLine="420"/>
      </w:pPr>
      <w:r>
        <w:rPr>
          <w:spacing w:val="-6"/>
        </w:rPr>
        <w:t>适用于合同的法律包括中华人民共和国法律、行政法规、部门规章，以及工程所在地的地方法规、自</w:t>
      </w:r>
      <w:r>
        <w:rPr>
          <w:spacing w:val="-4"/>
        </w:rPr>
        <w:t>治条例、单行条例和地方政府规章。</w:t>
      </w:r>
    </w:p>
    <w:p>
      <w:pPr>
        <w:spacing w:line="417" w:lineRule="auto"/>
        <w:sectPr>
          <w:pgSz w:w="11910" w:h="16840"/>
          <w:pgMar w:top="1440" w:right="580" w:bottom="1220" w:left="920" w:header="0" w:footer="950" w:gutter="0"/>
          <w:cols w:space="720" w:num="1"/>
        </w:sectPr>
      </w:pPr>
    </w:p>
    <w:p>
      <w:pPr>
        <w:rPr>
          <w:rFonts w:ascii="黑体" w:eastAsia="黑体"/>
          <w:sz w:val="28"/>
        </w:rPr>
      </w:pPr>
      <w:bookmarkStart w:id="135" w:name="_bookmark84"/>
      <w:bookmarkEnd w:id="135"/>
      <w:r>
        <w:rPr>
          <w:rFonts w:hint="eastAsia" w:ascii="黑体" w:eastAsia="黑体"/>
          <w:sz w:val="28"/>
        </w:rPr>
        <w:t xml:space="preserve">1.4 </w:t>
      </w:r>
      <w:r>
        <w:rPr>
          <w:rFonts w:ascii="黑体" w:eastAsia="黑体"/>
          <w:sz w:val="28"/>
        </w:rPr>
        <w:t>合同文件的优先顺序</w:t>
      </w:r>
    </w:p>
    <w:p>
      <w:pPr>
        <w:pStyle w:val="10"/>
        <w:spacing w:before="4"/>
        <w:rPr>
          <w:rFonts w:ascii="黑体"/>
          <w:sz w:val="38"/>
        </w:rPr>
      </w:pPr>
    </w:p>
    <w:p>
      <w:pPr>
        <w:pStyle w:val="10"/>
        <w:spacing w:line="417" w:lineRule="auto"/>
        <w:ind w:left="212" w:right="546" w:firstLine="420"/>
      </w:pPr>
      <w:r>
        <w:rPr>
          <w:spacing w:val="-6"/>
        </w:rPr>
        <w:t>组成合同的各项文件应互相解释，互为说明。除专用合同条款另有约定外，解释合同文件的优先顺序如下：</w:t>
      </w:r>
    </w:p>
    <w:p>
      <w:pPr>
        <w:pStyle w:val="35"/>
        <w:numPr>
          <w:ilvl w:val="0"/>
          <w:numId w:val="24"/>
        </w:numPr>
        <w:tabs>
          <w:tab w:val="left" w:pos="1163"/>
        </w:tabs>
        <w:spacing w:line="269" w:lineRule="exact"/>
        <w:ind w:hanging="530"/>
        <w:rPr>
          <w:sz w:val="21"/>
        </w:rPr>
      </w:pPr>
      <w:r>
        <w:rPr>
          <w:spacing w:val="-3"/>
          <w:sz w:val="21"/>
        </w:rPr>
        <w:t>合同协议书；</w:t>
      </w:r>
    </w:p>
    <w:p>
      <w:pPr>
        <w:pStyle w:val="10"/>
        <w:spacing w:before="7"/>
        <w:rPr>
          <w:sz w:val="15"/>
        </w:rPr>
      </w:pPr>
    </w:p>
    <w:p>
      <w:pPr>
        <w:pStyle w:val="35"/>
        <w:numPr>
          <w:ilvl w:val="0"/>
          <w:numId w:val="24"/>
        </w:numPr>
        <w:tabs>
          <w:tab w:val="left" w:pos="1163"/>
        </w:tabs>
        <w:ind w:hanging="530"/>
        <w:rPr>
          <w:sz w:val="21"/>
        </w:rPr>
      </w:pPr>
      <w:r>
        <w:rPr>
          <w:spacing w:val="-3"/>
          <w:sz w:val="21"/>
        </w:rPr>
        <w:t>中标通知书；</w:t>
      </w:r>
    </w:p>
    <w:p>
      <w:pPr>
        <w:pStyle w:val="10"/>
        <w:spacing w:before="7"/>
        <w:rPr>
          <w:sz w:val="15"/>
        </w:rPr>
      </w:pPr>
    </w:p>
    <w:p>
      <w:pPr>
        <w:pStyle w:val="35"/>
        <w:numPr>
          <w:ilvl w:val="0"/>
          <w:numId w:val="24"/>
        </w:numPr>
        <w:tabs>
          <w:tab w:val="left" w:pos="1163"/>
        </w:tabs>
        <w:ind w:hanging="530"/>
        <w:rPr>
          <w:sz w:val="21"/>
        </w:rPr>
      </w:pPr>
      <w:r>
        <w:rPr>
          <w:spacing w:val="-3"/>
          <w:sz w:val="21"/>
        </w:rPr>
        <w:t>投标函及投标函附录；</w:t>
      </w:r>
    </w:p>
    <w:p>
      <w:pPr>
        <w:pStyle w:val="10"/>
        <w:spacing w:before="6"/>
        <w:rPr>
          <w:sz w:val="15"/>
        </w:rPr>
      </w:pPr>
    </w:p>
    <w:p>
      <w:pPr>
        <w:pStyle w:val="35"/>
        <w:numPr>
          <w:ilvl w:val="0"/>
          <w:numId w:val="24"/>
        </w:numPr>
        <w:tabs>
          <w:tab w:val="left" w:pos="1163"/>
        </w:tabs>
        <w:spacing w:before="1"/>
        <w:ind w:hanging="530"/>
        <w:rPr>
          <w:sz w:val="21"/>
        </w:rPr>
      </w:pPr>
      <w:r>
        <w:rPr>
          <w:spacing w:val="-3"/>
          <w:sz w:val="21"/>
        </w:rPr>
        <w:t>专用合同条款；</w:t>
      </w:r>
    </w:p>
    <w:p>
      <w:pPr>
        <w:pStyle w:val="10"/>
        <w:spacing w:before="6"/>
        <w:rPr>
          <w:sz w:val="15"/>
        </w:rPr>
      </w:pPr>
    </w:p>
    <w:p>
      <w:pPr>
        <w:pStyle w:val="35"/>
        <w:numPr>
          <w:ilvl w:val="0"/>
          <w:numId w:val="24"/>
        </w:numPr>
        <w:tabs>
          <w:tab w:val="left" w:pos="1163"/>
        </w:tabs>
        <w:ind w:hanging="530"/>
        <w:rPr>
          <w:sz w:val="21"/>
        </w:rPr>
      </w:pPr>
      <w:r>
        <w:rPr>
          <w:spacing w:val="-3"/>
          <w:sz w:val="21"/>
        </w:rPr>
        <w:t>通用合同条款；</w:t>
      </w:r>
    </w:p>
    <w:p>
      <w:pPr>
        <w:pStyle w:val="10"/>
        <w:spacing w:before="7"/>
        <w:rPr>
          <w:sz w:val="15"/>
        </w:rPr>
      </w:pPr>
    </w:p>
    <w:p>
      <w:pPr>
        <w:pStyle w:val="35"/>
        <w:numPr>
          <w:ilvl w:val="0"/>
          <w:numId w:val="24"/>
        </w:numPr>
        <w:tabs>
          <w:tab w:val="left" w:pos="1163"/>
        </w:tabs>
        <w:spacing w:before="1"/>
        <w:ind w:hanging="530"/>
        <w:rPr>
          <w:sz w:val="21"/>
        </w:rPr>
      </w:pPr>
      <w:r>
        <w:rPr>
          <w:spacing w:val="-3"/>
          <w:sz w:val="21"/>
        </w:rPr>
        <w:t>发包人要求；</w:t>
      </w:r>
    </w:p>
    <w:p>
      <w:pPr>
        <w:pStyle w:val="10"/>
        <w:spacing w:before="6"/>
        <w:rPr>
          <w:sz w:val="15"/>
        </w:rPr>
      </w:pPr>
    </w:p>
    <w:p>
      <w:pPr>
        <w:pStyle w:val="35"/>
        <w:numPr>
          <w:ilvl w:val="0"/>
          <w:numId w:val="24"/>
        </w:numPr>
        <w:tabs>
          <w:tab w:val="left" w:pos="1163"/>
        </w:tabs>
        <w:ind w:hanging="530"/>
        <w:rPr>
          <w:sz w:val="21"/>
        </w:rPr>
      </w:pPr>
      <w:r>
        <w:rPr>
          <w:spacing w:val="-3"/>
          <w:sz w:val="21"/>
        </w:rPr>
        <w:t>价格清单；</w:t>
      </w:r>
    </w:p>
    <w:p>
      <w:pPr>
        <w:pStyle w:val="10"/>
        <w:spacing w:before="7"/>
        <w:rPr>
          <w:sz w:val="15"/>
        </w:rPr>
      </w:pPr>
    </w:p>
    <w:p>
      <w:pPr>
        <w:pStyle w:val="35"/>
        <w:numPr>
          <w:ilvl w:val="0"/>
          <w:numId w:val="24"/>
        </w:numPr>
        <w:tabs>
          <w:tab w:val="left" w:pos="1163"/>
        </w:tabs>
        <w:ind w:hanging="530"/>
        <w:rPr>
          <w:sz w:val="21"/>
        </w:rPr>
      </w:pPr>
      <w:r>
        <w:rPr>
          <w:spacing w:val="-3"/>
          <w:sz w:val="21"/>
        </w:rPr>
        <w:t>其他合同文件。</w:t>
      </w:r>
    </w:p>
    <w:p>
      <w:pPr>
        <w:pStyle w:val="10"/>
        <w:rPr>
          <w:sz w:val="22"/>
        </w:rPr>
      </w:pPr>
    </w:p>
    <w:p>
      <w:pPr>
        <w:pStyle w:val="10"/>
        <w:spacing w:before="7"/>
        <w:rPr>
          <w:sz w:val="16"/>
        </w:rPr>
      </w:pPr>
    </w:p>
    <w:p>
      <w:pPr>
        <w:rPr>
          <w:rFonts w:ascii="黑体" w:eastAsia="黑体"/>
          <w:sz w:val="28"/>
        </w:rPr>
      </w:pPr>
      <w:bookmarkStart w:id="136" w:name="_bookmark85"/>
      <w:bookmarkEnd w:id="136"/>
      <w:r>
        <w:rPr>
          <w:rFonts w:hint="eastAsia" w:ascii="黑体" w:eastAsia="黑体"/>
          <w:sz w:val="28"/>
        </w:rPr>
        <w:t xml:space="preserve">1.5 </w:t>
      </w:r>
      <w:r>
        <w:rPr>
          <w:rFonts w:ascii="黑体" w:eastAsia="黑体"/>
          <w:sz w:val="28"/>
        </w:rPr>
        <w:t>合同协议书</w:t>
      </w:r>
    </w:p>
    <w:p>
      <w:pPr>
        <w:pStyle w:val="10"/>
        <w:spacing w:before="4"/>
        <w:rPr>
          <w:rFonts w:ascii="黑体"/>
          <w:sz w:val="38"/>
        </w:rPr>
      </w:pPr>
    </w:p>
    <w:p>
      <w:pPr>
        <w:pStyle w:val="10"/>
        <w:spacing w:line="417" w:lineRule="auto"/>
        <w:ind w:left="212" w:right="546" w:firstLine="420"/>
      </w:pPr>
      <w:r>
        <w:rPr>
          <w:spacing w:val="-5"/>
        </w:rPr>
        <w:t>承包人按中标通知书规定的时间与发包人签订合同协议书。除法律另有规定或合同另有约定外，发包</w:t>
      </w:r>
      <w:r>
        <w:rPr>
          <w:spacing w:val="-4"/>
        </w:rPr>
        <w:t>人和承包人的法定代表人或其委托代理人在合同协议书上签字并盖单位章后，合同生效。</w:t>
      </w:r>
    </w:p>
    <w:p>
      <w:pPr>
        <w:pStyle w:val="10"/>
        <w:rPr>
          <w:rFonts w:ascii="黑体" w:eastAsia="黑体"/>
          <w:sz w:val="28"/>
          <w:szCs w:val="22"/>
        </w:rPr>
      </w:pPr>
    </w:p>
    <w:p>
      <w:pPr>
        <w:pStyle w:val="10"/>
        <w:spacing w:before="7"/>
        <w:rPr>
          <w:rFonts w:ascii="黑体" w:eastAsia="黑体"/>
          <w:sz w:val="28"/>
          <w:szCs w:val="22"/>
        </w:rPr>
      </w:pPr>
      <w:bookmarkStart w:id="137" w:name="_bookmark86"/>
      <w:bookmarkEnd w:id="137"/>
      <w:r>
        <w:rPr>
          <w:rFonts w:hint="eastAsia" w:ascii="黑体" w:eastAsia="黑体"/>
          <w:sz w:val="28"/>
          <w:szCs w:val="22"/>
        </w:rPr>
        <w:t xml:space="preserve">1.6 </w:t>
      </w:r>
      <w:r>
        <w:rPr>
          <w:rFonts w:ascii="黑体" w:eastAsia="黑体"/>
          <w:sz w:val="28"/>
          <w:szCs w:val="22"/>
        </w:rPr>
        <w:t>文件的提供和照管</w:t>
      </w:r>
    </w:p>
    <w:p>
      <w:pPr>
        <w:pStyle w:val="10"/>
        <w:spacing w:before="1"/>
        <w:rPr>
          <w:rFonts w:ascii="黑体"/>
          <w:sz w:val="38"/>
        </w:rPr>
      </w:pPr>
    </w:p>
    <w:p>
      <w:pPr>
        <w:tabs>
          <w:tab w:val="left" w:pos="1159"/>
        </w:tabs>
        <w:spacing w:before="1"/>
        <w:ind w:firstLine="199" w:firstLineChars="98"/>
        <w:rPr>
          <w:sz w:val="21"/>
        </w:rPr>
      </w:pPr>
      <w:r>
        <w:rPr>
          <w:rFonts w:hint="eastAsia"/>
          <w:spacing w:val="-3"/>
          <w:sz w:val="21"/>
        </w:rPr>
        <w:t>1.6.1</w:t>
      </w:r>
      <w:r>
        <w:rPr>
          <w:spacing w:val="-3"/>
          <w:sz w:val="21"/>
        </w:rPr>
        <w:t>承包人文件的提供</w:t>
      </w:r>
    </w:p>
    <w:p>
      <w:pPr>
        <w:pStyle w:val="10"/>
        <w:spacing w:before="6"/>
        <w:rPr>
          <w:sz w:val="15"/>
        </w:rPr>
      </w:pPr>
    </w:p>
    <w:p>
      <w:pPr>
        <w:pStyle w:val="10"/>
        <w:spacing w:line="417" w:lineRule="auto"/>
        <w:ind w:left="212" w:right="546" w:firstLine="420"/>
        <w:jc w:val="both"/>
      </w:pPr>
      <w:r>
        <w:t>除专用合同条款另有约定外，承包人应在合理的期限内按照合同约定的数量向监理人提供承包人文</w:t>
      </w:r>
      <w:r>
        <w:rPr>
          <w:spacing w:val="-6"/>
        </w:rPr>
        <w:t>件。合同约定承包人文件应批准的，监理人应当在合同约定的期限内批复。承包人的设计文件的提供和审</w:t>
      </w:r>
      <w:r>
        <w:rPr>
          <w:spacing w:val="-16"/>
        </w:rPr>
        <w:t xml:space="preserve">查按第 </w:t>
      </w:r>
      <w:r>
        <w:rPr>
          <w:rFonts w:ascii="Times New Roman" w:eastAsia="Times New Roman"/>
        </w:rPr>
        <w:t xml:space="preserve">5.3 </w:t>
      </w:r>
      <w:r>
        <w:rPr>
          <w:spacing w:val="-15"/>
        </w:rPr>
        <w:t xml:space="preserve">款和第 </w:t>
      </w:r>
      <w:r>
        <w:rPr>
          <w:rFonts w:ascii="Times New Roman" w:eastAsia="Times New Roman"/>
        </w:rPr>
        <w:t xml:space="preserve">5.5 </w:t>
      </w:r>
      <w:r>
        <w:rPr>
          <w:spacing w:val="-3"/>
        </w:rPr>
        <w:t>款的约定执行。</w:t>
      </w:r>
    </w:p>
    <w:p>
      <w:pPr>
        <w:tabs>
          <w:tab w:val="left" w:pos="1159"/>
        </w:tabs>
        <w:spacing w:line="269" w:lineRule="exact"/>
        <w:ind w:firstLine="199" w:firstLineChars="98"/>
        <w:rPr>
          <w:sz w:val="21"/>
        </w:rPr>
      </w:pPr>
      <w:r>
        <w:rPr>
          <w:rFonts w:hint="eastAsia"/>
          <w:spacing w:val="-3"/>
          <w:sz w:val="21"/>
        </w:rPr>
        <w:t>1.6.2</w:t>
      </w:r>
      <w:r>
        <w:rPr>
          <w:spacing w:val="-3"/>
          <w:sz w:val="21"/>
        </w:rPr>
        <w:t>发包人提供的文件</w:t>
      </w:r>
    </w:p>
    <w:p>
      <w:pPr>
        <w:pStyle w:val="10"/>
        <w:spacing w:before="7"/>
        <w:rPr>
          <w:sz w:val="15"/>
        </w:rPr>
      </w:pPr>
    </w:p>
    <w:p>
      <w:pPr>
        <w:pStyle w:val="10"/>
        <w:spacing w:line="417" w:lineRule="auto"/>
        <w:ind w:left="212" w:right="548" w:firstLine="420"/>
        <w:jc w:val="both"/>
      </w:pPr>
      <w:r>
        <w:rPr>
          <w:spacing w:val="-7"/>
        </w:rPr>
        <w:t>按专用合同条款约定由发包人提供的文件，包括前期工作相关文件、环境保护、气象水文、地质条件</w:t>
      </w:r>
      <w:r>
        <w:rPr>
          <w:spacing w:val="-10"/>
        </w:rPr>
        <w:t xml:space="preserve">等，发包人应按约定的数量和期限交给承包人。由于发包人未按时提供文件造成工期延误的，按第 </w:t>
      </w:r>
      <w:r>
        <w:rPr>
          <w:rFonts w:ascii="Times New Roman" w:eastAsia="Times New Roman"/>
          <w:spacing w:val="-3"/>
        </w:rPr>
        <w:t xml:space="preserve">11.3 </w:t>
      </w:r>
      <w:r>
        <w:t>款</w:t>
      </w:r>
      <w:r>
        <w:rPr>
          <w:spacing w:val="-1"/>
        </w:rPr>
        <w:t>约定执行。</w:t>
      </w:r>
    </w:p>
    <w:p>
      <w:pPr>
        <w:tabs>
          <w:tab w:val="left" w:pos="1159"/>
        </w:tabs>
        <w:ind w:firstLine="199" w:firstLineChars="98"/>
        <w:rPr>
          <w:sz w:val="21"/>
        </w:rPr>
      </w:pPr>
      <w:r>
        <w:rPr>
          <w:rFonts w:hint="eastAsia"/>
          <w:spacing w:val="-3"/>
          <w:sz w:val="21"/>
        </w:rPr>
        <w:t>1.6.3</w:t>
      </w:r>
      <w:r>
        <w:rPr>
          <w:spacing w:val="-3"/>
          <w:sz w:val="21"/>
        </w:rPr>
        <w:t>文件错误的通知</w:t>
      </w:r>
    </w:p>
    <w:p>
      <w:pPr>
        <w:pStyle w:val="10"/>
        <w:spacing w:before="7"/>
        <w:rPr>
          <w:sz w:val="15"/>
        </w:rPr>
      </w:pPr>
    </w:p>
    <w:p>
      <w:pPr>
        <w:pStyle w:val="10"/>
        <w:ind w:left="633"/>
      </w:pPr>
      <w:r>
        <w:t>任何一方发现了文件中存在的明显错误或疏忽，应及时通知另一方。</w:t>
      </w:r>
    </w:p>
    <w:p>
      <w:pPr>
        <w:pStyle w:val="10"/>
        <w:spacing w:before="6"/>
        <w:rPr>
          <w:sz w:val="15"/>
        </w:rPr>
      </w:pPr>
    </w:p>
    <w:p>
      <w:pPr>
        <w:tabs>
          <w:tab w:val="left" w:pos="1159"/>
        </w:tabs>
        <w:spacing w:before="1"/>
        <w:ind w:firstLine="199" w:firstLineChars="98"/>
        <w:rPr>
          <w:sz w:val="21"/>
        </w:rPr>
      </w:pPr>
      <w:r>
        <w:rPr>
          <w:rFonts w:hint="eastAsia"/>
          <w:spacing w:val="-3"/>
          <w:sz w:val="21"/>
        </w:rPr>
        <w:t>1.6.4</w:t>
      </w:r>
      <w:r>
        <w:rPr>
          <w:spacing w:val="-3"/>
          <w:sz w:val="21"/>
        </w:rPr>
        <w:t>文件的照管</w:t>
      </w:r>
    </w:p>
    <w:p>
      <w:pPr>
        <w:jc w:val="both"/>
        <w:rPr>
          <w:sz w:val="21"/>
        </w:rPr>
        <w:sectPr>
          <w:pgSz w:w="11910" w:h="16840"/>
          <w:pgMar w:top="1480" w:right="580" w:bottom="1220" w:left="920" w:header="0" w:footer="950" w:gutter="0"/>
          <w:cols w:space="720" w:num="1"/>
        </w:sectPr>
      </w:pPr>
    </w:p>
    <w:p>
      <w:pPr>
        <w:pStyle w:val="10"/>
        <w:spacing w:before="59" w:line="417" w:lineRule="auto"/>
        <w:ind w:left="212" w:right="546" w:firstLine="420"/>
      </w:pPr>
      <w:r>
        <w:rPr>
          <w:spacing w:val="-6"/>
        </w:rPr>
        <w:t>承包人应在现场保留一份合同、发包人要求中列出的所有文件、承包人文件、变更以及其它根据合同</w:t>
      </w:r>
      <w:r>
        <w:rPr>
          <w:spacing w:val="-4"/>
        </w:rPr>
        <w:t>收发的往来信函。发包人有权在任何合理的时间查阅和使用上述所有文件。</w:t>
      </w:r>
    </w:p>
    <w:p>
      <w:pPr>
        <w:pStyle w:val="10"/>
        <w:rPr>
          <w:sz w:val="23"/>
        </w:rPr>
      </w:pPr>
    </w:p>
    <w:p>
      <w:pPr>
        <w:pStyle w:val="10"/>
        <w:rPr>
          <w:rFonts w:ascii="黑体" w:eastAsia="黑体"/>
          <w:sz w:val="28"/>
          <w:szCs w:val="22"/>
        </w:rPr>
      </w:pPr>
      <w:bookmarkStart w:id="138" w:name="_bookmark87"/>
      <w:bookmarkEnd w:id="138"/>
      <w:r>
        <w:rPr>
          <w:rFonts w:hint="eastAsia" w:ascii="黑体" w:eastAsia="黑体"/>
          <w:sz w:val="28"/>
          <w:szCs w:val="22"/>
        </w:rPr>
        <w:t xml:space="preserve">1.7 </w:t>
      </w:r>
      <w:r>
        <w:rPr>
          <w:rFonts w:ascii="黑体" w:eastAsia="黑体"/>
          <w:sz w:val="28"/>
          <w:szCs w:val="22"/>
        </w:rPr>
        <w:t>联络</w:t>
      </w:r>
    </w:p>
    <w:p>
      <w:pPr>
        <w:pStyle w:val="10"/>
        <w:spacing w:before="2"/>
        <w:rPr>
          <w:rFonts w:ascii="黑体"/>
          <w:sz w:val="38"/>
        </w:rPr>
      </w:pPr>
      <w:r>
        <w:rPr>
          <w:rFonts w:hint="eastAsia" w:ascii="黑体"/>
          <w:sz w:val="38"/>
        </w:rPr>
        <w:t xml:space="preserve"> </w:t>
      </w:r>
    </w:p>
    <w:p>
      <w:pPr>
        <w:tabs>
          <w:tab w:val="left" w:pos="1162"/>
        </w:tabs>
        <w:spacing w:line="417" w:lineRule="auto"/>
        <w:ind w:right="548" w:firstLine="203" w:firstLineChars="98"/>
        <w:rPr>
          <w:sz w:val="21"/>
        </w:rPr>
      </w:pPr>
      <w:r>
        <w:rPr>
          <w:rFonts w:hint="eastAsia"/>
          <w:spacing w:val="-1"/>
          <w:sz w:val="21"/>
        </w:rPr>
        <w:t>1.7.1</w:t>
      </w:r>
      <w:r>
        <w:rPr>
          <w:spacing w:val="-1"/>
          <w:sz w:val="21"/>
        </w:rPr>
        <w:t>与合同有关的通知、批准、证明、证书、指示、要求、请求、同意、意见、确定和决定等，均</w:t>
      </w:r>
      <w:r>
        <w:rPr>
          <w:spacing w:val="-3"/>
          <w:sz w:val="21"/>
        </w:rPr>
        <w:t>应采用书面形式。</w:t>
      </w:r>
    </w:p>
    <w:p>
      <w:pPr>
        <w:tabs>
          <w:tab w:val="left" w:pos="1159"/>
        </w:tabs>
        <w:spacing w:line="417" w:lineRule="auto"/>
        <w:ind w:right="548" w:firstLine="170" w:firstLineChars="100"/>
        <w:rPr>
          <w:sz w:val="21"/>
        </w:rPr>
      </w:pPr>
      <w:r>
        <w:rPr>
          <w:rFonts w:hint="eastAsia"/>
          <w:spacing w:val="-20"/>
          <w:sz w:val="21"/>
        </w:rPr>
        <w:t xml:space="preserve">1.7.2 </w:t>
      </w:r>
      <w:r>
        <w:rPr>
          <w:spacing w:val="-20"/>
          <w:sz w:val="21"/>
        </w:rPr>
        <w:t xml:space="preserve">第 </w:t>
      </w:r>
      <w:r>
        <w:rPr>
          <w:rFonts w:ascii="Times New Roman" w:eastAsia="Times New Roman"/>
          <w:sz w:val="21"/>
        </w:rPr>
        <w:t>1.7.1</w:t>
      </w:r>
      <w:r>
        <w:rPr>
          <w:rFonts w:ascii="Times New Roman" w:eastAsia="Times New Roman"/>
          <w:spacing w:val="24"/>
          <w:sz w:val="21"/>
        </w:rPr>
        <w:t xml:space="preserve"> </w:t>
      </w:r>
      <w:r>
        <w:rPr>
          <w:spacing w:val="-10"/>
          <w:sz w:val="21"/>
        </w:rPr>
        <w:t>项中的通知、批准、证明、证书、指示、要求、请求、同意、意见、确定和决定等来往</w:t>
      </w:r>
      <w:r>
        <w:rPr>
          <w:spacing w:val="-5"/>
          <w:sz w:val="21"/>
        </w:rPr>
        <w:t>函件，均应在合同约定的期限内送达指定的地点和指定的接收人，并办理签收手续。</w:t>
      </w:r>
    </w:p>
    <w:p>
      <w:pPr>
        <w:pStyle w:val="10"/>
        <w:rPr>
          <w:sz w:val="23"/>
        </w:rPr>
      </w:pPr>
    </w:p>
    <w:p>
      <w:pPr>
        <w:rPr>
          <w:rFonts w:ascii="黑体" w:eastAsia="黑体"/>
          <w:sz w:val="28"/>
        </w:rPr>
      </w:pPr>
      <w:bookmarkStart w:id="139" w:name="_bookmark88"/>
      <w:bookmarkEnd w:id="139"/>
      <w:r>
        <w:rPr>
          <w:rFonts w:hint="eastAsia" w:ascii="黑体" w:eastAsia="黑体"/>
          <w:sz w:val="28"/>
        </w:rPr>
        <w:t xml:space="preserve">1.8 </w:t>
      </w:r>
      <w:r>
        <w:rPr>
          <w:rFonts w:ascii="黑体" w:eastAsia="黑体"/>
          <w:sz w:val="28"/>
        </w:rPr>
        <w:t>转让</w:t>
      </w:r>
    </w:p>
    <w:p>
      <w:pPr>
        <w:pStyle w:val="10"/>
        <w:spacing w:before="5"/>
        <w:rPr>
          <w:rFonts w:ascii="黑体"/>
          <w:sz w:val="38"/>
        </w:rPr>
      </w:pPr>
    </w:p>
    <w:p>
      <w:pPr>
        <w:pStyle w:val="10"/>
        <w:spacing w:line="417" w:lineRule="auto"/>
        <w:ind w:left="212" w:right="546" w:firstLine="420"/>
        <w:jc w:val="both"/>
      </w:pPr>
      <w:r>
        <w:rPr>
          <w:spacing w:val="-6"/>
        </w:rPr>
        <w:t>除合同另有约定外，未经承包人同意，发包人不得将合同权利全部或部分转让给第三人，也不得全部或部分转让合同义务。承包人不得将合同权利和义务全部转让给第三人，也不得将合同的义务全部或部分</w:t>
      </w:r>
      <w:r>
        <w:rPr>
          <w:spacing w:val="-4"/>
        </w:rPr>
        <w:t>转让给第三人，法律另有规定的除外。</w:t>
      </w:r>
    </w:p>
    <w:p>
      <w:pPr>
        <w:pStyle w:val="10"/>
        <w:spacing w:before="12"/>
        <w:rPr>
          <w:sz w:val="22"/>
        </w:rPr>
      </w:pPr>
    </w:p>
    <w:p>
      <w:pPr>
        <w:rPr>
          <w:rFonts w:ascii="黑体" w:eastAsia="黑体"/>
          <w:sz w:val="28"/>
        </w:rPr>
      </w:pPr>
      <w:bookmarkStart w:id="140" w:name="_bookmark89"/>
      <w:bookmarkEnd w:id="140"/>
      <w:r>
        <w:rPr>
          <w:rFonts w:hint="eastAsia" w:ascii="黑体" w:eastAsia="黑体"/>
          <w:sz w:val="28"/>
        </w:rPr>
        <w:t xml:space="preserve">1.9 </w:t>
      </w:r>
      <w:r>
        <w:rPr>
          <w:rFonts w:ascii="黑体" w:eastAsia="黑体"/>
          <w:sz w:val="28"/>
        </w:rPr>
        <w:t>严禁贿赂</w:t>
      </w:r>
    </w:p>
    <w:p>
      <w:pPr>
        <w:pStyle w:val="10"/>
        <w:spacing w:before="4"/>
        <w:rPr>
          <w:rFonts w:ascii="黑体"/>
          <w:sz w:val="38"/>
        </w:rPr>
      </w:pPr>
    </w:p>
    <w:p>
      <w:pPr>
        <w:pStyle w:val="10"/>
        <w:spacing w:before="1" w:line="417" w:lineRule="auto"/>
        <w:ind w:left="212" w:right="546" w:firstLine="420"/>
      </w:pPr>
      <w:r>
        <w:rPr>
          <w:spacing w:val="-5"/>
        </w:rPr>
        <w:t>合同双方当事人不得以贿赂或变相贿赂的方式，谋取不当利益或损害对方权益。因贿赂造成对方损失</w:t>
      </w:r>
      <w:r>
        <w:rPr>
          <w:spacing w:val="-4"/>
        </w:rPr>
        <w:t>的，行为人应赔偿损失，并承担相应的法律责任。</w:t>
      </w:r>
    </w:p>
    <w:p>
      <w:pPr>
        <w:pStyle w:val="10"/>
        <w:rPr>
          <w:sz w:val="23"/>
        </w:rPr>
      </w:pPr>
    </w:p>
    <w:p>
      <w:pPr>
        <w:rPr>
          <w:rFonts w:ascii="黑体" w:eastAsia="黑体"/>
          <w:sz w:val="28"/>
        </w:rPr>
      </w:pPr>
      <w:bookmarkStart w:id="141" w:name="_bookmark90"/>
      <w:bookmarkEnd w:id="141"/>
      <w:r>
        <w:rPr>
          <w:rFonts w:hint="eastAsia" w:ascii="黑体" w:eastAsia="黑体"/>
          <w:sz w:val="28"/>
        </w:rPr>
        <w:t xml:space="preserve">1.10 </w:t>
      </w:r>
      <w:r>
        <w:rPr>
          <w:rFonts w:ascii="黑体" w:eastAsia="黑体"/>
          <w:sz w:val="28"/>
        </w:rPr>
        <w:t>化石、文物</w:t>
      </w:r>
    </w:p>
    <w:p>
      <w:pPr>
        <w:pStyle w:val="10"/>
        <w:spacing w:before="2"/>
        <w:rPr>
          <w:rFonts w:ascii="黑体"/>
          <w:sz w:val="38"/>
        </w:rPr>
      </w:pPr>
    </w:p>
    <w:p>
      <w:pPr>
        <w:tabs>
          <w:tab w:val="left" w:pos="1265"/>
        </w:tabs>
        <w:spacing w:line="417" w:lineRule="auto"/>
        <w:ind w:right="546" w:firstLine="396" w:firstLineChars="200"/>
        <w:rPr>
          <w:sz w:val="21"/>
        </w:rPr>
      </w:pPr>
      <w:r>
        <w:rPr>
          <w:rFonts w:hint="eastAsia"/>
          <w:spacing w:val="-6"/>
          <w:sz w:val="21"/>
        </w:rPr>
        <w:t>1.10.1</w:t>
      </w:r>
      <w:r>
        <w:rPr>
          <w:spacing w:val="-6"/>
          <w:sz w:val="21"/>
        </w:rPr>
        <w:t>在施工场地发掘的所有文物、古迹以及具有地质研究或考古价值的其他遗迹、化石、钱币或物</w:t>
      </w:r>
      <w:r>
        <w:rPr>
          <w:spacing w:val="-7"/>
          <w:sz w:val="21"/>
        </w:rPr>
        <w:t>品属于国家所有。一旦发现上述文物，承包人应采取有效合理的保护措施，防止任何人员移动或损坏上述</w:t>
      </w:r>
      <w:r>
        <w:rPr>
          <w:spacing w:val="-6"/>
          <w:sz w:val="21"/>
        </w:rPr>
        <w:t>物品，并立即报告当地文物行政部门，同时通知监理人和发包人。发包人、监理人和承包人应按文物行政</w:t>
      </w:r>
      <w:r>
        <w:rPr>
          <w:spacing w:val="-4"/>
          <w:sz w:val="21"/>
        </w:rPr>
        <w:t>部门要求采取妥善保护措施，由此导致费用增加和</w:t>
      </w:r>
      <w:r>
        <w:rPr>
          <w:sz w:val="21"/>
        </w:rPr>
        <w:t>（或</w:t>
      </w:r>
      <w:r>
        <w:rPr>
          <w:spacing w:val="-3"/>
          <w:sz w:val="21"/>
        </w:rPr>
        <w:t>）工期延误由发包人承担。</w:t>
      </w:r>
    </w:p>
    <w:p>
      <w:pPr>
        <w:tabs>
          <w:tab w:val="left" w:pos="1265"/>
        </w:tabs>
        <w:spacing w:line="417" w:lineRule="auto"/>
        <w:ind w:left="519" w:right="546"/>
        <w:jc w:val="both"/>
        <w:rPr>
          <w:sz w:val="21"/>
        </w:rPr>
      </w:pPr>
      <w:r>
        <w:rPr>
          <w:rFonts w:hint="eastAsia"/>
          <w:spacing w:val="-6"/>
          <w:sz w:val="21"/>
        </w:rPr>
        <w:t xml:space="preserve">1.10.2 </w:t>
      </w:r>
      <w:r>
        <w:rPr>
          <w:spacing w:val="-6"/>
          <w:sz w:val="21"/>
        </w:rPr>
        <w:t>承包人发现文物后不及时报告或隐瞒不报，致使文物丢失或损坏的，应赔偿损失，并承担相应</w:t>
      </w:r>
      <w:r>
        <w:rPr>
          <w:spacing w:val="-4"/>
          <w:sz w:val="21"/>
        </w:rPr>
        <w:t>的法律责任。</w:t>
      </w:r>
    </w:p>
    <w:p>
      <w:pPr>
        <w:spacing w:line="417" w:lineRule="auto"/>
        <w:jc w:val="both"/>
        <w:rPr>
          <w:sz w:val="21"/>
        </w:rPr>
        <w:sectPr>
          <w:pgSz w:w="11910" w:h="16840"/>
          <w:pgMar w:top="1440" w:right="580" w:bottom="1220" w:left="920" w:header="0" w:footer="950" w:gutter="0"/>
          <w:cols w:space="720" w:num="1"/>
        </w:sectPr>
      </w:pPr>
    </w:p>
    <w:p>
      <w:pPr>
        <w:rPr>
          <w:rFonts w:ascii="黑体" w:eastAsia="黑体"/>
          <w:sz w:val="28"/>
        </w:rPr>
      </w:pPr>
      <w:bookmarkStart w:id="142" w:name="_bookmark91"/>
      <w:bookmarkEnd w:id="142"/>
      <w:r>
        <w:rPr>
          <w:rFonts w:hint="eastAsia" w:ascii="黑体" w:eastAsia="黑体"/>
          <w:sz w:val="28"/>
        </w:rPr>
        <w:t>1.11</w:t>
      </w:r>
      <w:r>
        <w:rPr>
          <w:rFonts w:ascii="黑体" w:eastAsia="黑体"/>
          <w:sz w:val="28"/>
        </w:rPr>
        <w:t>知识产权</w:t>
      </w:r>
    </w:p>
    <w:p>
      <w:pPr>
        <w:pStyle w:val="10"/>
        <w:spacing w:before="4"/>
        <w:rPr>
          <w:rFonts w:ascii="黑体"/>
          <w:sz w:val="38"/>
        </w:rPr>
      </w:pPr>
    </w:p>
    <w:p>
      <w:pPr>
        <w:tabs>
          <w:tab w:val="left" w:pos="1243"/>
        </w:tabs>
        <w:spacing w:line="417" w:lineRule="auto"/>
        <w:ind w:right="546" w:firstLine="408" w:firstLineChars="200"/>
        <w:rPr>
          <w:sz w:val="21"/>
        </w:rPr>
      </w:pPr>
      <w:r>
        <w:rPr>
          <w:spacing w:val="-3"/>
          <w:sz w:val="21"/>
        </w:rPr>
        <w:t>1.</w:t>
      </w:r>
      <w:r>
        <w:rPr>
          <w:rFonts w:hint="eastAsia"/>
          <w:spacing w:val="-3"/>
          <w:sz w:val="21"/>
        </w:rPr>
        <w:t>1</w:t>
      </w:r>
      <w:r>
        <w:rPr>
          <w:spacing w:val="-3"/>
          <w:sz w:val="21"/>
        </w:rPr>
        <w:t>1.1 除专用合同条款另有约定外，承包人完成的设计工作成果和建造完成的建筑物，除署名权以外的著作权以及建筑物形象使用收益等其他知识产权均归发包人享有。</w:t>
      </w:r>
    </w:p>
    <w:p>
      <w:pPr>
        <w:tabs>
          <w:tab w:val="left" w:pos="1258"/>
        </w:tabs>
        <w:spacing w:line="417" w:lineRule="auto"/>
        <w:ind w:right="548" w:firstLine="408" w:firstLineChars="200"/>
        <w:rPr>
          <w:sz w:val="21"/>
        </w:rPr>
      </w:pPr>
      <w:r>
        <w:rPr>
          <w:spacing w:val="-3"/>
          <w:sz w:val="21"/>
        </w:rPr>
        <w:t>1.11.2承包人在进行设计，以及使用任何材料、承包人设备、工程设备或采用施工工艺时，因侵犯专利权或其他知识产权所引起的责任，由承包人承担。</w:t>
      </w:r>
    </w:p>
    <w:p>
      <w:pPr>
        <w:tabs>
          <w:tab w:val="left" w:pos="1258"/>
        </w:tabs>
        <w:spacing w:line="269" w:lineRule="exact"/>
        <w:ind w:firstLine="408" w:firstLineChars="200"/>
        <w:rPr>
          <w:sz w:val="21"/>
        </w:rPr>
      </w:pPr>
      <w:r>
        <w:rPr>
          <w:rFonts w:hint="eastAsia"/>
          <w:spacing w:val="-3"/>
          <w:sz w:val="21"/>
        </w:rPr>
        <w:t>1</w:t>
      </w:r>
      <w:r>
        <w:rPr>
          <w:spacing w:val="-3"/>
          <w:sz w:val="21"/>
        </w:rPr>
        <w:t>.11.3 承包人在投标文件中采用专利技术的，专利技术的使用费包含在投标报价内。</w:t>
      </w:r>
    </w:p>
    <w:p>
      <w:pPr>
        <w:pStyle w:val="10"/>
        <w:rPr>
          <w:sz w:val="22"/>
        </w:rPr>
      </w:pPr>
    </w:p>
    <w:p>
      <w:pPr>
        <w:pStyle w:val="10"/>
        <w:spacing w:before="7"/>
        <w:rPr>
          <w:sz w:val="16"/>
        </w:rPr>
      </w:pPr>
    </w:p>
    <w:p>
      <w:pPr>
        <w:rPr>
          <w:rFonts w:ascii="黑体" w:eastAsia="黑体"/>
          <w:sz w:val="28"/>
        </w:rPr>
      </w:pPr>
      <w:bookmarkStart w:id="143" w:name="_bookmark92"/>
      <w:bookmarkEnd w:id="143"/>
      <w:r>
        <w:rPr>
          <w:rFonts w:hint="eastAsia" w:ascii="黑体" w:eastAsia="黑体"/>
          <w:sz w:val="28"/>
        </w:rPr>
        <w:t>1.12</w:t>
      </w:r>
      <w:r>
        <w:rPr>
          <w:rFonts w:ascii="黑体" w:eastAsia="黑体"/>
          <w:sz w:val="28"/>
        </w:rPr>
        <w:t>文件及信息的保密</w:t>
      </w:r>
    </w:p>
    <w:p>
      <w:pPr>
        <w:pStyle w:val="10"/>
        <w:spacing w:before="5"/>
        <w:rPr>
          <w:rFonts w:ascii="黑体"/>
          <w:sz w:val="38"/>
        </w:rPr>
      </w:pPr>
    </w:p>
    <w:p>
      <w:pPr>
        <w:pStyle w:val="10"/>
        <w:spacing w:line="417" w:lineRule="auto"/>
        <w:ind w:left="212" w:right="546" w:firstLine="420"/>
      </w:pPr>
      <w:r>
        <w:rPr>
          <w:spacing w:val="-6"/>
        </w:rPr>
        <w:t>未经对方同意，任何一方当事人不得将有关文件、技术秘密、需要保密的资料和信息泄露给他人或公</w:t>
      </w:r>
      <w:r>
        <w:rPr>
          <w:spacing w:val="-4"/>
        </w:rPr>
        <w:t>开发表与引用。</w:t>
      </w:r>
    </w:p>
    <w:p>
      <w:pPr>
        <w:pStyle w:val="10"/>
        <w:spacing w:before="12"/>
        <w:rPr>
          <w:sz w:val="22"/>
        </w:rPr>
      </w:pPr>
    </w:p>
    <w:p>
      <w:pPr>
        <w:rPr>
          <w:rFonts w:ascii="黑体" w:eastAsia="黑体"/>
          <w:sz w:val="28"/>
        </w:rPr>
      </w:pPr>
      <w:bookmarkStart w:id="144" w:name="_bookmark93"/>
      <w:bookmarkEnd w:id="144"/>
      <w:r>
        <w:rPr>
          <w:rFonts w:hint="eastAsia" w:ascii="黑体" w:eastAsia="黑体"/>
          <w:sz w:val="28"/>
        </w:rPr>
        <w:t>1.13</w:t>
      </w:r>
      <w:r>
        <w:rPr>
          <w:rFonts w:ascii="黑体" w:eastAsia="黑体"/>
          <w:sz w:val="28"/>
        </w:rPr>
        <w:t>发包人要求中的错误</w:t>
      </w:r>
    </w:p>
    <w:p>
      <w:pPr>
        <w:pStyle w:val="10"/>
        <w:spacing w:before="2"/>
        <w:rPr>
          <w:rFonts w:ascii="黑体"/>
          <w:sz w:val="38"/>
        </w:rPr>
      </w:pPr>
    </w:p>
    <w:p>
      <w:pPr>
        <w:pStyle w:val="35"/>
        <w:numPr>
          <w:ilvl w:val="2"/>
          <w:numId w:val="25"/>
        </w:numPr>
        <w:tabs>
          <w:tab w:val="left" w:pos="1265"/>
        </w:tabs>
        <w:spacing w:line="417" w:lineRule="auto"/>
        <w:ind w:right="546"/>
        <w:jc w:val="both"/>
        <w:rPr>
          <w:sz w:val="21"/>
        </w:rPr>
      </w:pPr>
      <w:r>
        <w:rPr>
          <w:spacing w:val="-7"/>
          <w:sz w:val="21"/>
        </w:rPr>
        <w:t>承包人应认真阅读、复核发包人要求，发现错误的，应及时书面通知发包人。发包人作相应修</w:t>
      </w:r>
      <w:r>
        <w:rPr>
          <w:spacing w:val="-3"/>
          <w:sz w:val="21"/>
        </w:rPr>
        <w:t xml:space="preserve">改的，按照第 </w:t>
      </w:r>
      <w:r>
        <w:rPr>
          <w:sz w:val="21"/>
        </w:rPr>
        <w:t>15</w:t>
      </w:r>
      <w:r>
        <w:rPr>
          <w:spacing w:val="-3"/>
          <w:sz w:val="21"/>
        </w:rPr>
        <w:t xml:space="preserve"> 条约定处理。对确实存在的错误，发包人坚持不作修改的，应承担由此导致承包人增加的费用和(或)延误的工期。</w:t>
      </w:r>
    </w:p>
    <w:p>
      <w:pPr>
        <w:pStyle w:val="35"/>
        <w:numPr>
          <w:ilvl w:val="2"/>
          <w:numId w:val="25"/>
        </w:numPr>
        <w:tabs>
          <w:tab w:val="left" w:pos="1265"/>
        </w:tabs>
        <w:spacing w:line="417" w:lineRule="auto"/>
        <w:ind w:right="546"/>
        <w:jc w:val="both"/>
        <w:rPr>
          <w:sz w:val="21"/>
        </w:rPr>
      </w:pPr>
      <w:r>
        <w:rPr>
          <w:spacing w:val="-1"/>
          <w:sz w:val="21"/>
        </w:rPr>
        <w:t>承包人未发现发包人要求中存在错误的，承包人自行承担由此导致的费用增加和(或) 工期延</w:t>
      </w:r>
      <w:r>
        <w:rPr>
          <w:spacing w:val="-3"/>
          <w:sz w:val="21"/>
        </w:rPr>
        <w:t>误，但专用合同条款另有约定的除外。</w:t>
      </w:r>
    </w:p>
    <w:p>
      <w:pPr>
        <w:pStyle w:val="35"/>
        <w:numPr>
          <w:ilvl w:val="2"/>
          <w:numId w:val="25"/>
        </w:numPr>
        <w:tabs>
          <w:tab w:val="left" w:pos="1265"/>
        </w:tabs>
        <w:spacing w:line="417" w:lineRule="auto"/>
        <w:ind w:right="546"/>
        <w:jc w:val="both"/>
        <w:rPr>
          <w:sz w:val="21"/>
        </w:rPr>
      </w:pPr>
      <w:r>
        <w:rPr>
          <w:spacing w:val="-5"/>
          <w:sz w:val="21"/>
        </w:rPr>
        <w:t xml:space="preserve">无论承包人发现与否，在任何情况下，发包人要求中的下列错误导致承包人增加的费用和(或) </w:t>
      </w:r>
      <w:r>
        <w:rPr>
          <w:spacing w:val="-4"/>
          <w:sz w:val="21"/>
        </w:rPr>
        <w:t>延误的工期，</w:t>
      </w:r>
      <w:r>
        <w:rPr>
          <w:spacing w:val="-4"/>
          <w:sz w:val="21"/>
          <w:highlight w:val="yellow"/>
        </w:rPr>
        <w:t>由发包人承担。</w:t>
      </w:r>
    </w:p>
    <w:p>
      <w:pPr>
        <w:pStyle w:val="35"/>
        <w:numPr>
          <w:ilvl w:val="0"/>
          <w:numId w:val="26"/>
        </w:numPr>
        <w:tabs>
          <w:tab w:val="left" w:pos="1163"/>
        </w:tabs>
        <w:spacing w:line="269" w:lineRule="exact"/>
        <w:ind w:hanging="530"/>
        <w:rPr>
          <w:sz w:val="21"/>
        </w:rPr>
      </w:pPr>
      <w:r>
        <w:rPr>
          <w:spacing w:val="-3"/>
          <w:sz w:val="21"/>
        </w:rPr>
        <w:t>发包人要求中引用的原始数据和资料；</w:t>
      </w:r>
    </w:p>
    <w:p>
      <w:pPr>
        <w:pStyle w:val="10"/>
        <w:spacing w:before="6"/>
        <w:rPr>
          <w:sz w:val="15"/>
        </w:rPr>
      </w:pPr>
    </w:p>
    <w:p>
      <w:pPr>
        <w:pStyle w:val="35"/>
        <w:numPr>
          <w:ilvl w:val="0"/>
          <w:numId w:val="26"/>
        </w:numPr>
        <w:tabs>
          <w:tab w:val="left" w:pos="1163"/>
        </w:tabs>
        <w:spacing w:before="1"/>
        <w:ind w:hanging="530"/>
        <w:rPr>
          <w:sz w:val="21"/>
        </w:rPr>
      </w:pPr>
      <w:r>
        <w:rPr>
          <w:spacing w:val="-3"/>
          <w:sz w:val="21"/>
        </w:rPr>
        <w:t>对工程或其任何部分的功能要求；</w:t>
      </w:r>
    </w:p>
    <w:p>
      <w:pPr>
        <w:pStyle w:val="10"/>
        <w:spacing w:before="6"/>
        <w:rPr>
          <w:sz w:val="15"/>
        </w:rPr>
      </w:pPr>
    </w:p>
    <w:p>
      <w:pPr>
        <w:pStyle w:val="35"/>
        <w:numPr>
          <w:ilvl w:val="0"/>
          <w:numId w:val="26"/>
        </w:numPr>
        <w:tabs>
          <w:tab w:val="left" w:pos="1163"/>
        </w:tabs>
        <w:ind w:hanging="530"/>
        <w:rPr>
          <w:sz w:val="21"/>
        </w:rPr>
      </w:pPr>
      <w:r>
        <w:rPr>
          <w:spacing w:val="-3"/>
          <w:sz w:val="21"/>
        </w:rPr>
        <w:t>对工程的工艺安排或要求；</w:t>
      </w:r>
    </w:p>
    <w:p>
      <w:pPr>
        <w:pStyle w:val="10"/>
        <w:spacing w:before="7"/>
        <w:rPr>
          <w:sz w:val="15"/>
        </w:rPr>
      </w:pPr>
    </w:p>
    <w:p>
      <w:pPr>
        <w:pStyle w:val="35"/>
        <w:numPr>
          <w:ilvl w:val="0"/>
          <w:numId w:val="26"/>
        </w:numPr>
        <w:tabs>
          <w:tab w:val="left" w:pos="1163"/>
        </w:tabs>
        <w:ind w:hanging="530"/>
        <w:rPr>
          <w:sz w:val="21"/>
        </w:rPr>
      </w:pPr>
      <w:r>
        <w:rPr>
          <w:spacing w:val="-3"/>
          <w:sz w:val="21"/>
        </w:rPr>
        <w:t>试验和检验标准；</w:t>
      </w:r>
    </w:p>
    <w:p>
      <w:pPr>
        <w:pStyle w:val="10"/>
        <w:spacing w:before="7"/>
        <w:rPr>
          <w:sz w:val="15"/>
        </w:rPr>
      </w:pPr>
    </w:p>
    <w:p>
      <w:pPr>
        <w:pStyle w:val="35"/>
        <w:numPr>
          <w:ilvl w:val="0"/>
          <w:numId w:val="26"/>
        </w:numPr>
        <w:tabs>
          <w:tab w:val="left" w:pos="1163"/>
        </w:tabs>
        <w:ind w:hanging="530"/>
        <w:rPr>
          <w:sz w:val="21"/>
        </w:rPr>
      </w:pPr>
      <w:r>
        <w:rPr>
          <w:spacing w:val="-3"/>
          <w:sz w:val="21"/>
        </w:rPr>
        <w:t>除合同另有约定外，承包人无法核实的数据和资料。</w:t>
      </w:r>
    </w:p>
    <w:p>
      <w:pPr>
        <w:pStyle w:val="10"/>
        <w:rPr>
          <w:sz w:val="22"/>
        </w:rPr>
      </w:pPr>
    </w:p>
    <w:p>
      <w:pPr>
        <w:pStyle w:val="10"/>
        <w:spacing w:before="7"/>
        <w:rPr>
          <w:sz w:val="16"/>
        </w:rPr>
      </w:pPr>
    </w:p>
    <w:p>
      <w:pPr>
        <w:rPr>
          <w:rFonts w:ascii="黑体" w:eastAsia="黑体"/>
          <w:sz w:val="28"/>
        </w:rPr>
      </w:pPr>
      <w:bookmarkStart w:id="145" w:name="_bookmark94"/>
      <w:bookmarkEnd w:id="145"/>
      <w:r>
        <w:rPr>
          <w:rFonts w:hint="eastAsia" w:ascii="黑体" w:eastAsia="黑体"/>
          <w:sz w:val="28"/>
        </w:rPr>
        <w:t xml:space="preserve">1.14 </w:t>
      </w:r>
      <w:r>
        <w:rPr>
          <w:rFonts w:ascii="黑体" w:eastAsia="黑体"/>
          <w:sz w:val="28"/>
        </w:rPr>
        <w:t>发包人要求违法</w:t>
      </w:r>
    </w:p>
    <w:p>
      <w:pPr>
        <w:pStyle w:val="10"/>
        <w:spacing w:before="4"/>
        <w:rPr>
          <w:rFonts w:ascii="黑体"/>
          <w:sz w:val="38"/>
        </w:rPr>
      </w:pPr>
    </w:p>
    <w:p>
      <w:pPr>
        <w:pStyle w:val="10"/>
        <w:spacing w:before="1"/>
        <w:ind w:left="633"/>
      </w:pPr>
      <w:r>
        <w:t>发包人要求违反法律规定的，承包人发现后应书面通知发包人，并要求其改正。发包人收到通知书后</w:t>
      </w:r>
    </w:p>
    <w:p>
      <w:pPr>
        <w:sectPr>
          <w:pgSz w:w="11910" w:h="16840"/>
          <w:pgMar w:top="1480" w:right="580" w:bottom="1220" w:left="920" w:header="0" w:footer="950" w:gutter="0"/>
          <w:cols w:space="720" w:num="1"/>
        </w:sectPr>
      </w:pPr>
    </w:p>
    <w:p>
      <w:pPr>
        <w:pStyle w:val="10"/>
        <w:spacing w:before="59" w:line="417" w:lineRule="auto"/>
        <w:ind w:left="212" w:right="546"/>
      </w:pPr>
      <w:r>
        <w:rPr>
          <w:spacing w:val="-6"/>
        </w:rPr>
        <w:t>不予改正或不予答复的，承包人有权拒绝履行合同义务，</w:t>
      </w:r>
      <w:r>
        <w:rPr>
          <w:spacing w:val="-6"/>
          <w:highlight w:val="yellow"/>
        </w:rPr>
        <w:t>直至</w:t>
      </w:r>
      <w:r>
        <w:rPr>
          <w:rFonts w:hint="eastAsia"/>
          <w:spacing w:val="-6"/>
          <w:highlight w:val="yellow"/>
        </w:rPr>
        <w:t>发包人改正</w:t>
      </w:r>
      <w:r>
        <w:rPr>
          <w:spacing w:val="-6"/>
        </w:rPr>
        <w:t>。发包人应承担由此引起的承包人</w:t>
      </w:r>
      <w:r>
        <w:rPr>
          <w:spacing w:val="-4"/>
        </w:rPr>
        <w:t>全部损失。</w:t>
      </w:r>
    </w:p>
    <w:p>
      <w:pPr>
        <w:pStyle w:val="10"/>
        <w:spacing w:before="11"/>
        <w:rPr>
          <w:sz w:val="20"/>
        </w:rPr>
      </w:pPr>
    </w:p>
    <w:p>
      <w:pPr>
        <w:pStyle w:val="4"/>
      </w:pPr>
      <w:bookmarkStart w:id="146" w:name="_bookmark95"/>
      <w:bookmarkEnd w:id="146"/>
      <w:bookmarkStart w:id="147" w:name="_Toc37926054"/>
      <w:r>
        <w:rPr>
          <w:rFonts w:hint="eastAsia"/>
        </w:rPr>
        <w:t>2.</w:t>
      </w:r>
      <w:r>
        <w:t>发包人义务</w:t>
      </w:r>
      <w:bookmarkEnd w:id="147"/>
    </w:p>
    <w:p>
      <w:pPr>
        <w:pStyle w:val="10"/>
        <w:spacing w:before="1"/>
        <w:rPr>
          <w:rFonts w:ascii="黑体"/>
          <w:b/>
          <w:sz w:val="39"/>
        </w:rPr>
      </w:pPr>
    </w:p>
    <w:p>
      <w:pPr>
        <w:rPr>
          <w:rFonts w:ascii="Times New Roman" w:eastAsia="Times New Roman"/>
        </w:rPr>
      </w:pPr>
      <w:bookmarkStart w:id="148" w:name="_bookmark96"/>
      <w:bookmarkEnd w:id="148"/>
      <w:r>
        <w:rPr>
          <w:rFonts w:hint="eastAsia"/>
        </w:rPr>
        <w:t>2</w:t>
      </w:r>
      <w:r>
        <w:t>.1遵守法律</w:t>
      </w:r>
    </w:p>
    <w:p>
      <w:pPr>
        <w:pStyle w:val="10"/>
        <w:spacing w:before="5"/>
        <w:rPr>
          <w:rFonts w:ascii="黑体"/>
          <w:sz w:val="38"/>
        </w:rPr>
      </w:pPr>
    </w:p>
    <w:p>
      <w:pPr>
        <w:pStyle w:val="10"/>
        <w:ind w:left="633"/>
      </w:pPr>
      <w:r>
        <w:t>发包人在履行合同过程中应遵守法律，并保证承包人免于承担因发包人违反法律而引起的任何责任。</w:t>
      </w:r>
    </w:p>
    <w:p>
      <w:pPr>
        <w:pStyle w:val="10"/>
        <w:rPr>
          <w:sz w:val="20"/>
        </w:rPr>
      </w:pPr>
    </w:p>
    <w:p>
      <w:pPr>
        <w:pStyle w:val="10"/>
        <w:spacing w:before="6"/>
        <w:rPr>
          <w:sz w:val="18"/>
        </w:rPr>
      </w:pPr>
    </w:p>
    <w:p>
      <w:pPr>
        <w:rPr>
          <w:rFonts w:ascii="Times New Roman" w:eastAsia="Times New Roman"/>
        </w:rPr>
      </w:pPr>
      <w:bookmarkStart w:id="149" w:name="_bookmark97"/>
      <w:bookmarkEnd w:id="149"/>
      <w:r>
        <w:rPr>
          <w:rFonts w:hint="eastAsia"/>
          <w:spacing w:val="-2"/>
        </w:rPr>
        <w:t>2</w:t>
      </w:r>
      <w:r>
        <w:rPr>
          <w:spacing w:val="-2"/>
        </w:rPr>
        <w:t>.2发出承包人开始工作通知</w:t>
      </w:r>
    </w:p>
    <w:p>
      <w:pPr>
        <w:pStyle w:val="10"/>
        <w:spacing w:before="2"/>
        <w:rPr>
          <w:rFonts w:ascii="黑体"/>
          <w:sz w:val="38"/>
        </w:rPr>
      </w:pPr>
    </w:p>
    <w:p>
      <w:pPr>
        <w:pStyle w:val="10"/>
        <w:ind w:left="633"/>
      </w:pPr>
      <w:r>
        <w:t>发包人应委托监理人按第 11.1 款的约定向承包人发出开始工作通知。</w:t>
      </w:r>
    </w:p>
    <w:p>
      <w:pPr>
        <w:pStyle w:val="10"/>
        <w:rPr>
          <w:sz w:val="20"/>
        </w:rPr>
      </w:pPr>
    </w:p>
    <w:p>
      <w:pPr>
        <w:pStyle w:val="10"/>
        <w:spacing w:before="7"/>
        <w:rPr>
          <w:sz w:val="18"/>
        </w:rPr>
      </w:pPr>
    </w:p>
    <w:p>
      <w:pPr>
        <w:rPr>
          <w:rFonts w:ascii="Times New Roman" w:eastAsia="Times New Roman"/>
        </w:rPr>
      </w:pPr>
      <w:bookmarkStart w:id="150" w:name="_bookmark98"/>
      <w:bookmarkEnd w:id="150"/>
      <w:r>
        <w:rPr>
          <w:rFonts w:hint="eastAsia"/>
          <w:spacing w:val="-1"/>
        </w:rPr>
        <w:t>2</w:t>
      </w:r>
      <w:r>
        <w:rPr>
          <w:spacing w:val="-1"/>
        </w:rPr>
        <w:t>.3提供施工场地</w:t>
      </w:r>
    </w:p>
    <w:p>
      <w:pPr>
        <w:pStyle w:val="10"/>
        <w:spacing w:before="4"/>
        <w:rPr>
          <w:rFonts w:ascii="黑体"/>
          <w:sz w:val="38"/>
        </w:rPr>
      </w:pPr>
    </w:p>
    <w:p>
      <w:pPr>
        <w:pStyle w:val="10"/>
        <w:ind w:left="633"/>
      </w:pPr>
      <w:r>
        <w:t>发包人应按专用合同条款约定向承包人提供施工场地及进场施工条件，并明确与承包人的交接界面。</w:t>
      </w:r>
    </w:p>
    <w:p>
      <w:pPr>
        <w:pStyle w:val="10"/>
        <w:rPr>
          <w:sz w:val="20"/>
        </w:rPr>
      </w:pPr>
    </w:p>
    <w:p>
      <w:pPr>
        <w:pStyle w:val="10"/>
        <w:spacing w:before="7"/>
        <w:rPr>
          <w:sz w:val="18"/>
        </w:rPr>
      </w:pPr>
    </w:p>
    <w:p>
      <w:pPr>
        <w:rPr>
          <w:rFonts w:ascii="Times New Roman" w:eastAsia="Times New Roman"/>
        </w:rPr>
      </w:pPr>
      <w:bookmarkStart w:id="151" w:name="_bookmark99"/>
      <w:bookmarkEnd w:id="151"/>
      <w:r>
        <w:rPr>
          <w:rFonts w:hint="eastAsia"/>
          <w:spacing w:val="-1"/>
        </w:rPr>
        <w:t>2</w:t>
      </w:r>
      <w:r>
        <w:rPr>
          <w:spacing w:val="-1"/>
        </w:rPr>
        <w:t>.4办理证件和批件</w:t>
      </w:r>
    </w:p>
    <w:p>
      <w:pPr>
        <w:pStyle w:val="10"/>
        <w:spacing w:before="5"/>
        <w:rPr>
          <w:rFonts w:ascii="黑体"/>
          <w:sz w:val="38"/>
        </w:rPr>
      </w:pPr>
    </w:p>
    <w:p>
      <w:pPr>
        <w:pStyle w:val="10"/>
        <w:spacing w:line="417" w:lineRule="auto"/>
        <w:ind w:left="212" w:right="441" w:firstLine="420"/>
      </w:pPr>
      <w:r>
        <w:rPr>
          <w:spacing w:val="-10"/>
        </w:rPr>
        <w:t>法律规定和</w:t>
      </w:r>
      <w:r>
        <w:t>（或</w:t>
      </w:r>
      <w:r>
        <w:rPr>
          <w:spacing w:val="-46"/>
        </w:rPr>
        <w:t>）</w:t>
      </w:r>
      <w:r>
        <w:rPr>
          <w:spacing w:val="-5"/>
        </w:rPr>
        <w:t xml:space="preserve">合同约定由发包人负责办理的工程建设项目必须履行的各类审批、核准或备案手续， </w:t>
      </w:r>
      <w:r>
        <w:rPr>
          <w:spacing w:val="-4"/>
        </w:rPr>
        <w:t>发包人应按时办理。</w:t>
      </w:r>
    </w:p>
    <w:p>
      <w:pPr>
        <w:pStyle w:val="10"/>
        <w:spacing w:line="269" w:lineRule="exact"/>
        <w:ind w:left="633"/>
      </w:pPr>
      <w:r>
        <w:t>法律规定和（或）合同约定由承包人负责的有关设计、施工证件和批件，发包人应给予必要的协助。</w:t>
      </w:r>
    </w:p>
    <w:p>
      <w:pPr>
        <w:pStyle w:val="10"/>
        <w:rPr>
          <w:sz w:val="20"/>
        </w:rPr>
      </w:pPr>
    </w:p>
    <w:p>
      <w:pPr>
        <w:pStyle w:val="10"/>
        <w:spacing w:before="7"/>
        <w:rPr>
          <w:sz w:val="18"/>
        </w:rPr>
      </w:pPr>
    </w:p>
    <w:p>
      <w:pPr>
        <w:rPr>
          <w:rFonts w:ascii="Times New Roman" w:eastAsia="Times New Roman"/>
        </w:rPr>
      </w:pPr>
      <w:bookmarkStart w:id="152" w:name="_bookmark100"/>
      <w:bookmarkEnd w:id="152"/>
      <w:r>
        <w:rPr>
          <w:rFonts w:hint="eastAsia"/>
          <w:spacing w:val="-1"/>
        </w:rPr>
        <w:t>2</w:t>
      </w:r>
      <w:r>
        <w:rPr>
          <w:spacing w:val="-1"/>
        </w:rPr>
        <w:t>.5支付合同价款</w:t>
      </w:r>
    </w:p>
    <w:p>
      <w:pPr>
        <w:pStyle w:val="10"/>
        <w:spacing w:before="2"/>
        <w:rPr>
          <w:rFonts w:ascii="黑体"/>
          <w:sz w:val="38"/>
        </w:rPr>
      </w:pPr>
    </w:p>
    <w:p>
      <w:pPr>
        <w:pStyle w:val="10"/>
        <w:spacing w:line="417" w:lineRule="auto"/>
        <w:ind w:left="212" w:right="524" w:firstLine="420"/>
      </w:pPr>
      <w:r>
        <w:t>发包人应按合同约定向承包人及时支付合同价款。专用合同条款对发包人工程款支付担保有约定的， 从其约定。</w:t>
      </w:r>
    </w:p>
    <w:p>
      <w:pPr>
        <w:pStyle w:val="10"/>
        <w:rPr>
          <w:sz w:val="23"/>
        </w:rPr>
      </w:pPr>
    </w:p>
    <w:p>
      <w:pPr>
        <w:rPr>
          <w:rFonts w:ascii="Times New Roman" w:eastAsia="Times New Roman"/>
        </w:rPr>
      </w:pPr>
      <w:bookmarkStart w:id="153" w:name="_bookmark101"/>
      <w:bookmarkEnd w:id="153"/>
      <w:r>
        <w:rPr>
          <w:rFonts w:hint="eastAsia"/>
          <w:spacing w:val="-1"/>
        </w:rPr>
        <w:t>2</w:t>
      </w:r>
      <w:r>
        <w:rPr>
          <w:spacing w:val="-1"/>
        </w:rPr>
        <w:t>.6 组织竣工验收</w:t>
      </w:r>
    </w:p>
    <w:p>
      <w:pPr>
        <w:pStyle w:val="10"/>
        <w:spacing w:before="5"/>
        <w:rPr>
          <w:rFonts w:ascii="黑体"/>
          <w:sz w:val="38"/>
        </w:rPr>
      </w:pPr>
    </w:p>
    <w:p>
      <w:pPr>
        <w:pStyle w:val="10"/>
        <w:ind w:left="633"/>
      </w:pPr>
      <w:r>
        <w:t>发包人应按合同约定及时组织竣工验收。</w:t>
      </w:r>
    </w:p>
    <w:p>
      <w:pPr>
        <w:sectPr>
          <w:pgSz w:w="11910" w:h="16840"/>
          <w:pgMar w:top="1440" w:right="580" w:bottom="1220" w:left="920" w:header="0" w:footer="950" w:gutter="0"/>
          <w:cols w:space="720" w:num="1"/>
        </w:sectPr>
      </w:pPr>
    </w:p>
    <w:p>
      <w:pPr>
        <w:rPr>
          <w:rFonts w:ascii="Times New Roman" w:eastAsia="Times New Roman"/>
        </w:rPr>
      </w:pPr>
      <w:bookmarkStart w:id="154" w:name="_bookmark102"/>
      <w:bookmarkEnd w:id="154"/>
      <w:r>
        <w:rPr>
          <w:rFonts w:hint="eastAsia"/>
        </w:rPr>
        <w:t>2</w:t>
      </w:r>
      <w:r>
        <w:t>.7 其他义务</w:t>
      </w:r>
    </w:p>
    <w:p>
      <w:pPr>
        <w:pStyle w:val="10"/>
        <w:spacing w:before="4"/>
        <w:rPr>
          <w:rFonts w:ascii="黑体"/>
          <w:sz w:val="38"/>
        </w:rPr>
      </w:pPr>
    </w:p>
    <w:p>
      <w:pPr>
        <w:pStyle w:val="10"/>
        <w:ind w:left="633"/>
      </w:pPr>
      <w:r>
        <w:t>发包人应履行合同约定的其他义务。</w:t>
      </w:r>
    </w:p>
    <w:p>
      <w:pPr>
        <w:pStyle w:val="10"/>
        <w:rPr>
          <w:sz w:val="20"/>
        </w:rPr>
      </w:pPr>
    </w:p>
    <w:p>
      <w:pPr>
        <w:pStyle w:val="10"/>
        <w:spacing w:before="5"/>
        <w:rPr>
          <w:sz w:val="16"/>
        </w:rPr>
      </w:pPr>
    </w:p>
    <w:p>
      <w:pPr>
        <w:pStyle w:val="4"/>
      </w:pPr>
      <w:bookmarkStart w:id="155" w:name="_bookmark103"/>
      <w:bookmarkEnd w:id="155"/>
      <w:bookmarkStart w:id="156" w:name="_Toc37926055"/>
      <w:r>
        <w:rPr>
          <w:rFonts w:hint="eastAsia"/>
        </w:rPr>
        <w:t>3</w:t>
      </w:r>
      <w:r>
        <w:t xml:space="preserve"> 监理人</w:t>
      </w:r>
      <w:bookmarkEnd w:id="156"/>
    </w:p>
    <w:p>
      <w:pPr>
        <w:pStyle w:val="10"/>
        <w:spacing w:before="3"/>
        <w:rPr>
          <w:rFonts w:ascii="黑体"/>
          <w:b/>
          <w:sz w:val="39"/>
        </w:rPr>
      </w:pPr>
    </w:p>
    <w:p>
      <w:pPr>
        <w:pStyle w:val="35"/>
        <w:numPr>
          <w:ilvl w:val="1"/>
          <w:numId w:val="22"/>
        </w:numPr>
        <w:rPr>
          <w:rFonts w:ascii="Times New Roman" w:eastAsia="Times New Roman"/>
        </w:rPr>
      </w:pPr>
      <w:bookmarkStart w:id="157" w:name="_bookmark104"/>
      <w:bookmarkEnd w:id="157"/>
      <w:r>
        <w:rPr>
          <w:spacing w:val="-2"/>
        </w:rPr>
        <w:t>监理人的职责和权力</w:t>
      </w:r>
    </w:p>
    <w:p>
      <w:pPr>
        <w:pStyle w:val="10"/>
        <w:spacing w:before="1"/>
        <w:rPr>
          <w:rFonts w:ascii="黑体"/>
          <w:sz w:val="38"/>
        </w:rPr>
      </w:pPr>
    </w:p>
    <w:p>
      <w:pPr>
        <w:tabs>
          <w:tab w:val="left" w:pos="1159"/>
        </w:tabs>
        <w:spacing w:before="1" w:line="417" w:lineRule="auto"/>
        <w:ind w:right="443" w:firstLine="400" w:firstLineChars="200"/>
        <w:rPr>
          <w:sz w:val="21"/>
        </w:rPr>
      </w:pPr>
      <w:r>
        <w:rPr>
          <w:rFonts w:hint="eastAsia"/>
          <w:spacing w:val="-5"/>
          <w:sz w:val="21"/>
        </w:rPr>
        <w:t>3</w:t>
      </w:r>
      <w:r>
        <w:rPr>
          <w:spacing w:val="-5"/>
          <w:sz w:val="21"/>
        </w:rPr>
        <w:t>.1.1 监理人受发包人委托，享有合同约定的权力，其所发出的任何指示应视为已得到发包人的批准。</w:t>
      </w:r>
      <w:r>
        <w:rPr>
          <w:spacing w:val="-4"/>
          <w:sz w:val="21"/>
        </w:rPr>
        <w:t>监理人在行使某项权力前需要经发包人事先批准而通用合同条款没有指明的，应在专用合同条款中指明。</w:t>
      </w:r>
      <w:r>
        <w:rPr>
          <w:spacing w:val="-3"/>
          <w:sz w:val="21"/>
        </w:rPr>
        <w:t>未经发包人批准，监理人无权修改合同。</w:t>
      </w:r>
    </w:p>
    <w:p>
      <w:pPr>
        <w:tabs>
          <w:tab w:val="left" w:pos="1162"/>
        </w:tabs>
        <w:spacing w:line="417" w:lineRule="auto"/>
        <w:ind w:right="552" w:firstLine="416" w:firstLineChars="200"/>
        <w:rPr>
          <w:sz w:val="21"/>
        </w:rPr>
      </w:pPr>
      <w:r>
        <w:rPr>
          <w:rFonts w:hint="eastAsia"/>
          <w:spacing w:val="-1"/>
          <w:sz w:val="21"/>
        </w:rPr>
        <w:t>3</w:t>
      </w:r>
      <w:r>
        <w:rPr>
          <w:spacing w:val="-1"/>
          <w:sz w:val="21"/>
        </w:rPr>
        <w:t>.1.2 合同约定应由承包人承担的义务和责任，不因监理人对承包人文件的审查或批准，对工程、材</w:t>
      </w:r>
      <w:r>
        <w:rPr>
          <w:spacing w:val="-3"/>
          <w:sz w:val="21"/>
        </w:rPr>
        <w:t>料和工程设备的检查和检验，以及为实施监理作出的指示等职务行为而减轻或解除。</w:t>
      </w:r>
    </w:p>
    <w:p>
      <w:pPr>
        <w:pStyle w:val="10"/>
        <w:spacing w:before="12"/>
        <w:rPr>
          <w:sz w:val="22"/>
        </w:rPr>
      </w:pPr>
    </w:p>
    <w:p>
      <w:pPr>
        <w:ind w:firstLine="218" w:firstLineChars="100"/>
        <w:rPr>
          <w:rFonts w:ascii="Times New Roman" w:eastAsia="Times New Roman"/>
        </w:rPr>
      </w:pPr>
      <w:bookmarkStart w:id="158" w:name="_bookmark105"/>
      <w:bookmarkEnd w:id="158"/>
      <w:r>
        <w:rPr>
          <w:rFonts w:hint="eastAsia"/>
          <w:spacing w:val="-1"/>
        </w:rPr>
        <w:t>3</w:t>
      </w:r>
      <w:r>
        <w:rPr>
          <w:spacing w:val="-1"/>
        </w:rPr>
        <w:t>.2 总监理工程师</w:t>
      </w:r>
    </w:p>
    <w:p>
      <w:pPr>
        <w:pStyle w:val="10"/>
        <w:spacing w:before="5"/>
        <w:rPr>
          <w:rFonts w:ascii="黑体"/>
          <w:sz w:val="38"/>
        </w:rPr>
      </w:pPr>
    </w:p>
    <w:p>
      <w:pPr>
        <w:pStyle w:val="10"/>
        <w:spacing w:line="417" w:lineRule="auto"/>
        <w:ind w:left="212" w:right="551" w:firstLine="420"/>
      </w:pPr>
      <w:r>
        <w:rPr>
          <w:spacing w:val="-7"/>
        </w:rPr>
        <w:t xml:space="preserve">发包人应在发出开始工作通知前将总监理工程师的任命通知承包人。总监理工程师更换时，应提前 </w:t>
      </w:r>
      <w:r>
        <w:rPr>
          <w:spacing w:val="-3"/>
        </w:rPr>
        <w:t>14 天通知承包人。总监理工程师超过２天不能履行职责的，应委派代表代行其职责，并通知承包人。</w:t>
      </w:r>
    </w:p>
    <w:p>
      <w:pPr>
        <w:pStyle w:val="10"/>
        <w:rPr>
          <w:sz w:val="23"/>
        </w:rPr>
      </w:pPr>
    </w:p>
    <w:p>
      <w:pPr>
        <w:ind w:firstLine="220" w:firstLineChars="100"/>
        <w:rPr>
          <w:rFonts w:ascii="Times New Roman" w:eastAsia="Times New Roman"/>
        </w:rPr>
      </w:pPr>
      <w:bookmarkStart w:id="159" w:name="_bookmark106"/>
      <w:bookmarkEnd w:id="159"/>
      <w:r>
        <w:rPr>
          <w:rFonts w:hint="eastAsia"/>
        </w:rPr>
        <w:t>3</w:t>
      </w:r>
      <w:r>
        <w:t>.3 监理人员</w:t>
      </w:r>
    </w:p>
    <w:p>
      <w:pPr>
        <w:pStyle w:val="10"/>
        <w:spacing w:before="2"/>
        <w:rPr>
          <w:rFonts w:ascii="黑体"/>
          <w:sz w:val="38"/>
        </w:rPr>
      </w:pPr>
    </w:p>
    <w:p>
      <w:pPr>
        <w:tabs>
          <w:tab w:val="left" w:pos="1162"/>
        </w:tabs>
        <w:spacing w:line="417" w:lineRule="auto"/>
        <w:ind w:right="546" w:firstLine="208" w:firstLineChars="100"/>
        <w:jc w:val="both"/>
        <w:rPr>
          <w:sz w:val="21"/>
        </w:rPr>
      </w:pPr>
      <w:r>
        <w:rPr>
          <w:rFonts w:hint="eastAsia"/>
          <w:spacing w:val="-1"/>
          <w:sz w:val="21"/>
        </w:rPr>
        <w:t>3</w:t>
      </w:r>
      <w:r>
        <w:rPr>
          <w:spacing w:val="-1"/>
          <w:sz w:val="21"/>
        </w:rPr>
        <w:t>.3.1 总监理工程师可以授权其他监理人员负责执行其指派的一项或多项监理工作。总监理工程师应</w:t>
      </w:r>
      <w:r>
        <w:rPr>
          <w:spacing w:val="-4"/>
          <w:sz w:val="21"/>
        </w:rPr>
        <w:t>将被授权监理人员的姓名及其授权范围通知承包人。被授权的监理人员在授权范围内发出的指示视为已得</w:t>
      </w:r>
      <w:r>
        <w:rPr>
          <w:spacing w:val="-6"/>
          <w:sz w:val="21"/>
        </w:rPr>
        <w:t>到总监理工程师的同意，与总监理工程师发出的指示具有同等效力。总监理工程师撤销某项授权时，应将</w:t>
      </w:r>
      <w:r>
        <w:rPr>
          <w:spacing w:val="-4"/>
          <w:sz w:val="21"/>
        </w:rPr>
        <w:t>撤销授权的决定及时通知发包人和承包人。</w:t>
      </w:r>
    </w:p>
    <w:p>
      <w:pPr>
        <w:tabs>
          <w:tab w:val="left" w:pos="1162"/>
        </w:tabs>
        <w:spacing w:line="417" w:lineRule="auto"/>
        <w:ind w:right="546" w:firstLine="210" w:firstLineChars="100"/>
        <w:jc w:val="both"/>
        <w:rPr>
          <w:sz w:val="21"/>
        </w:rPr>
      </w:pPr>
      <w:r>
        <w:rPr>
          <w:rFonts w:hint="eastAsia"/>
          <w:sz w:val="21"/>
        </w:rPr>
        <w:t>3</w:t>
      </w:r>
      <w:r>
        <w:rPr>
          <w:sz w:val="21"/>
        </w:rPr>
        <w:t>.3.2 总监理工程师授权的监理人员对承包人文件、工程或其采用的材料和工程设备未在约定的或合</w:t>
      </w:r>
      <w:r>
        <w:rPr>
          <w:spacing w:val="-7"/>
          <w:sz w:val="21"/>
        </w:rPr>
        <w:t>理的期限内提出否定意见的，视为已获批准，但不影响监理人在以后拒绝该项工作、工程、材料或工程设</w:t>
      </w:r>
      <w:r>
        <w:rPr>
          <w:spacing w:val="-5"/>
          <w:sz w:val="21"/>
        </w:rPr>
        <w:t>备的权利，监理人的拒绝应当符合法律规定和合同约定。</w:t>
      </w:r>
    </w:p>
    <w:p>
      <w:pPr>
        <w:tabs>
          <w:tab w:val="left" w:pos="1159"/>
        </w:tabs>
        <w:spacing w:line="417" w:lineRule="auto"/>
        <w:ind w:right="548" w:firstLine="200" w:firstLineChars="100"/>
        <w:jc w:val="both"/>
        <w:rPr>
          <w:sz w:val="21"/>
        </w:rPr>
      </w:pPr>
      <w:r>
        <w:rPr>
          <w:rFonts w:hint="eastAsia"/>
          <w:spacing w:val="-5"/>
          <w:sz w:val="21"/>
        </w:rPr>
        <w:t>3</w:t>
      </w:r>
      <w:r>
        <w:rPr>
          <w:spacing w:val="-5"/>
          <w:sz w:val="21"/>
        </w:rPr>
        <w:t xml:space="preserve">.3.3 承包人对总监理工程师授权的监理人员发出的指示有疑问的，可在该指示发出的 </w:t>
      </w:r>
      <w:r>
        <w:rPr>
          <w:sz w:val="21"/>
        </w:rPr>
        <w:t>48</w:t>
      </w:r>
      <w:r>
        <w:rPr>
          <w:spacing w:val="-8"/>
          <w:sz w:val="21"/>
        </w:rPr>
        <w:t xml:space="preserve"> 小时内向总监理工程师提出书面异议，总监理工程师应在 </w:t>
      </w:r>
      <w:r>
        <w:rPr>
          <w:rFonts w:ascii="Times New Roman" w:eastAsia="Times New Roman"/>
          <w:sz w:val="21"/>
        </w:rPr>
        <w:t>48</w:t>
      </w:r>
      <w:r>
        <w:rPr>
          <w:rFonts w:ascii="Times New Roman" w:eastAsia="Times New Roman"/>
          <w:spacing w:val="-1"/>
          <w:sz w:val="21"/>
        </w:rPr>
        <w:t xml:space="preserve"> </w:t>
      </w:r>
      <w:r>
        <w:rPr>
          <w:spacing w:val="-3"/>
          <w:sz w:val="21"/>
        </w:rPr>
        <w:t>小时内对该指示予以确认、更改或撤销。</w:t>
      </w:r>
    </w:p>
    <w:p>
      <w:pPr>
        <w:tabs>
          <w:tab w:val="left" w:pos="1162"/>
        </w:tabs>
        <w:spacing w:line="417" w:lineRule="auto"/>
        <w:ind w:right="546" w:firstLine="206" w:firstLineChars="100"/>
        <w:jc w:val="both"/>
        <w:rPr>
          <w:sz w:val="21"/>
        </w:rPr>
      </w:pPr>
      <w:r>
        <w:rPr>
          <w:rFonts w:hint="eastAsia"/>
          <w:spacing w:val="-2"/>
          <w:sz w:val="21"/>
        </w:rPr>
        <w:t>3</w:t>
      </w:r>
      <w:r>
        <w:rPr>
          <w:spacing w:val="-2"/>
          <w:sz w:val="21"/>
        </w:rPr>
        <w:t xml:space="preserve">.3.4 除专用合同条款另有约定外，总监理工程师不应将第 </w:t>
      </w:r>
      <w:r>
        <w:rPr>
          <w:rFonts w:ascii="Times New Roman" w:eastAsia="Times New Roman"/>
          <w:sz w:val="21"/>
        </w:rPr>
        <w:t>3.5</w:t>
      </w:r>
      <w:r>
        <w:rPr>
          <w:rFonts w:ascii="Times New Roman" w:eastAsia="Times New Roman"/>
          <w:spacing w:val="23"/>
          <w:sz w:val="21"/>
        </w:rPr>
        <w:t xml:space="preserve"> </w:t>
      </w:r>
      <w:r>
        <w:rPr>
          <w:spacing w:val="-3"/>
          <w:sz w:val="21"/>
        </w:rPr>
        <w:t>款约定应由总监理工程师作出确定的权力授权或委托给其他监理人员。</w:t>
      </w:r>
    </w:p>
    <w:p>
      <w:pPr>
        <w:spacing w:line="417" w:lineRule="auto"/>
        <w:jc w:val="both"/>
        <w:rPr>
          <w:sz w:val="21"/>
        </w:rPr>
        <w:sectPr>
          <w:pgSz w:w="11910" w:h="16840"/>
          <w:pgMar w:top="1480" w:right="580" w:bottom="1220" w:left="920" w:header="0" w:footer="950" w:gutter="0"/>
          <w:cols w:space="720" w:num="1"/>
        </w:sectPr>
      </w:pPr>
    </w:p>
    <w:p>
      <w:pPr>
        <w:ind w:firstLine="436" w:firstLineChars="200"/>
        <w:rPr>
          <w:rFonts w:ascii="Times New Roman" w:eastAsia="Times New Roman"/>
        </w:rPr>
      </w:pPr>
      <w:bookmarkStart w:id="160" w:name="_bookmark107"/>
      <w:bookmarkEnd w:id="160"/>
      <w:r>
        <w:rPr>
          <w:rFonts w:hint="eastAsia"/>
          <w:spacing w:val="-1"/>
        </w:rPr>
        <w:t>3</w:t>
      </w:r>
      <w:r>
        <w:rPr>
          <w:spacing w:val="-1"/>
        </w:rPr>
        <w:t>.4 监理人的指示</w:t>
      </w:r>
    </w:p>
    <w:p>
      <w:pPr>
        <w:pStyle w:val="10"/>
        <w:spacing w:before="4"/>
        <w:rPr>
          <w:rFonts w:ascii="黑体"/>
          <w:sz w:val="38"/>
        </w:rPr>
      </w:pPr>
    </w:p>
    <w:p>
      <w:pPr>
        <w:tabs>
          <w:tab w:val="left" w:pos="1162"/>
        </w:tabs>
        <w:spacing w:line="417" w:lineRule="auto"/>
        <w:ind w:right="550" w:firstLine="214" w:firstLineChars="100"/>
        <w:rPr>
          <w:sz w:val="21"/>
        </w:rPr>
      </w:pPr>
      <w:r>
        <w:rPr>
          <w:rFonts w:hint="eastAsia"/>
          <w:spacing w:val="2"/>
          <w:sz w:val="21"/>
        </w:rPr>
        <w:t xml:space="preserve">3.4.1 </w:t>
      </w:r>
      <w:r>
        <w:rPr>
          <w:spacing w:val="2"/>
          <w:sz w:val="21"/>
        </w:rPr>
        <w:t xml:space="preserve">监理人应按第 </w:t>
      </w:r>
      <w:r>
        <w:rPr>
          <w:rFonts w:ascii="Times New Roman" w:eastAsia="Times New Roman"/>
          <w:sz w:val="21"/>
        </w:rPr>
        <w:t>3.1</w:t>
      </w:r>
      <w:r>
        <w:rPr>
          <w:rFonts w:ascii="Times New Roman" w:eastAsia="Times New Roman"/>
          <w:spacing w:val="19"/>
          <w:sz w:val="21"/>
        </w:rPr>
        <w:t xml:space="preserve"> </w:t>
      </w:r>
      <w:r>
        <w:rPr>
          <w:spacing w:val="-4"/>
          <w:sz w:val="21"/>
        </w:rPr>
        <w:t>款的约定向承包人发出指示，监理人的指示应盖有监理人授权的项目管理机</w:t>
      </w:r>
      <w:r>
        <w:rPr>
          <w:spacing w:val="-3"/>
          <w:sz w:val="21"/>
        </w:rPr>
        <w:t>构章，并由总监理工程师或总监理工程师约定授权的监理人员签字。</w:t>
      </w:r>
    </w:p>
    <w:p>
      <w:pPr>
        <w:tabs>
          <w:tab w:val="left" w:pos="1159"/>
        </w:tabs>
        <w:spacing w:line="269" w:lineRule="exact"/>
        <w:ind w:firstLine="196" w:firstLineChars="98"/>
        <w:rPr>
          <w:sz w:val="21"/>
        </w:rPr>
      </w:pPr>
      <w:r>
        <w:rPr>
          <w:rFonts w:hint="eastAsia"/>
          <w:spacing w:val="-5"/>
          <w:sz w:val="21"/>
        </w:rPr>
        <w:t xml:space="preserve">3.4.2 </w:t>
      </w:r>
      <w:r>
        <w:rPr>
          <w:spacing w:val="-5"/>
          <w:sz w:val="21"/>
        </w:rPr>
        <w:t xml:space="preserve">承包人收到监理人作出的指示后应遵照执行。指示构成变更的，应按第 </w:t>
      </w:r>
      <w:r>
        <w:rPr>
          <w:rFonts w:ascii="Times New Roman" w:eastAsia="Times New Roman"/>
          <w:sz w:val="21"/>
        </w:rPr>
        <w:t>15</w:t>
      </w:r>
      <w:r>
        <w:rPr>
          <w:rFonts w:ascii="Times New Roman" w:eastAsia="Times New Roman"/>
          <w:spacing w:val="1"/>
          <w:sz w:val="21"/>
        </w:rPr>
        <w:t xml:space="preserve"> </w:t>
      </w:r>
      <w:r>
        <w:rPr>
          <w:spacing w:val="-3"/>
          <w:sz w:val="21"/>
        </w:rPr>
        <w:t>条执行。</w:t>
      </w:r>
    </w:p>
    <w:p>
      <w:pPr>
        <w:pStyle w:val="10"/>
        <w:spacing w:before="7"/>
        <w:rPr>
          <w:sz w:val="15"/>
        </w:rPr>
      </w:pPr>
    </w:p>
    <w:p>
      <w:pPr>
        <w:tabs>
          <w:tab w:val="left" w:pos="1162"/>
        </w:tabs>
        <w:spacing w:line="417" w:lineRule="auto"/>
        <w:ind w:right="443" w:firstLine="210" w:firstLineChars="100"/>
        <w:rPr>
          <w:sz w:val="21"/>
        </w:rPr>
      </w:pPr>
      <w:r>
        <w:rPr>
          <w:rFonts w:hint="eastAsia"/>
          <w:sz w:val="21"/>
        </w:rPr>
        <w:t xml:space="preserve">3.4.3 </w:t>
      </w:r>
      <w:r>
        <w:rPr>
          <w:sz w:val="21"/>
        </w:rPr>
        <w:t>在紧急情况下，总监理工程师或其授权的监理人员可以当场签发临时书面指示，承包人应遵照</w:t>
      </w:r>
      <w:r>
        <w:rPr>
          <w:spacing w:val="-12"/>
          <w:sz w:val="21"/>
        </w:rPr>
        <w:t xml:space="preserve">执行。监理应在临时书面指示发出后 </w:t>
      </w:r>
      <w:r>
        <w:rPr>
          <w:sz w:val="21"/>
        </w:rPr>
        <w:t>24</w:t>
      </w:r>
      <w:r>
        <w:rPr>
          <w:spacing w:val="-14"/>
          <w:sz w:val="21"/>
        </w:rPr>
        <w:t xml:space="preserve"> 小时内发出书面确认函，监理人在 </w:t>
      </w:r>
      <w:r>
        <w:rPr>
          <w:rFonts w:ascii="Times New Roman" w:eastAsia="Times New Roman"/>
          <w:sz w:val="21"/>
        </w:rPr>
        <w:t>24</w:t>
      </w:r>
      <w:r>
        <w:rPr>
          <w:rFonts w:ascii="Times New Roman" w:eastAsia="Times New Roman"/>
          <w:spacing w:val="9"/>
          <w:sz w:val="21"/>
        </w:rPr>
        <w:t xml:space="preserve"> </w:t>
      </w:r>
      <w:r>
        <w:rPr>
          <w:spacing w:val="-3"/>
          <w:sz w:val="21"/>
        </w:rPr>
        <w:t>小时内未发出书面确认函的， 该临时书面指示应被视为监理人的正式指示。</w:t>
      </w:r>
    </w:p>
    <w:p>
      <w:pPr>
        <w:pStyle w:val="35"/>
        <w:numPr>
          <w:ilvl w:val="2"/>
          <w:numId w:val="27"/>
        </w:numPr>
        <w:tabs>
          <w:tab w:val="left" w:pos="1159"/>
        </w:tabs>
        <w:spacing w:line="269" w:lineRule="exact"/>
        <w:rPr>
          <w:sz w:val="21"/>
        </w:rPr>
      </w:pPr>
      <w:r>
        <w:rPr>
          <w:spacing w:val="-5"/>
          <w:sz w:val="21"/>
        </w:rPr>
        <w:t xml:space="preserve">除合同另有约定外，承包人只从总监理工程师或按第 </w:t>
      </w:r>
      <w:r>
        <w:rPr>
          <w:rFonts w:ascii="Times New Roman" w:eastAsia="Times New Roman"/>
          <w:sz w:val="21"/>
        </w:rPr>
        <w:t>3.3.1</w:t>
      </w:r>
      <w:r>
        <w:rPr>
          <w:rFonts w:ascii="Times New Roman" w:eastAsia="Times New Roman"/>
          <w:spacing w:val="3"/>
          <w:sz w:val="21"/>
        </w:rPr>
        <w:t xml:space="preserve"> </w:t>
      </w:r>
      <w:r>
        <w:rPr>
          <w:spacing w:val="-3"/>
          <w:sz w:val="21"/>
        </w:rPr>
        <w:t>项被授权的监理人员处取得指示。</w:t>
      </w:r>
    </w:p>
    <w:p>
      <w:pPr>
        <w:pStyle w:val="10"/>
        <w:spacing w:before="7"/>
        <w:rPr>
          <w:sz w:val="15"/>
        </w:rPr>
      </w:pPr>
    </w:p>
    <w:p>
      <w:pPr>
        <w:tabs>
          <w:tab w:val="left" w:pos="1162"/>
        </w:tabs>
        <w:spacing w:line="417" w:lineRule="auto"/>
        <w:ind w:right="552" w:firstLine="210" w:firstLineChars="100"/>
        <w:rPr>
          <w:sz w:val="21"/>
        </w:rPr>
      </w:pPr>
      <w:r>
        <w:rPr>
          <w:rFonts w:hint="eastAsia"/>
          <w:sz w:val="21"/>
        </w:rPr>
        <w:t xml:space="preserve">3.4.5 </w:t>
      </w:r>
      <w:r>
        <w:rPr>
          <w:sz w:val="21"/>
        </w:rPr>
        <w:t>由于监理人未能按合同约定发出指示、指示延误或指示错误而导致承包人费用增加和（或）</w:t>
      </w:r>
      <w:r>
        <w:rPr>
          <w:spacing w:val="-15"/>
          <w:sz w:val="21"/>
        </w:rPr>
        <w:t>工</w:t>
      </w:r>
      <w:r>
        <w:rPr>
          <w:spacing w:val="-3"/>
          <w:sz w:val="21"/>
        </w:rPr>
        <w:t>期延误的，</w:t>
      </w:r>
      <w:r>
        <w:rPr>
          <w:spacing w:val="-3"/>
          <w:sz w:val="21"/>
          <w:highlight w:val="yellow"/>
        </w:rPr>
        <w:t>发包人应承担由此增加的费用和（</w:t>
      </w:r>
      <w:r>
        <w:rPr>
          <w:sz w:val="21"/>
          <w:highlight w:val="yellow"/>
        </w:rPr>
        <w:t>或</w:t>
      </w:r>
      <w:r>
        <w:rPr>
          <w:spacing w:val="-3"/>
          <w:sz w:val="21"/>
          <w:highlight w:val="yellow"/>
        </w:rPr>
        <w:t>）工期延误</w:t>
      </w:r>
      <w:r>
        <w:rPr>
          <w:spacing w:val="-3"/>
          <w:sz w:val="21"/>
        </w:rPr>
        <w:t>。</w:t>
      </w:r>
    </w:p>
    <w:p>
      <w:pPr>
        <w:pStyle w:val="10"/>
        <w:rPr>
          <w:sz w:val="23"/>
        </w:rPr>
      </w:pPr>
    </w:p>
    <w:p>
      <w:pPr>
        <w:pStyle w:val="35"/>
        <w:numPr>
          <w:ilvl w:val="1"/>
          <w:numId w:val="15"/>
        </w:numPr>
        <w:rPr>
          <w:rFonts w:ascii="Times New Roman" w:eastAsia="Times New Roman"/>
        </w:rPr>
      </w:pPr>
      <w:bookmarkStart w:id="161" w:name="_bookmark108"/>
      <w:bookmarkEnd w:id="161"/>
      <w:r>
        <w:t>商定或确定</w:t>
      </w:r>
    </w:p>
    <w:p>
      <w:pPr>
        <w:pStyle w:val="10"/>
        <w:spacing w:before="4"/>
        <w:rPr>
          <w:rFonts w:ascii="黑体"/>
          <w:sz w:val="38"/>
        </w:rPr>
      </w:pPr>
    </w:p>
    <w:p>
      <w:pPr>
        <w:tabs>
          <w:tab w:val="left" w:pos="1162"/>
        </w:tabs>
        <w:spacing w:before="1" w:line="417" w:lineRule="auto"/>
        <w:ind w:right="552"/>
        <w:jc w:val="both"/>
        <w:rPr>
          <w:sz w:val="21"/>
        </w:rPr>
      </w:pPr>
      <w:r>
        <w:rPr>
          <w:rFonts w:hint="eastAsia"/>
          <w:spacing w:val="-1"/>
          <w:sz w:val="21"/>
        </w:rPr>
        <w:t>3</w:t>
      </w:r>
      <w:r>
        <w:rPr>
          <w:spacing w:val="-1"/>
          <w:sz w:val="21"/>
        </w:rPr>
        <w:t>.5.1 合同约定总监理工程师应按照本款对任何事项进行商定或确定时，总监理工程师应与合同当事</w:t>
      </w:r>
      <w:r>
        <w:rPr>
          <w:spacing w:val="-3"/>
          <w:sz w:val="21"/>
        </w:rPr>
        <w:t>人协商，尽量达成一致。不能达成一致的，总监理工程师应认真研究后审慎确定。</w:t>
      </w:r>
    </w:p>
    <w:p>
      <w:pPr>
        <w:tabs>
          <w:tab w:val="left" w:pos="1162"/>
        </w:tabs>
        <w:spacing w:line="417" w:lineRule="auto"/>
        <w:ind w:right="546"/>
        <w:jc w:val="both"/>
        <w:rPr>
          <w:sz w:val="21"/>
        </w:rPr>
      </w:pPr>
      <w:r>
        <w:rPr>
          <w:rFonts w:hint="eastAsia"/>
          <w:sz w:val="21"/>
        </w:rPr>
        <w:t>3</w:t>
      </w:r>
      <w:r>
        <w:rPr>
          <w:sz w:val="21"/>
        </w:rPr>
        <w:t>.5.2 总监理工程师应将商定或确定的事项通知合同当事人，并附详细依据。对总监理工程师的确定</w:t>
      </w:r>
      <w:r>
        <w:rPr>
          <w:spacing w:val="-3"/>
          <w:sz w:val="21"/>
        </w:rPr>
        <w:t xml:space="preserve">有异议的，构成争议，按照第 </w:t>
      </w:r>
      <w:r>
        <w:rPr>
          <w:sz w:val="21"/>
        </w:rPr>
        <w:t>24</w:t>
      </w:r>
      <w:r>
        <w:rPr>
          <w:spacing w:val="-3"/>
          <w:sz w:val="21"/>
        </w:rPr>
        <w:t xml:space="preserve"> 条的约定处理。在争议解决前，双方应暂按总监理工程师的确定执行， </w:t>
      </w:r>
      <w:r>
        <w:rPr>
          <w:spacing w:val="-2"/>
          <w:sz w:val="21"/>
        </w:rPr>
        <w:t xml:space="preserve">按照第 </w:t>
      </w:r>
      <w:r>
        <w:rPr>
          <w:sz w:val="21"/>
        </w:rPr>
        <w:t>24</w:t>
      </w:r>
      <w:r>
        <w:rPr>
          <w:spacing w:val="-3"/>
          <w:sz w:val="21"/>
        </w:rPr>
        <w:t xml:space="preserve"> 条的约定对总监理工程师的确定作出修改的，按修改后的结果执行，由此导致承包人增加的费用和（</w:t>
      </w:r>
      <w:r>
        <w:rPr>
          <w:sz w:val="21"/>
        </w:rPr>
        <w:t>或</w:t>
      </w:r>
      <w:r>
        <w:rPr>
          <w:spacing w:val="-3"/>
          <w:sz w:val="21"/>
        </w:rPr>
        <w:t>）延误的工期由发包人承担。</w:t>
      </w:r>
    </w:p>
    <w:p>
      <w:pPr>
        <w:pStyle w:val="10"/>
        <w:spacing w:before="9"/>
        <w:rPr>
          <w:sz w:val="20"/>
        </w:rPr>
      </w:pPr>
    </w:p>
    <w:p>
      <w:pPr>
        <w:pStyle w:val="4"/>
      </w:pPr>
      <w:bookmarkStart w:id="162" w:name="_bookmark109"/>
      <w:bookmarkEnd w:id="162"/>
      <w:bookmarkStart w:id="163" w:name="_Toc37926056"/>
      <w:r>
        <w:rPr>
          <w:rFonts w:hint="eastAsia"/>
        </w:rPr>
        <w:t>4</w:t>
      </w:r>
      <w:r>
        <w:t xml:space="preserve"> 承包人</w:t>
      </w:r>
      <w:bookmarkEnd w:id="163"/>
    </w:p>
    <w:p>
      <w:pPr>
        <w:pStyle w:val="10"/>
        <w:spacing w:before="2"/>
        <w:rPr>
          <w:rFonts w:ascii="黑体"/>
          <w:b/>
          <w:sz w:val="39"/>
        </w:rPr>
      </w:pPr>
    </w:p>
    <w:p>
      <w:pPr>
        <w:rPr>
          <w:rFonts w:ascii="Times New Roman" w:eastAsia="Times New Roman"/>
        </w:rPr>
      </w:pPr>
      <w:bookmarkStart w:id="164" w:name="_bookmark110"/>
      <w:bookmarkEnd w:id="164"/>
      <w:r>
        <w:rPr>
          <w:rFonts w:hint="eastAsia"/>
          <w:spacing w:val="-2"/>
        </w:rPr>
        <w:t>4</w:t>
      </w:r>
      <w:r>
        <w:rPr>
          <w:spacing w:val="-2"/>
        </w:rPr>
        <w:t>.1承包人的一般义务</w:t>
      </w:r>
    </w:p>
    <w:p>
      <w:pPr>
        <w:pStyle w:val="10"/>
        <w:spacing w:before="4"/>
        <w:rPr>
          <w:rFonts w:ascii="黑体"/>
          <w:sz w:val="38"/>
        </w:rPr>
      </w:pPr>
    </w:p>
    <w:p>
      <w:pPr>
        <w:tabs>
          <w:tab w:val="left" w:pos="1159"/>
        </w:tabs>
        <w:rPr>
          <w:sz w:val="21"/>
        </w:rPr>
      </w:pPr>
      <w:r>
        <w:rPr>
          <w:rFonts w:hint="eastAsia"/>
          <w:spacing w:val="-2"/>
          <w:sz w:val="21"/>
        </w:rPr>
        <w:t>4</w:t>
      </w:r>
      <w:r>
        <w:rPr>
          <w:spacing w:val="-2"/>
          <w:sz w:val="21"/>
        </w:rPr>
        <w:t>.1.1遵守法律</w:t>
      </w:r>
    </w:p>
    <w:p>
      <w:pPr>
        <w:pStyle w:val="10"/>
        <w:spacing w:before="8"/>
        <w:rPr>
          <w:sz w:val="15"/>
        </w:rPr>
      </w:pPr>
    </w:p>
    <w:p>
      <w:pPr>
        <w:pStyle w:val="10"/>
        <w:ind w:left="633"/>
      </w:pPr>
      <w:r>
        <w:t>承包人在履行合同过程中应遵守法律，并保证发包人免于承担因承包人违反法律而引起的任何责任。</w:t>
      </w:r>
    </w:p>
    <w:p>
      <w:pPr>
        <w:pStyle w:val="10"/>
        <w:spacing w:before="6"/>
        <w:rPr>
          <w:sz w:val="15"/>
        </w:rPr>
      </w:pPr>
    </w:p>
    <w:p>
      <w:pPr>
        <w:tabs>
          <w:tab w:val="left" w:pos="1159"/>
        </w:tabs>
        <w:rPr>
          <w:sz w:val="21"/>
        </w:rPr>
      </w:pPr>
      <w:r>
        <w:rPr>
          <w:rFonts w:hint="eastAsia"/>
          <w:spacing w:val="-2"/>
          <w:sz w:val="21"/>
        </w:rPr>
        <w:t>4</w:t>
      </w:r>
      <w:r>
        <w:rPr>
          <w:spacing w:val="-2"/>
          <w:sz w:val="21"/>
        </w:rPr>
        <w:t>.1.2 依法纳税</w:t>
      </w:r>
    </w:p>
    <w:p>
      <w:pPr>
        <w:pStyle w:val="10"/>
        <w:spacing w:before="7"/>
        <w:rPr>
          <w:sz w:val="15"/>
        </w:rPr>
      </w:pPr>
    </w:p>
    <w:p>
      <w:pPr>
        <w:pStyle w:val="10"/>
        <w:ind w:left="633"/>
      </w:pPr>
      <w:r>
        <w:t>承包人应按有关法律规定纳税，应缴纳的税金包括在合同价格内。</w:t>
      </w:r>
    </w:p>
    <w:p>
      <w:pPr>
        <w:pStyle w:val="10"/>
        <w:spacing w:before="7"/>
        <w:rPr>
          <w:sz w:val="15"/>
        </w:rPr>
      </w:pPr>
    </w:p>
    <w:p>
      <w:pPr>
        <w:tabs>
          <w:tab w:val="left" w:pos="1159"/>
        </w:tabs>
        <w:rPr>
          <w:sz w:val="21"/>
        </w:rPr>
      </w:pPr>
      <w:r>
        <w:rPr>
          <w:rFonts w:hint="eastAsia"/>
          <w:spacing w:val="-3"/>
          <w:sz w:val="21"/>
        </w:rPr>
        <w:t>4</w:t>
      </w:r>
      <w:r>
        <w:rPr>
          <w:spacing w:val="-3"/>
          <w:sz w:val="21"/>
        </w:rPr>
        <w:t>.1.3 完成各项承包工作</w:t>
      </w:r>
    </w:p>
    <w:p>
      <w:pPr>
        <w:pStyle w:val="10"/>
        <w:spacing w:before="6"/>
        <w:rPr>
          <w:sz w:val="15"/>
        </w:rPr>
      </w:pPr>
    </w:p>
    <w:p>
      <w:pPr>
        <w:pStyle w:val="10"/>
        <w:spacing w:before="1"/>
        <w:ind w:left="633"/>
      </w:pPr>
      <w:r>
        <w:t>承包人应按合同约定以及监理人根据第 3.4 款作出的指示，完成合同约定的全部工作，并对工作中的</w:t>
      </w:r>
    </w:p>
    <w:p>
      <w:pPr>
        <w:sectPr>
          <w:pgSz w:w="11910" w:h="16840"/>
          <w:pgMar w:top="1480" w:right="580" w:bottom="1220" w:left="920" w:header="0" w:footer="950" w:gutter="0"/>
          <w:cols w:space="720" w:num="1"/>
        </w:sectPr>
      </w:pPr>
    </w:p>
    <w:p>
      <w:pPr>
        <w:pStyle w:val="10"/>
        <w:spacing w:before="59" w:line="417" w:lineRule="auto"/>
        <w:ind w:left="212" w:right="548"/>
        <w:jc w:val="both"/>
      </w:pPr>
      <w:r>
        <w:rPr>
          <w:spacing w:val="-5"/>
        </w:rPr>
        <w:t>任何缺陷进行整改、完善和修补，使其满足合同约定的目的。除专用合同条款另有约定外，承包人应提供</w:t>
      </w:r>
      <w:r>
        <w:rPr>
          <w:spacing w:val="-6"/>
        </w:rPr>
        <w:t>合同约定的工程设备和承包人文件，以及为完成合同工作所需的劳务、材料、施工设备和其他物品，并按</w:t>
      </w:r>
      <w:r>
        <w:rPr>
          <w:spacing w:val="-4"/>
        </w:rPr>
        <w:t>合同约定负责临时设施的设计、施工、运行、维护、管理和拆除。</w:t>
      </w:r>
    </w:p>
    <w:p>
      <w:pPr>
        <w:tabs>
          <w:tab w:val="left" w:pos="1159"/>
        </w:tabs>
        <w:ind w:firstLine="204" w:firstLineChars="100"/>
        <w:rPr>
          <w:sz w:val="21"/>
        </w:rPr>
      </w:pPr>
      <w:r>
        <w:rPr>
          <w:rFonts w:hint="eastAsia"/>
          <w:spacing w:val="-3"/>
          <w:sz w:val="21"/>
        </w:rPr>
        <w:t>4</w:t>
      </w:r>
      <w:r>
        <w:rPr>
          <w:spacing w:val="-3"/>
          <w:sz w:val="21"/>
        </w:rPr>
        <w:t>.1.4 对设计、施工作业和施工方法，以及工程的完备性负责</w:t>
      </w:r>
    </w:p>
    <w:p>
      <w:pPr>
        <w:pStyle w:val="10"/>
        <w:spacing w:before="7"/>
        <w:rPr>
          <w:sz w:val="15"/>
        </w:rPr>
      </w:pPr>
      <w:r>
        <w:rPr>
          <w:rFonts w:hint="eastAsia"/>
          <w:sz w:val="15"/>
        </w:rPr>
        <w:t xml:space="preserve"> </w:t>
      </w:r>
    </w:p>
    <w:p>
      <w:pPr>
        <w:pStyle w:val="10"/>
        <w:spacing w:line="417" w:lineRule="auto"/>
        <w:ind w:left="212" w:right="548" w:firstLine="420"/>
      </w:pPr>
      <w:r>
        <w:rPr>
          <w:spacing w:val="-5"/>
        </w:rPr>
        <w:t>承包人应按合同约定的工作内容和进度要求，编制设计、施工的组织和实施计划，并对所有设计、施</w:t>
      </w:r>
      <w:r>
        <w:rPr>
          <w:spacing w:val="-4"/>
        </w:rPr>
        <w:t>工作业和施工方法，以及全部工程的完备性和安全可靠性负责。</w:t>
      </w:r>
    </w:p>
    <w:p>
      <w:pPr>
        <w:tabs>
          <w:tab w:val="left" w:pos="1159"/>
        </w:tabs>
        <w:spacing w:line="269" w:lineRule="exact"/>
        <w:ind w:firstLine="204" w:firstLineChars="100"/>
        <w:rPr>
          <w:sz w:val="21"/>
        </w:rPr>
      </w:pPr>
      <w:r>
        <w:rPr>
          <w:rFonts w:hint="eastAsia"/>
          <w:spacing w:val="-3"/>
          <w:sz w:val="21"/>
        </w:rPr>
        <w:t>4</w:t>
      </w:r>
      <w:r>
        <w:rPr>
          <w:spacing w:val="-3"/>
          <w:sz w:val="21"/>
        </w:rPr>
        <w:t>.1.5 保证工程施工和人员的安全</w:t>
      </w:r>
    </w:p>
    <w:p>
      <w:pPr>
        <w:pStyle w:val="10"/>
        <w:spacing w:before="7"/>
        <w:rPr>
          <w:sz w:val="15"/>
        </w:rPr>
      </w:pPr>
    </w:p>
    <w:p>
      <w:pPr>
        <w:pStyle w:val="10"/>
        <w:spacing w:line="417" w:lineRule="auto"/>
        <w:ind w:left="212" w:right="547" w:firstLine="420"/>
      </w:pPr>
      <w:r>
        <w:t xml:space="preserve">承包人应按第 </w:t>
      </w:r>
      <w:r>
        <w:rPr>
          <w:rFonts w:ascii="Times New Roman" w:eastAsia="Times New Roman"/>
        </w:rPr>
        <w:t xml:space="preserve">10.2 </w:t>
      </w:r>
      <w:r>
        <w:t>款约定采取施工安全措施，确保工程及其人员、材料、设备和设施的安全，防止因工程施工造成的人身伤害和财产损失。</w:t>
      </w:r>
    </w:p>
    <w:p>
      <w:pPr>
        <w:tabs>
          <w:tab w:val="left" w:pos="1159"/>
        </w:tabs>
        <w:ind w:firstLine="204" w:firstLineChars="100"/>
        <w:rPr>
          <w:sz w:val="21"/>
        </w:rPr>
      </w:pPr>
      <w:r>
        <w:rPr>
          <w:rFonts w:hint="eastAsia"/>
          <w:spacing w:val="-3"/>
          <w:sz w:val="21"/>
        </w:rPr>
        <w:t>4</w:t>
      </w:r>
      <w:r>
        <w:rPr>
          <w:spacing w:val="-3"/>
          <w:sz w:val="21"/>
        </w:rPr>
        <w:t>.1.6负责施工场地及其周边环境与生态的保护工作</w:t>
      </w:r>
    </w:p>
    <w:p>
      <w:pPr>
        <w:pStyle w:val="10"/>
        <w:spacing w:before="7"/>
        <w:rPr>
          <w:sz w:val="15"/>
        </w:rPr>
      </w:pPr>
    </w:p>
    <w:p>
      <w:pPr>
        <w:pStyle w:val="10"/>
        <w:ind w:left="633"/>
      </w:pPr>
      <w:r>
        <w:t xml:space="preserve">承包人应按照第 </w:t>
      </w:r>
      <w:r>
        <w:rPr>
          <w:rFonts w:ascii="Times New Roman" w:eastAsia="Times New Roman"/>
        </w:rPr>
        <w:t xml:space="preserve">10.4  </w:t>
      </w:r>
      <w:r>
        <w:t>款约定负责施工场地及其周边环境与生态的保护工作。</w:t>
      </w:r>
    </w:p>
    <w:p>
      <w:pPr>
        <w:pStyle w:val="10"/>
        <w:spacing w:before="6"/>
        <w:rPr>
          <w:sz w:val="15"/>
        </w:rPr>
      </w:pPr>
    </w:p>
    <w:p>
      <w:pPr>
        <w:tabs>
          <w:tab w:val="left" w:pos="1159"/>
        </w:tabs>
        <w:ind w:firstLine="204" w:firstLineChars="100"/>
        <w:jc w:val="both"/>
        <w:rPr>
          <w:sz w:val="21"/>
        </w:rPr>
      </w:pPr>
      <w:r>
        <w:rPr>
          <w:rFonts w:hint="eastAsia"/>
          <w:spacing w:val="-3"/>
          <w:sz w:val="21"/>
        </w:rPr>
        <w:t>4</w:t>
      </w:r>
      <w:r>
        <w:rPr>
          <w:spacing w:val="-3"/>
          <w:sz w:val="21"/>
        </w:rPr>
        <w:t>.1.7 避免施工对公众与他人的利益造成损害</w:t>
      </w:r>
    </w:p>
    <w:p>
      <w:pPr>
        <w:pStyle w:val="10"/>
        <w:spacing w:before="7"/>
        <w:rPr>
          <w:sz w:val="15"/>
        </w:rPr>
      </w:pPr>
    </w:p>
    <w:p>
      <w:pPr>
        <w:pStyle w:val="10"/>
        <w:spacing w:line="417" w:lineRule="auto"/>
        <w:ind w:left="212" w:right="546" w:firstLine="420"/>
        <w:jc w:val="both"/>
      </w:pPr>
      <w:r>
        <w:rPr>
          <w:spacing w:val="-6"/>
        </w:rPr>
        <w:t>承包人在进行合同约定的各项工作时，不得侵害发包人与他人使用公用道路、水源、市政管网等公共</w:t>
      </w:r>
      <w:r>
        <w:rPr>
          <w:spacing w:val="-7"/>
        </w:rPr>
        <w:t>设施的权利，避免对邻近的公共设施产生干扰。承包人占用或使用他人的施工场地，影响他人作业或生活</w:t>
      </w:r>
      <w:r>
        <w:rPr>
          <w:spacing w:val="-5"/>
        </w:rPr>
        <w:t>的，应承担相应责任。</w:t>
      </w:r>
    </w:p>
    <w:p>
      <w:pPr>
        <w:tabs>
          <w:tab w:val="left" w:pos="1159"/>
        </w:tabs>
        <w:spacing w:line="269" w:lineRule="exact"/>
        <w:ind w:firstLine="204" w:firstLineChars="100"/>
        <w:jc w:val="both"/>
        <w:rPr>
          <w:sz w:val="21"/>
        </w:rPr>
      </w:pPr>
      <w:r>
        <w:rPr>
          <w:rFonts w:hint="eastAsia"/>
          <w:spacing w:val="-3"/>
          <w:sz w:val="21"/>
        </w:rPr>
        <w:t>4</w:t>
      </w:r>
      <w:r>
        <w:rPr>
          <w:spacing w:val="-3"/>
          <w:sz w:val="21"/>
        </w:rPr>
        <w:t>.1.8 为他人提供方便</w:t>
      </w:r>
    </w:p>
    <w:p>
      <w:pPr>
        <w:pStyle w:val="10"/>
        <w:spacing w:before="7"/>
        <w:rPr>
          <w:sz w:val="15"/>
        </w:rPr>
      </w:pPr>
    </w:p>
    <w:p>
      <w:pPr>
        <w:pStyle w:val="10"/>
        <w:spacing w:line="417" w:lineRule="auto"/>
        <w:ind w:left="212" w:right="524" w:firstLine="420"/>
        <w:jc w:val="both"/>
      </w:pPr>
      <w:r>
        <w:t>承包人应按监理人的指示为他人在施工场地或附近实施与工程有关的其他各项工作提供可能的条件。除合同另有约定外，提供有关条件的内容和可能发生的费用，由监理人按第 3.5 款商定或确定。</w:t>
      </w:r>
    </w:p>
    <w:p>
      <w:pPr>
        <w:tabs>
          <w:tab w:val="left" w:pos="1159"/>
        </w:tabs>
        <w:ind w:firstLine="204" w:firstLineChars="100"/>
        <w:jc w:val="both"/>
        <w:rPr>
          <w:sz w:val="21"/>
        </w:rPr>
      </w:pPr>
      <w:r>
        <w:rPr>
          <w:rFonts w:hint="eastAsia"/>
          <w:spacing w:val="-3"/>
          <w:sz w:val="21"/>
        </w:rPr>
        <w:t>4</w:t>
      </w:r>
      <w:r>
        <w:rPr>
          <w:spacing w:val="-3"/>
          <w:sz w:val="21"/>
        </w:rPr>
        <w:t>.1.9 工程的维护和照管</w:t>
      </w:r>
    </w:p>
    <w:p>
      <w:pPr>
        <w:pStyle w:val="10"/>
        <w:spacing w:before="7"/>
        <w:rPr>
          <w:sz w:val="15"/>
        </w:rPr>
      </w:pPr>
    </w:p>
    <w:p>
      <w:pPr>
        <w:pStyle w:val="10"/>
        <w:spacing w:line="417" w:lineRule="auto"/>
        <w:ind w:left="212" w:right="524" w:firstLine="420"/>
      </w:pPr>
      <w:r>
        <w:t>工程接收证书颁发前，承包人应负责照管和维护工程。工程接收证书颁发时尚有部分未竣工工程的， 承包人还应负责该未竣工工程的照管和维护工作，直至竣工后移交给发包人。</w:t>
      </w:r>
    </w:p>
    <w:p>
      <w:pPr>
        <w:tabs>
          <w:tab w:val="left" w:pos="1265"/>
        </w:tabs>
        <w:spacing w:line="269" w:lineRule="exact"/>
        <w:ind w:firstLine="206" w:firstLineChars="100"/>
        <w:jc w:val="both"/>
        <w:rPr>
          <w:sz w:val="21"/>
        </w:rPr>
      </w:pPr>
      <w:r>
        <w:rPr>
          <w:rFonts w:hint="eastAsia"/>
          <w:spacing w:val="-2"/>
          <w:sz w:val="21"/>
        </w:rPr>
        <w:t>4</w:t>
      </w:r>
      <w:r>
        <w:rPr>
          <w:spacing w:val="-2"/>
          <w:sz w:val="21"/>
        </w:rPr>
        <w:t>.1.10 其他义务</w:t>
      </w:r>
    </w:p>
    <w:p>
      <w:pPr>
        <w:pStyle w:val="10"/>
        <w:spacing w:before="6"/>
        <w:rPr>
          <w:sz w:val="15"/>
        </w:rPr>
      </w:pPr>
    </w:p>
    <w:p>
      <w:pPr>
        <w:pStyle w:val="10"/>
        <w:spacing w:before="1"/>
        <w:ind w:left="633"/>
      </w:pPr>
      <w:r>
        <w:t>承包人应履行合同约定的其他义务。</w:t>
      </w:r>
    </w:p>
    <w:p>
      <w:pPr>
        <w:pStyle w:val="10"/>
        <w:rPr>
          <w:sz w:val="20"/>
        </w:rPr>
      </w:pPr>
    </w:p>
    <w:p>
      <w:pPr>
        <w:pStyle w:val="10"/>
        <w:spacing w:before="6"/>
        <w:rPr>
          <w:sz w:val="18"/>
        </w:rPr>
      </w:pPr>
    </w:p>
    <w:p>
      <w:pPr>
        <w:pStyle w:val="35"/>
        <w:numPr>
          <w:ilvl w:val="1"/>
          <w:numId w:val="28"/>
        </w:numPr>
        <w:rPr>
          <w:rFonts w:ascii="Times New Roman" w:eastAsia="Times New Roman"/>
        </w:rPr>
      </w:pPr>
      <w:bookmarkStart w:id="165" w:name="_bookmark111"/>
      <w:bookmarkEnd w:id="165"/>
      <w:r>
        <w:t>履约担保</w:t>
      </w:r>
    </w:p>
    <w:p>
      <w:pPr>
        <w:pStyle w:val="10"/>
        <w:spacing w:before="3"/>
        <w:rPr>
          <w:rFonts w:ascii="黑体"/>
          <w:sz w:val="38"/>
        </w:rPr>
      </w:pPr>
    </w:p>
    <w:p>
      <w:pPr>
        <w:tabs>
          <w:tab w:val="left" w:pos="1162"/>
        </w:tabs>
        <w:spacing w:line="417" w:lineRule="auto"/>
        <w:ind w:right="546" w:firstLine="210" w:firstLineChars="100"/>
        <w:jc w:val="both"/>
        <w:rPr>
          <w:sz w:val="21"/>
        </w:rPr>
      </w:pPr>
      <w:r>
        <w:rPr>
          <w:rFonts w:hint="eastAsia"/>
          <w:sz w:val="21"/>
        </w:rPr>
        <w:t>4</w:t>
      </w:r>
      <w:r>
        <w:rPr>
          <w:sz w:val="21"/>
        </w:rPr>
        <w:t>.2.1 承包人应保证其履约担保在发包人颁发工程接收证书前一直有效。发包人应在工程接收证书颁</w:t>
      </w:r>
      <w:r>
        <w:rPr>
          <w:spacing w:val="-1"/>
          <w:sz w:val="21"/>
        </w:rPr>
        <w:t xml:space="preserve">发后 </w:t>
      </w:r>
      <w:r>
        <w:rPr>
          <w:sz w:val="21"/>
        </w:rPr>
        <w:t>28</w:t>
      </w:r>
      <w:r>
        <w:rPr>
          <w:spacing w:val="-3"/>
          <w:sz w:val="21"/>
        </w:rPr>
        <w:t xml:space="preserve"> 天内将履约担保退还给承包人。需进行竣工后试验的，承包人应保证其履约担保在竣工后试验通</w:t>
      </w:r>
      <w:r>
        <w:rPr>
          <w:spacing w:val="-6"/>
          <w:sz w:val="21"/>
        </w:rPr>
        <w:t xml:space="preserve">过前一直有效，发包人应在通过竣工验收后 </w:t>
      </w:r>
      <w:r>
        <w:rPr>
          <w:sz w:val="21"/>
        </w:rPr>
        <w:t>7</w:t>
      </w:r>
      <w:r>
        <w:rPr>
          <w:spacing w:val="-9"/>
          <w:sz w:val="21"/>
        </w:rPr>
        <w:t xml:space="preserve"> 天内将履约担保退还给承包人。</w:t>
      </w:r>
    </w:p>
    <w:p>
      <w:pPr>
        <w:tabs>
          <w:tab w:val="left" w:pos="1162"/>
        </w:tabs>
        <w:spacing w:line="417" w:lineRule="auto"/>
        <w:ind w:right="546" w:firstLine="192" w:firstLineChars="100"/>
        <w:jc w:val="both"/>
        <w:rPr>
          <w:sz w:val="21"/>
        </w:rPr>
      </w:pPr>
      <w:r>
        <w:rPr>
          <w:rFonts w:hint="eastAsia"/>
          <w:spacing w:val="-9"/>
          <w:sz w:val="21"/>
        </w:rPr>
        <w:t>4</w:t>
      </w:r>
      <w:r>
        <w:rPr>
          <w:spacing w:val="-9"/>
          <w:sz w:val="21"/>
        </w:rPr>
        <w:t>.2.2</w:t>
      </w:r>
      <w:r>
        <w:rPr>
          <w:rFonts w:hint="eastAsia"/>
          <w:sz w:val="21"/>
        </w:rPr>
        <w:t xml:space="preserve"> </w:t>
      </w:r>
      <w:r>
        <w:rPr>
          <w:sz w:val="21"/>
        </w:rPr>
        <w:t>如工程延期，承包人有义务继续提供履约担保。由于发包人原因导致延期的，继续提供履约担</w:t>
      </w:r>
    </w:p>
    <w:p>
      <w:pPr>
        <w:spacing w:line="268" w:lineRule="exact"/>
        <w:jc w:val="both"/>
        <w:rPr>
          <w:sz w:val="21"/>
        </w:rPr>
        <w:sectPr>
          <w:pgSz w:w="11910" w:h="16840"/>
          <w:pgMar w:top="1440" w:right="580" w:bottom="1220" w:left="920" w:header="0" w:footer="950" w:gutter="0"/>
          <w:cols w:space="720" w:num="1"/>
        </w:sectPr>
      </w:pPr>
    </w:p>
    <w:p>
      <w:pPr>
        <w:pStyle w:val="10"/>
        <w:spacing w:before="59"/>
        <w:ind w:left="212"/>
      </w:pPr>
      <w:r>
        <w:t>保所需的费用由发包人承担；由于承包人原因导致延期的，继续提供履约担保所需费用由承包人承担。</w:t>
      </w:r>
    </w:p>
    <w:p>
      <w:pPr>
        <w:pStyle w:val="10"/>
        <w:rPr>
          <w:sz w:val="20"/>
        </w:rPr>
      </w:pPr>
    </w:p>
    <w:p>
      <w:pPr>
        <w:pStyle w:val="10"/>
        <w:spacing w:before="7"/>
        <w:rPr>
          <w:sz w:val="18"/>
        </w:rPr>
      </w:pPr>
    </w:p>
    <w:p>
      <w:pPr>
        <w:pStyle w:val="35"/>
        <w:numPr>
          <w:ilvl w:val="1"/>
          <w:numId w:val="28"/>
        </w:numPr>
        <w:rPr>
          <w:rFonts w:ascii="Times New Roman" w:eastAsia="Times New Roman"/>
        </w:rPr>
      </w:pPr>
      <w:bookmarkStart w:id="166" w:name="_bookmark112"/>
      <w:bookmarkEnd w:id="166"/>
      <w:r>
        <w:rPr>
          <w:rFonts w:hint="eastAsia"/>
          <w:spacing w:val="-1"/>
        </w:rPr>
        <w:t xml:space="preserve"> </w:t>
      </w:r>
      <w:r>
        <w:rPr>
          <w:spacing w:val="-1"/>
        </w:rPr>
        <w:t>分包和不得转包</w:t>
      </w:r>
    </w:p>
    <w:p>
      <w:pPr>
        <w:pStyle w:val="10"/>
        <w:spacing w:before="1"/>
        <w:rPr>
          <w:rFonts w:ascii="黑体"/>
          <w:sz w:val="38"/>
        </w:rPr>
      </w:pPr>
    </w:p>
    <w:p>
      <w:pPr>
        <w:tabs>
          <w:tab w:val="left" w:pos="1162"/>
        </w:tabs>
        <w:spacing w:before="1" w:line="417" w:lineRule="auto"/>
        <w:ind w:right="552" w:firstLine="208" w:firstLineChars="100"/>
        <w:rPr>
          <w:sz w:val="21"/>
        </w:rPr>
      </w:pPr>
      <w:r>
        <w:rPr>
          <w:rFonts w:hint="eastAsia"/>
          <w:spacing w:val="-1"/>
          <w:sz w:val="21"/>
        </w:rPr>
        <w:t>4</w:t>
      </w:r>
      <w:r>
        <w:rPr>
          <w:spacing w:val="-1"/>
          <w:sz w:val="21"/>
        </w:rPr>
        <w:t>.3.1承包人不得将其承包的全部工程转包给第三人，也不得将其承包的全部工程肢解后以分包的名</w:t>
      </w:r>
      <w:r>
        <w:rPr>
          <w:spacing w:val="-3"/>
          <w:sz w:val="21"/>
        </w:rPr>
        <w:t>义分别转包给第三人。</w:t>
      </w:r>
    </w:p>
    <w:p>
      <w:pPr>
        <w:tabs>
          <w:tab w:val="left" w:pos="1162"/>
        </w:tabs>
        <w:spacing w:line="417" w:lineRule="auto"/>
        <w:ind w:right="552" w:firstLine="208" w:firstLineChars="100"/>
        <w:rPr>
          <w:sz w:val="21"/>
        </w:rPr>
      </w:pPr>
      <w:r>
        <w:rPr>
          <w:rFonts w:hint="eastAsia"/>
          <w:spacing w:val="-1"/>
          <w:sz w:val="21"/>
        </w:rPr>
        <w:t>4</w:t>
      </w:r>
      <w:r>
        <w:rPr>
          <w:spacing w:val="-1"/>
          <w:sz w:val="21"/>
        </w:rPr>
        <w:t>.3.2承包人不得将设计和施工的主体、关键性工作分包给第三人。除专用合同条款另有约定外，未</w:t>
      </w:r>
      <w:r>
        <w:rPr>
          <w:spacing w:val="-3"/>
          <w:sz w:val="21"/>
        </w:rPr>
        <w:t>经发包人同意，承包人也不得将非主体、非关键性工作分包给第三人。</w:t>
      </w:r>
    </w:p>
    <w:p>
      <w:pPr>
        <w:tabs>
          <w:tab w:val="left" w:pos="1159"/>
        </w:tabs>
        <w:spacing w:line="269" w:lineRule="exact"/>
        <w:ind w:firstLine="204" w:firstLineChars="100"/>
        <w:rPr>
          <w:sz w:val="21"/>
        </w:rPr>
      </w:pPr>
      <w:r>
        <w:rPr>
          <w:rFonts w:hint="eastAsia"/>
          <w:spacing w:val="-3"/>
          <w:sz w:val="21"/>
        </w:rPr>
        <w:t>4</w:t>
      </w:r>
      <w:r>
        <w:rPr>
          <w:spacing w:val="-3"/>
          <w:sz w:val="21"/>
        </w:rPr>
        <w:t>.3.3分包人的资格能力应与其分包工作的标准和规模相适应。</w:t>
      </w:r>
    </w:p>
    <w:p>
      <w:pPr>
        <w:pStyle w:val="10"/>
        <w:spacing w:before="6"/>
        <w:rPr>
          <w:sz w:val="15"/>
        </w:rPr>
      </w:pPr>
    </w:p>
    <w:p>
      <w:pPr>
        <w:tabs>
          <w:tab w:val="left" w:pos="1159"/>
        </w:tabs>
        <w:spacing w:before="1"/>
        <w:ind w:firstLine="204" w:firstLineChars="100"/>
        <w:rPr>
          <w:sz w:val="21"/>
        </w:rPr>
      </w:pPr>
      <w:r>
        <w:rPr>
          <w:rFonts w:hint="eastAsia"/>
          <w:spacing w:val="-3"/>
          <w:sz w:val="21"/>
        </w:rPr>
        <w:t>4</w:t>
      </w:r>
      <w:r>
        <w:rPr>
          <w:spacing w:val="-3"/>
          <w:sz w:val="21"/>
        </w:rPr>
        <w:t>.3.4发包人同意承包人分包工作的，承包人应向发包人和监理人提交分包合同副本。</w:t>
      </w:r>
    </w:p>
    <w:p>
      <w:pPr>
        <w:pStyle w:val="10"/>
        <w:rPr>
          <w:sz w:val="22"/>
        </w:rPr>
      </w:pPr>
    </w:p>
    <w:p>
      <w:pPr>
        <w:pStyle w:val="10"/>
        <w:spacing w:before="6"/>
        <w:rPr>
          <w:sz w:val="16"/>
        </w:rPr>
      </w:pPr>
    </w:p>
    <w:p>
      <w:pPr>
        <w:pStyle w:val="35"/>
        <w:numPr>
          <w:ilvl w:val="1"/>
          <w:numId w:val="28"/>
        </w:numPr>
        <w:rPr>
          <w:rFonts w:ascii="Times New Roman" w:eastAsia="Times New Roman"/>
        </w:rPr>
      </w:pPr>
      <w:bookmarkStart w:id="167" w:name="_bookmark113"/>
      <w:bookmarkEnd w:id="167"/>
      <w:r>
        <w:t>联合体</w:t>
      </w:r>
    </w:p>
    <w:p>
      <w:pPr>
        <w:pStyle w:val="10"/>
        <w:spacing w:before="5"/>
        <w:rPr>
          <w:rFonts w:ascii="黑体"/>
          <w:sz w:val="38"/>
        </w:rPr>
      </w:pPr>
      <w:r>
        <w:rPr>
          <w:rFonts w:hint="eastAsia" w:ascii="黑体"/>
          <w:sz w:val="38"/>
        </w:rPr>
        <w:t xml:space="preserve"> </w:t>
      </w:r>
    </w:p>
    <w:p>
      <w:pPr>
        <w:tabs>
          <w:tab w:val="left" w:pos="1159"/>
        </w:tabs>
        <w:ind w:firstLine="204" w:firstLineChars="100"/>
        <w:rPr>
          <w:sz w:val="21"/>
        </w:rPr>
      </w:pPr>
      <w:r>
        <w:rPr>
          <w:rFonts w:hint="eastAsia"/>
          <w:spacing w:val="-3"/>
          <w:sz w:val="21"/>
        </w:rPr>
        <w:t>4</w:t>
      </w:r>
      <w:r>
        <w:rPr>
          <w:spacing w:val="-3"/>
          <w:sz w:val="21"/>
        </w:rPr>
        <w:t>.4.1联合体各方应共同与发包人签订合同。联合体各方应为履行合同承担连带责任。</w:t>
      </w:r>
    </w:p>
    <w:p>
      <w:pPr>
        <w:pStyle w:val="10"/>
        <w:spacing w:before="6"/>
        <w:rPr>
          <w:sz w:val="15"/>
        </w:rPr>
      </w:pPr>
      <w:r>
        <w:rPr>
          <w:rFonts w:hint="eastAsia"/>
          <w:sz w:val="15"/>
        </w:rPr>
        <w:t xml:space="preserve"> </w:t>
      </w:r>
    </w:p>
    <w:p>
      <w:pPr>
        <w:tabs>
          <w:tab w:val="left" w:pos="1162"/>
        </w:tabs>
        <w:spacing w:before="1" w:line="417" w:lineRule="auto"/>
        <w:ind w:right="552" w:firstLine="208" w:firstLineChars="100"/>
        <w:rPr>
          <w:sz w:val="21"/>
        </w:rPr>
      </w:pPr>
      <w:r>
        <w:rPr>
          <w:rFonts w:hint="eastAsia"/>
          <w:spacing w:val="-1"/>
          <w:sz w:val="21"/>
        </w:rPr>
        <w:t>4</w:t>
      </w:r>
      <w:r>
        <w:rPr>
          <w:spacing w:val="-1"/>
          <w:sz w:val="21"/>
        </w:rPr>
        <w:t>.4.2联合体协议经发包人确认后作为合同附件。在履行合同过程中，未经发包人同意，不得修改联合体协议。</w:t>
      </w:r>
    </w:p>
    <w:p>
      <w:pPr>
        <w:tabs>
          <w:tab w:val="left" w:pos="1162"/>
        </w:tabs>
        <w:spacing w:line="417" w:lineRule="auto"/>
        <w:ind w:right="552" w:firstLine="208" w:firstLineChars="100"/>
        <w:rPr>
          <w:sz w:val="21"/>
        </w:rPr>
      </w:pPr>
      <w:r>
        <w:rPr>
          <w:rFonts w:hint="eastAsia"/>
          <w:spacing w:val="-1"/>
          <w:sz w:val="21"/>
        </w:rPr>
        <w:t>4</w:t>
      </w:r>
      <w:r>
        <w:rPr>
          <w:spacing w:val="-1"/>
          <w:sz w:val="21"/>
        </w:rPr>
        <w:t>.4.3联合体牵头人或联合体授权的代表负责与发包人和监理人联系，并接受指示，负责组织联合体</w:t>
      </w:r>
      <w:r>
        <w:rPr>
          <w:spacing w:val="-3"/>
          <w:sz w:val="21"/>
        </w:rPr>
        <w:t>各成员全面履行合同。</w:t>
      </w:r>
    </w:p>
    <w:p>
      <w:pPr>
        <w:pStyle w:val="10"/>
        <w:spacing w:before="12"/>
        <w:rPr>
          <w:sz w:val="22"/>
        </w:rPr>
      </w:pPr>
    </w:p>
    <w:p>
      <w:pPr>
        <w:rPr>
          <w:rFonts w:ascii="Times New Roman" w:eastAsia="Times New Roman"/>
        </w:rPr>
      </w:pPr>
      <w:bookmarkStart w:id="168" w:name="_bookmark114"/>
      <w:bookmarkEnd w:id="168"/>
      <w:r>
        <w:rPr>
          <w:rFonts w:hint="eastAsia"/>
          <w:spacing w:val="-1"/>
        </w:rPr>
        <w:t>4</w:t>
      </w:r>
      <w:r>
        <w:rPr>
          <w:spacing w:val="-1"/>
        </w:rPr>
        <w:t>.5承包人项目经理</w:t>
      </w:r>
    </w:p>
    <w:p>
      <w:pPr>
        <w:pStyle w:val="10"/>
        <w:spacing w:before="4"/>
        <w:rPr>
          <w:rFonts w:ascii="黑体"/>
          <w:sz w:val="38"/>
        </w:rPr>
      </w:pPr>
    </w:p>
    <w:p>
      <w:pPr>
        <w:tabs>
          <w:tab w:val="left" w:pos="1162"/>
        </w:tabs>
        <w:spacing w:before="1" w:line="417" w:lineRule="auto"/>
        <w:ind w:right="546" w:firstLine="210" w:firstLineChars="100"/>
        <w:jc w:val="both"/>
        <w:rPr>
          <w:sz w:val="21"/>
        </w:rPr>
      </w:pPr>
      <w:r>
        <w:rPr>
          <w:rFonts w:hint="eastAsia"/>
          <w:sz w:val="21"/>
        </w:rPr>
        <w:t>4</w:t>
      </w:r>
      <w:r>
        <w:rPr>
          <w:sz w:val="21"/>
        </w:rPr>
        <w:t>.5.1承包人应按合同协议书的约定指派项目经理，并在约定的期限内到职。承包人更换项目经理应</w:t>
      </w:r>
      <w:r>
        <w:rPr>
          <w:spacing w:val="-2"/>
          <w:sz w:val="21"/>
        </w:rPr>
        <w:t xml:space="preserve">事先征得发包人同意，并应在更换 </w:t>
      </w:r>
      <w:r>
        <w:rPr>
          <w:sz w:val="21"/>
        </w:rPr>
        <w:t>14</w:t>
      </w:r>
      <w:r>
        <w:rPr>
          <w:spacing w:val="-3"/>
          <w:sz w:val="21"/>
        </w:rPr>
        <w:t xml:space="preserve"> 天前将拟更换的项目经理的姓名和详细资料提交发包人和监理人。</w:t>
      </w:r>
      <w:r>
        <w:rPr>
          <w:spacing w:val="-10"/>
          <w:sz w:val="21"/>
        </w:rPr>
        <w:t xml:space="preserve">承包人项目经理 </w:t>
      </w:r>
      <w:r>
        <w:rPr>
          <w:sz w:val="21"/>
        </w:rPr>
        <w:t>2</w:t>
      </w:r>
      <w:r>
        <w:rPr>
          <w:spacing w:val="-8"/>
          <w:sz w:val="21"/>
        </w:rPr>
        <w:t xml:space="preserve"> 天内不能履行职责的，应事先征得监理人同意，并委派代表代行其职责。</w:t>
      </w:r>
    </w:p>
    <w:p>
      <w:pPr>
        <w:tabs>
          <w:tab w:val="left" w:pos="1159"/>
        </w:tabs>
        <w:spacing w:line="417" w:lineRule="auto"/>
        <w:ind w:right="546" w:firstLine="202" w:firstLineChars="100"/>
        <w:jc w:val="both"/>
        <w:rPr>
          <w:sz w:val="21"/>
        </w:rPr>
      </w:pPr>
      <w:r>
        <w:rPr>
          <w:rFonts w:hint="eastAsia"/>
          <w:spacing w:val="-4"/>
          <w:sz w:val="21"/>
        </w:rPr>
        <w:t>4</w:t>
      </w:r>
      <w:r>
        <w:rPr>
          <w:spacing w:val="-4"/>
          <w:sz w:val="21"/>
        </w:rPr>
        <w:t xml:space="preserve">.5.2承包人项目经理应按合同约定以及监理人按第 </w:t>
      </w:r>
      <w:r>
        <w:rPr>
          <w:sz w:val="21"/>
        </w:rPr>
        <w:t>3.4</w:t>
      </w:r>
      <w:r>
        <w:rPr>
          <w:spacing w:val="-3"/>
          <w:sz w:val="21"/>
        </w:rPr>
        <w:t xml:space="preserve"> 款作出的指示，负责组织合同工作的实施。</w:t>
      </w:r>
      <w:r>
        <w:rPr>
          <w:spacing w:val="-5"/>
          <w:sz w:val="21"/>
        </w:rPr>
        <w:t>在情况紧急且无法与监理人取得联系时，可采取保证工程和人员生命财产安全的紧急措施，并在采取措施</w:t>
      </w:r>
      <w:r>
        <w:rPr>
          <w:spacing w:val="-29"/>
          <w:sz w:val="21"/>
        </w:rPr>
        <w:t xml:space="preserve">后 </w:t>
      </w:r>
      <w:r>
        <w:rPr>
          <w:sz w:val="21"/>
        </w:rPr>
        <w:t>24</w:t>
      </w:r>
      <w:r>
        <w:rPr>
          <w:spacing w:val="-9"/>
          <w:sz w:val="21"/>
        </w:rPr>
        <w:t xml:space="preserve"> 小时内向监理人提交书面报告。</w:t>
      </w:r>
    </w:p>
    <w:p>
      <w:pPr>
        <w:tabs>
          <w:tab w:val="left" w:pos="1159"/>
        </w:tabs>
        <w:ind w:firstLine="204" w:firstLineChars="100"/>
        <w:jc w:val="both"/>
        <w:rPr>
          <w:sz w:val="21"/>
        </w:rPr>
      </w:pPr>
      <w:r>
        <w:rPr>
          <w:rFonts w:hint="eastAsia"/>
          <w:spacing w:val="-3"/>
          <w:sz w:val="21"/>
        </w:rPr>
        <w:t>4</w:t>
      </w:r>
      <w:r>
        <w:rPr>
          <w:spacing w:val="-3"/>
          <w:sz w:val="21"/>
        </w:rPr>
        <w:t>.5.3承包人为履行合同发出的一切函件均应盖有承包人单位章或由承包人项目经理签字。</w:t>
      </w:r>
    </w:p>
    <w:p>
      <w:pPr>
        <w:pStyle w:val="10"/>
        <w:spacing w:before="6"/>
        <w:rPr>
          <w:sz w:val="15"/>
        </w:rPr>
      </w:pPr>
    </w:p>
    <w:p>
      <w:pPr>
        <w:tabs>
          <w:tab w:val="left" w:pos="1162"/>
        </w:tabs>
        <w:spacing w:line="417" w:lineRule="auto"/>
        <w:ind w:right="552" w:firstLine="208" w:firstLineChars="100"/>
        <w:jc w:val="both"/>
        <w:rPr>
          <w:sz w:val="21"/>
        </w:rPr>
      </w:pPr>
      <w:r>
        <w:rPr>
          <w:rFonts w:hint="eastAsia"/>
          <w:spacing w:val="-1"/>
          <w:sz w:val="21"/>
        </w:rPr>
        <w:t>4</w:t>
      </w:r>
      <w:r>
        <w:rPr>
          <w:spacing w:val="-1"/>
          <w:sz w:val="21"/>
        </w:rPr>
        <w:t>.5.4承包人项目经理可以授权其下属人员履行其某项职责，但事先应将这些人员的姓名和授权范围</w:t>
      </w:r>
      <w:r>
        <w:rPr>
          <w:spacing w:val="-3"/>
          <w:sz w:val="21"/>
        </w:rPr>
        <w:t>书面通知发包人和监理人。</w:t>
      </w:r>
    </w:p>
    <w:p>
      <w:pPr>
        <w:spacing w:line="417" w:lineRule="auto"/>
        <w:jc w:val="both"/>
        <w:rPr>
          <w:sz w:val="21"/>
        </w:rPr>
        <w:sectPr>
          <w:pgSz w:w="11910" w:h="16840"/>
          <w:pgMar w:top="1440" w:right="580" w:bottom="1220" w:left="920" w:header="0" w:footer="950" w:gutter="0"/>
          <w:cols w:space="720" w:num="1"/>
        </w:sectPr>
      </w:pPr>
    </w:p>
    <w:p>
      <w:pPr>
        <w:rPr>
          <w:rFonts w:ascii="Times New Roman" w:eastAsia="Times New Roman"/>
        </w:rPr>
      </w:pPr>
      <w:bookmarkStart w:id="169" w:name="_bookmark115"/>
      <w:bookmarkEnd w:id="169"/>
      <w:r>
        <w:rPr>
          <w:rFonts w:hint="eastAsia"/>
          <w:spacing w:val="-2"/>
        </w:rPr>
        <w:t>4</w:t>
      </w:r>
      <w:r>
        <w:rPr>
          <w:spacing w:val="-2"/>
        </w:rPr>
        <w:t>.6承包人人员的管理</w:t>
      </w:r>
    </w:p>
    <w:p>
      <w:pPr>
        <w:pStyle w:val="10"/>
        <w:spacing w:before="4"/>
        <w:rPr>
          <w:rFonts w:ascii="黑体"/>
          <w:sz w:val="38"/>
        </w:rPr>
      </w:pPr>
    </w:p>
    <w:p>
      <w:pPr>
        <w:tabs>
          <w:tab w:val="left" w:pos="1159"/>
        </w:tabs>
        <w:spacing w:line="417" w:lineRule="auto"/>
        <w:ind w:right="546" w:firstLine="200" w:firstLineChars="100"/>
        <w:jc w:val="both"/>
        <w:rPr>
          <w:sz w:val="21"/>
        </w:rPr>
      </w:pPr>
      <w:r>
        <w:rPr>
          <w:rFonts w:hint="eastAsia"/>
          <w:spacing w:val="-5"/>
          <w:sz w:val="21"/>
        </w:rPr>
        <w:t>4</w:t>
      </w:r>
      <w:r>
        <w:rPr>
          <w:spacing w:val="-5"/>
          <w:sz w:val="21"/>
        </w:rPr>
        <w:t xml:space="preserve">.6.1承包人应在接到开始工作通知之日起 </w:t>
      </w:r>
      <w:r>
        <w:rPr>
          <w:sz w:val="21"/>
        </w:rPr>
        <w:t>28</w:t>
      </w:r>
      <w:r>
        <w:rPr>
          <w:spacing w:val="-9"/>
          <w:sz w:val="21"/>
        </w:rPr>
        <w:t xml:space="preserve"> 天内，向监理人提交承包人的项目管理机构以及人员安</w:t>
      </w:r>
      <w:r>
        <w:rPr>
          <w:spacing w:val="-8"/>
          <w:sz w:val="21"/>
        </w:rPr>
        <w:t>排的报告，其内容应包括项目管理机构的设置、各主要岗位的技术和管理人员名单及其资格，以及设计人</w:t>
      </w:r>
      <w:r>
        <w:rPr>
          <w:spacing w:val="-7"/>
          <w:sz w:val="21"/>
        </w:rPr>
        <w:t>员和各工种技术工人的安排状况。承包人安排的主要管理人员和技术人员应相对稳定，更换主要管理人员和技术人员的，应取得监理人的同意,并向监理人提交继任人员的资格、管理经验等资料。项目经理的更</w:t>
      </w:r>
      <w:r>
        <w:rPr>
          <w:spacing w:val="-11"/>
          <w:sz w:val="21"/>
        </w:rPr>
        <w:t xml:space="preserve">换，应按照本章第 </w:t>
      </w:r>
      <w:r>
        <w:rPr>
          <w:sz w:val="21"/>
        </w:rPr>
        <w:t>4.5</w:t>
      </w:r>
      <w:r>
        <w:rPr>
          <w:spacing w:val="-10"/>
          <w:sz w:val="21"/>
        </w:rPr>
        <w:t xml:space="preserve"> 款规定执行。</w:t>
      </w:r>
    </w:p>
    <w:p>
      <w:pPr>
        <w:tabs>
          <w:tab w:val="left" w:pos="1162"/>
        </w:tabs>
        <w:spacing w:line="417" w:lineRule="auto"/>
        <w:ind w:right="548" w:firstLine="208" w:firstLineChars="100"/>
        <w:jc w:val="both"/>
        <w:rPr>
          <w:sz w:val="21"/>
        </w:rPr>
      </w:pPr>
      <w:r>
        <w:rPr>
          <w:rFonts w:hint="eastAsia"/>
          <w:spacing w:val="-1"/>
          <w:sz w:val="21"/>
        </w:rPr>
        <w:t>4</w:t>
      </w:r>
      <w:r>
        <w:rPr>
          <w:spacing w:val="-1"/>
          <w:sz w:val="21"/>
        </w:rPr>
        <w:t>.6.2承包人安排的主要管理人员包括项目经理、设计经理、施工负责人、采购负责人以及专职质量、</w:t>
      </w:r>
      <w:r>
        <w:rPr>
          <w:spacing w:val="-3"/>
          <w:sz w:val="21"/>
        </w:rPr>
        <w:t>安全生产管理人员等；技术人员包括设计师、建筑师、土木工程师、设备工程师、建造师等。</w:t>
      </w:r>
    </w:p>
    <w:p>
      <w:pPr>
        <w:tabs>
          <w:tab w:val="left" w:pos="1162"/>
        </w:tabs>
        <w:spacing w:line="417" w:lineRule="auto"/>
        <w:ind w:right="552" w:firstLine="208" w:firstLineChars="100"/>
        <w:jc w:val="both"/>
        <w:rPr>
          <w:sz w:val="21"/>
        </w:rPr>
      </w:pPr>
      <w:r>
        <w:rPr>
          <w:rFonts w:hint="eastAsia"/>
          <w:spacing w:val="-1"/>
          <w:sz w:val="21"/>
        </w:rPr>
        <w:t>4</w:t>
      </w:r>
      <w:r>
        <w:rPr>
          <w:spacing w:val="-1"/>
          <w:sz w:val="21"/>
        </w:rPr>
        <w:t>.6.3承包人的设计人员应由具有国家规定和发包人要求中约定的资格，并具有从事设计所必需的经验与能力。</w:t>
      </w:r>
    </w:p>
    <w:p>
      <w:pPr>
        <w:pStyle w:val="10"/>
        <w:spacing w:line="417" w:lineRule="auto"/>
        <w:ind w:left="212" w:right="517" w:firstLine="420"/>
      </w:pPr>
      <w:r>
        <w:t>承包人应保证其设计人员（包括分包人的设计人员）在合同期限内的任何时候，都能按时参加发包人或其委托的监理人组织的工作会议。</w:t>
      </w:r>
    </w:p>
    <w:p>
      <w:pPr>
        <w:tabs>
          <w:tab w:val="left" w:pos="1162"/>
        </w:tabs>
        <w:spacing w:line="417" w:lineRule="auto"/>
        <w:ind w:right="552" w:firstLine="208" w:firstLineChars="100"/>
        <w:jc w:val="both"/>
        <w:rPr>
          <w:sz w:val="21"/>
        </w:rPr>
      </w:pPr>
      <w:r>
        <w:rPr>
          <w:rFonts w:hint="eastAsia"/>
          <w:spacing w:val="-1"/>
          <w:sz w:val="21"/>
        </w:rPr>
        <w:t>4</w:t>
      </w:r>
      <w:r>
        <w:rPr>
          <w:spacing w:val="-1"/>
          <w:sz w:val="21"/>
        </w:rPr>
        <w:t>.6.4国家规定应当持证上岗的工作人员均应持有相应的资格证明，监理人有权随时检查。监理人认</w:t>
      </w:r>
      <w:r>
        <w:rPr>
          <w:spacing w:val="-3"/>
          <w:sz w:val="21"/>
        </w:rPr>
        <w:t>为有必要时，可进行现场考核。</w:t>
      </w:r>
    </w:p>
    <w:p>
      <w:pPr>
        <w:tabs>
          <w:tab w:val="left" w:pos="1159"/>
        </w:tabs>
        <w:spacing w:line="417" w:lineRule="auto"/>
        <w:ind w:right="546" w:firstLine="204" w:firstLineChars="100"/>
        <w:jc w:val="both"/>
        <w:rPr>
          <w:sz w:val="21"/>
        </w:rPr>
      </w:pPr>
      <w:r>
        <w:rPr>
          <w:rFonts w:hint="eastAsia"/>
          <w:spacing w:val="-3"/>
          <w:sz w:val="21"/>
        </w:rPr>
        <w:t>4</w:t>
      </w:r>
      <w:r>
        <w:rPr>
          <w:spacing w:val="-3"/>
          <w:sz w:val="21"/>
        </w:rPr>
        <w:t xml:space="preserve">.6.5除专用合同条款另有约定外，承包人的主要施工管理人员离开施工现场连续超过 </w:t>
      </w:r>
      <w:r>
        <w:rPr>
          <w:sz w:val="21"/>
        </w:rPr>
        <w:t>3 天的，应事</w:t>
      </w:r>
      <w:r>
        <w:rPr>
          <w:spacing w:val="-6"/>
          <w:sz w:val="21"/>
        </w:rPr>
        <w:t>先征得监理人同意。承包人擅自更换项目经理或主要施工管理人员，或前述人员未经监理人许可擅自离开</w:t>
      </w:r>
      <w:r>
        <w:rPr>
          <w:spacing w:val="-10"/>
          <w:sz w:val="21"/>
        </w:rPr>
        <w:t xml:space="preserve">施工现场连续超过 </w:t>
      </w:r>
      <w:r>
        <w:rPr>
          <w:sz w:val="21"/>
        </w:rPr>
        <w:t>3</w:t>
      </w:r>
      <w:r>
        <w:rPr>
          <w:spacing w:val="-9"/>
          <w:sz w:val="21"/>
        </w:rPr>
        <w:t xml:space="preserve"> 天的，应按照专用合同条款约定承担违约责任。</w:t>
      </w:r>
    </w:p>
    <w:p>
      <w:pPr>
        <w:pStyle w:val="10"/>
        <w:spacing w:before="5"/>
        <w:rPr>
          <w:sz w:val="19"/>
        </w:rPr>
      </w:pPr>
    </w:p>
    <w:p>
      <w:pPr>
        <w:rPr>
          <w:rFonts w:ascii="Times New Roman" w:eastAsia="Times New Roman"/>
        </w:rPr>
      </w:pPr>
      <w:bookmarkStart w:id="170" w:name="_bookmark116"/>
      <w:bookmarkEnd w:id="170"/>
      <w:r>
        <w:rPr>
          <w:rFonts w:hint="eastAsia"/>
          <w:spacing w:val="-3"/>
        </w:rPr>
        <w:t>4</w:t>
      </w:r>
      <w:r>
        <w:rPr>
          <w:spacing w:val="-3"/>
        </w:rPr>
        <w:t>.7撤换承包人项目经理和其他人员</w:t>
      </w:r>
    </w:p>
    <w:p>
      <w:pPr>
        <w:pStyle w:val="10"/>
        <w:spacing w:before="5"/>
        <w:rPr>
          <w:rFonts w:ascii="黑体"/>
          <w:sz w:val="38"/>
        </w:rPr>
      </w:pPr>
    </w:p>
    <w:p>
      <w:pPr>
        <w:pStyle w:val="10"/>
        <w:spacing w:line="417" w:lineRule="auto"/>
        <w:ind w:left="212" w:right="546" w:firstLine="420"/>
      </w:pPr>
      <w:r>
        <w:rPr>
          <w:spacing w:val="-5"/>
        </w:rPr>
        <w:t>承包人应对其项目经理和其他人员进行有效管理。监理人要求撤换不能胜任本职工作、行为不端或玩</w:t>
      </w:r>
      <w:r>
        <w:rPr>
          <w:spacing w:val="-4"/>
        </w:rPr>
        <w:t>忽职守的承包人项目经理和其他人员的，承包人应予以撤换。</w:t>
      </w:r>
    </w:p>
    <w:p>
      <w:pPr>
        <w:pStyle w:val="10"/>
        <w:spacing w:before="12"/>
        <w:rPr>
          <w:sz w:val="22"/>
        </w:rPr>
      </w:pPr>
    </w:p>
    <w:p>
      <w:pPr>
        <w:rPr>
          <w:rFonts w:ascii="Times New Roman" w:eastAsia="Times New Roman"/>
        </w:rPr>
      </w:pPr>
      <w:bookmarkStart w:id="171" w:name="_bookmark117"/>
      <w:bookmarkEnd w:id="171"/>
      <w:r>
        <w:rPr>
          <w:rFonts w:hint="eastAsia"/>
          <w:spacing w:val="-3"/>
        </w:rPr>
        <w:t>4</w:t>
      </w:r>
      <w:r>
        <w:rPr>
          <w:spacing w:val="-3"/>
        </w:rPr>
        <w:t>.8保障承包人人员的合法权益</w:t>
      </w:r>
    </w:p>
    <w:p>
      <w:pPr>
        <w:pStyle w:val="10"/>
        <w:spacing w:before="3"/>
        <w:rPr>
          <w:rFonts w:ascii="黑体"/>
          <w:sz w:val="38"/>
        </w:rPr>
      </w:pPr>
    </w:p>
    <w:p>
      <w:pPr>
        <w:tabs>
          <w:tab w:val="left" w:pos="1159"/>
        </w:tabs>
        <w:ind w:firstLine="204" w:firstLineChars="100"/>
        <w:rPr>
          <w:sz w:val="21"/>
        </w:rPr>
      </w:pPr>
      <w:r>
        <w:rPr>
          <w:rFonts w:hint="eastAsia"/>
          <w:spacing w:val="-3"/>
          <w:sz w:val="21"/>
        </w:rPr>
        <w:t>4</w:t>
      </w:r>
      <w:r>
        <w:rPr>
          <w:spacing w:val="-3"/>
          <w:sz w:val="21"/>
        </w:rPr>
        <w:t>.8.1承包人应与其雇佣的人员签订劳动合同，并按时发放工资。</w:t>
      </w:r>
    </w:p>
    <w:p>
      <w:pPr>
        <w:pStyle w:val="10"/>
        <w:spacing w:before="7"/>
        <w:rPr>
          <w:sz w:val="15"/>
        </w:rPr>
      </w:pPr>
    </w:p>
    <w:p>
      <w:pPr>
        <w:tabs>
          <w:tab w:val="left" w:pos="1162"/>
        </w:tabs>
        <w:spacing w:line="417" w:lineRule="auto"/>
        <w:ind w:right="527" w:firstLine="210" w:firstLineChars="100"/>
        <w:rPr>
          <w:sz w:val="21"/>
        </w:rPr>
      </w:pPr>
      <w:r>
        <w:rPr>
          <w:rFonts w:hint="eastAsia"/>
          <w:sz w:val="21"/>
        </w:rPr>
        <w:t>4</w:t>
      </w:r>
      <w:r>
        <w:rPr>
          <w:sz w:val="21"/>
        </w:rPr>
        <w:t>.8.2承包人应按劳动法的规定安排工作时间，保证其雇佣人员享有休息和休假的权利。因设计、施</w:t>
      </w:r>
      <w:r>
        <w:rPr>
          <w:spacing w:val="-3"/>
          <w:sz w:val="21"/>
        </w:rPr>
        <w:t>工的特殊需要占用休假日或延长工作时间的，应不超过法律规定的限度，并按法律规定给予补休或付酬。</w:t>
      </w:r>
    </w:p>
    <w:p>
      <w:pPr>
        <w:tabs>
          <w:tab w:val="left" w:pos="1162"/>
        </w:tabs>
        <w:spacing w:line="269" w:lineRule="exact"/>
        <w:ind w:firstLine="210" w:firstLineChars="100"/>
        <w:rPr>
          <w:sz w:val="21"/>
        </w:rPr>
      </w:pPr>
      <w:r>
        <w:rPr>
          <w:rFonts w:hint="eastAsia"/>
          <w:sz w:val="21"/>
        </w:rPr>
        <w:t>4</w:t>
      </w:r>
      <w:r>
        <w:rPr>
          <w:sz w:val="21"/>
        </w:rPr>
        <w:t>.8.3承包人应为其雇佣人员提供必要的食宿条件，以及符合环境保护和卫生要求的生活环境，在远</w:t>
      </w:r>
    </w:p>
    <w:p>
      <w:pPr>
        <w:spacing w:line="269" w:lineRule="exact"/>
        <w:rPr>
          <w:sz w:val="21"/>
        </w:rPr>
        <w:sectPr>
          <w:pgSz w:w="11910" w:h="16840"/>
          <w:pgMar w:top="1480" w:right="580" w:bottom="1220" w:left="920" w:header="0" w:footer="950" w:gutter="0"/>
          <w:cols w:space="720" w:num="1"/>
        </w:sectPr>
      </w:pPr>
    </w:p>
    <w:p>
      <w:pPr>
        <w:pStyle w:val="10"/>
        <w:spacing w:before="59"/>
        <w:ind w:left="212"/>
      </w:pPr>
      <w:r>
        <w:t>离城镇的施工场地，还应配备必要的伤病防治和急救的医务人员与医疗设施。</w:t>
      </w:r>
    </w:p>
    <w:p>
      <w:pPr>
        <w:pStyle w:val="10"/>
        <w:spacing w:before="7"/>
        <w:rPr>
          <w:sz w:val="15"/>
        </w:rPr>
      </w:pPr>
    </w:p>
    <w:p>
      <w:pPr>
        <w:tabs>
          <w:tab w:val="left" w:pos="1162"/>
        </w:tabs>
        <w:spacing w:line="417" w:lineRule="auto"/>
        <w:ind w:right="549" w:firstLine="208" w:firstLineChars="100"/>
        <w:jc w:val="both"/>
        <w:rPr>
          <w:sz w:val="21"/>
        </w:rPr>
      </w:pPr>
      <w:r>
        <w:rPr>
          <w:rFonts w:hint="eastAsia"/>
          <w:spacing w:val="-1"/>
          <w:sz w:val="21"/>
        </w:rPr>
        <w:t>4</w:t>
      </w:r>
      <w:r>
        <w:rPr>
          <w:spacing w:val="-1"/>
          <w:sz w:val="21"/>
        </w:rPr>
        <w:t>.8.4承包人应按国家有关劳动保护的规定，采取有效的防止粉尘、降低噪声、控制有害气体和保障</w:t>
      </w:r>
      <w:r>
        <w:rPr>
          <w:spacing w:val="-6"/>
          <w:sz w:val="21"/>
        </w:rPr>
        <w:t>高温、高寒、高空作业安全等劳动保护措施。其雇佣人员在施工中受到伤害的，承包人应立即采取有效措</w:t>
      </w:r>
      <w:r>
        <w:rPr>
          <w:spacing w:val="-4"/>
          <w:sz w:val="21"/>
        </w:rPr>
        <w:t>施进行抢救和治疗。</w:t>
      </w:r>
    </w:p>
    <w:p>
      <w:pPr>
        <w:tabs>
          <w:tab w:val="left" w:pos="1159"/>
        </w:tabs>
        <w:spacing w:line="269" w:lineRule="exact"/>
        <w:ind w:firstLine="204" w:firstLineChars="100"/>
        <w:jc w:val="both"/>
        <w:rPr>
          <w:sz w:val="21"/>
        </w:rPr>
      </w:pPr>
      <w:r>
        <w:rPr>
          <w:rFonts w:hint="eastAsia"/>
          <w:spacing w:val="-3"/>
          <w:sz w:val="21"/>
        </w:rPr>
        <w:t>4</w:t>
      </w:r>
      <w:r>
        <w:rPr>
          <w:spacing w:val="-3"/>
          <w:sz w:val="21"/>
        </w:rPr>
        <w:t>.8.5承包人应按有关法律规定和合同约定，为其雇佣人员办理保险。</w:t>
      </w:r>
    </w:p>
    <w:p>
      <w:pPr>
        <w:pStyle w:val="10"/>
        <w:spacing w:before="7"/>
        <w:rPr>
          <w:sz w:val="15"/>
        </w:rPr>
      </w:pPr>
    </w:p>
    <w:p>
      <w:pPr>
        <w:tabs>
          <w:tab w:val="left" w:pos="1159"/>
        </w:tabs>
        <w:ind w:firstLine="204" w:firstLineChars="100"/>
        <w:jc w:val="both"/>
        <w:rPr>
          <w:sz w:val="21"/>
        </w:rPr>
      </w:pPr>
      <w:r>
        <w:rPr>
          <w:rFonts w:hint="eastAsia"/>
          <w:spacing w:val="-3"/>
          <w:sz w:val="21"/>
        </w:rPr>
        <w:t>4</w:t>
      </w:r>
      <w:r>
        <w:rPr>
          <w:spacing w:val="-3"/>
          <w:sz w:val="21"/>
        </w:rPr>
        <w:t>.8.6承包人应负责处理其雇佣人员因工伤亡事故的善后事宜。</w:t>
      </w:r>
    </w:p>
    <w:p>
      <w:pPr>
        <w:pStyle w:val="10"/>
        <w:rPr>
          <w:sz w:val="22"/>
        </w:rPr>
      </w:pPr>
    </w:p>
    <w:p>
      <w:pPr>
        <w:rPr>
          <w:rFonts w:ascii="Times New Roman" w:eastAsia="Times New Roman"/>
        </w:rPr>
      </w:pPr>
      <w:bookmarkStart w:id="172" w:name="_bookmark118"/>
      <w:bookmarkEnd w:id="172"/>
      <w:r>
        <w:rPr>
          <w:rFonts w:hint="eastAsia"/>
          <w:spacing w:val="-2"/>
        </w:rPr>
        <w:t>4</w:t>
      </w:r>
      <w:r>
        <w:rPr>
          <w:spacing w:val="-2"/>
        </w:rPr>
        <w:t>.9工程价款应专款专用</w:t>
      </w:r>
    </w:p>
    <w:p>
      <w:pPr>
        <w:pStyle w:val="10"/>
        <w:spacing w:before="2"/>
        <w:rPr>
          <w:rFonts w:ascii="黑体"/>
          <w:sz w:val="38"/>
        </w:rPr>
      </w:pPr>
    </w:p>
    <w:p>
      <w:pPr>
        <w:pStyle w:val="10"/>
        <w:spacing w:before="1"/>
        <w:ind w:left="633"/>
      </w:pPr>
      <w:r>
        <w:t>发包人按合同约定支付给承包人的各项价款应专用于合同工作。</w:t>
      </w:r>
    </w:p>
    <w:p>
      <w:pPr>
        <w:pStyle w:val="10"/>
        <w:rPr>
          <w:sz w:val="20"/>
        </w:rPr>
      </w:pPr>
    </w:p>
    <w:p>
      <w:pPr>
        <w:rPr>
          <w:rFonts w:ascii="Times New Roman" w:eastAsia="Times New Roman"/>
        </w:rPr>
      </w:pPr>
      <w:bookmarkStart w:id="173" w:name="_bookmark119"/>
      <w:bookmarkEnd w:id="173"/>
      <w:r>
        <w:rPr>
          <w:rFonts w:hint="eastAsia"/>
          <w:spacing w:val="-2"/>
        </w:rPr>
        <w:t>4</w:t>
      </w:r>
      <w:r>
        <w:rPr>
          <w:spacing w:val="-2"/>
        </w:rPr>
        <w:t>.10承包人现场查勘</w:t>
      </w:r>
    </w:p>
    <w:p>
      <w:pPr>
        <w:pStyle w:val="10"/>
        <w:spacing w:before="4"/>
        <w:rPr>
          <w:rFonts w:ascii="黑体"/>
          <w:sz w:val="38"/>
        </w:rPr>
      </w:pPr>
    </w:p>
    <w:p>
      <w:pPr>
        <w:tabs>
          <w:tab w:val="left" w:pos="1265"/>
        </w:tabs>
        <w:spacing w:line="417" w:lineRule="auto"/>
        <w:ind w:right="546" w:firstLine="194" w:firstLineChars="100"/>
        <w:jc w:val="both"/>
        <w:rPr>
          <w:sz w:val="21"/>
        </w:rPr>
      </w:pPr>
      <w:r>
        <w:rPr>
          <w:rFonts w:hint="eastAsia"/>
          <w:spacing w:val="-8"/>
          <w:sz w:val="21"/>
        </w:rPr>
        <w:t>4</w:t>
      </w:r>
      <w:r>
        <w:rPr>
          <w:spacing w:val="-8"/>
          <w:sz w:val="21"/>
        </w:rPr>
        <w:t>.10.1发包人应向承包人提供施工场地及毗邻区域内的供水、排水、供电、供气、供热、通信、广播</w:t>
      </w:r>
      <w:r>
        <w:rPr>
          <w:spacing w:val="-7"/>
          <w:sz w:val="21"/>
        </w:rPr>
        <w:t>电视等地下管线资料、气象和水文观测资料，相邻建筑物和构筑物、地下工程的有关资料，以及其他与建设工程有关的原始资料，并承担原始资料错误造成的全部责任，但承包人应对其阅读上述有关资料后所作</w:t>
      </w:r>
      <w:r>
        <w:rPr>
          <w:spacing w:val="-5"/>
          <w:sz w:val="21"/>
        </w:rPr>
        <w:t>出的解释和推断负责。</w:t>
      </w:r>
    </w:p>
    <w:p>
      <w:pPr>
        <w:tabs>
          <w:tab w:val="left" w:pos="1265"/>
        </w:tabs>
        <w:spacing w:line="417" w:lineRule="auto"/>
        <w:ind w:right="546" w:firstLine="194" w:firstLineChars="100"/>
        <w:jc w:val="both"/>
        <w:rPr>
          <w:sz w:val="21"/>
        </w:rPr>
      </w:pPr>
      <w:r>
        <w:rPr>
          <w:rFonts w:hint="eastAsia"/>
          <w:spacing w:val="-8"/>
          <w:sz w:val="21"/>
        </w:rPr>
        <w:t>4</w:t>
      </w:r>
      <w:r>
        <w:rPr>
          <w:spacing w:val="-8"/>
          <w:sz w:val="21"/>
        </w:rPr>
        <w:t>.10.2</w:t>
      </w:r>
      <w:r>
        <w:rPr>
          <w:spacing w:val="-5"/>
          <w:sz w:val="21"/>
        </w:rPr>
        <w:t>承包人应对施工场地和周围环境进行查勘，并收集除发包人提供外为完成合同工作有关的当地</w:t>
      </w:r>
      <w:r>
        <w:rPr>
          <w:spacing w:val="-4"/>
          <w:sz w:val="21"/>
        </w:rPr>
        <w:t>资料。在全部合同工作中，视为承包人已充分估计了应承担的责任和风险。</w:t>
      </w:r>
    </w:p>
    <w:p>
      <w:pPr>
        <w:pStyle w:val="10"/>
        <w:spacing w:before="12"/>
        <w:rPr>
          <w:sz w:val="22"/>
        </w:rPr>
      </w:pPr>
    </w:p>
    <w:p>
      <w:bookmarkStart w:id="174" w:name="_bookmark120"/>
      <w:bookmarkEnd w:id="174"/>
      <w:r>
        <w:rPr>
          <w:rFonts w:hint="eastAsia"/>
          <w:spacing w:val="-2"/>
        </w:rPr>
        <w:t>4</w:t>
      </w:r>
      <w:r>
        <w:rPr>
          <w:spacing w:val="-2"/>
        </w:rPr>
        <w:t>.11</w:t>
      </w:r>
      <w:r>
        <w:rPr>
          <w:rFonts w:hint="eastAsia"/>
        </w:rPr>
        <w:t>不可预见物质条件（A）</w:t>
      </w:r>
    </w:p>
    <w:p>
      <w:pPr>
        <w:spacing w:line="360" w:lineRule="auto"/>
        <w:ind w:firstLine="220" w:firstLineChars="100"/>
        <w:rPr>
          <w:szCs w:val="21"/>
        </w:rPr>
      </w:pPr>
      <w:r>
        <w:rPr>
          <w:rFonts w:hint="eastAsia"/>
        </w:rPr>
        <w:t>4.11.1</w:t>
      </w:r>
      <w:r>
        <w:rPr>
          <w:rFonts w:hint="eastAsia"/>
          <w:szCs w:val="21"/>
        </w:rPr>
        <w:t xml:space="preserve"> 不可预见物质条件，除专用合同条款另有约定外，是指承包人在施工场地遇到的不可预见的自然物质条件、非自然的物质障碍和污染物，包括地下和水文条件，但不包括气候条件。</w:t>
      </w:r>
    </w:p>
    <w:p>
      <w:pPr>
        <w:ind w:firstLine="220" w:firstLineChars="100"/>
        <w:rPr>
          <w:spacing w:val="-2"/>
        </w:rPr>
      </w:pPr>
      <w:r>
        <w:rPr>
          <w:rFonts w:hint="eastAsia"/>
        </w:rPr>
        <w:t>4.11.2</w:t>
      </w:r>
      <w:r>
        <w:rPr>
          <w:rFonts w:hint="eastAsia"/>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pPr>
        <w:pStyle w:val="10"/>
        <w:spacing w:before="1"/>
        <w:rPr>
          <w:rFonts w:ascii="黑体"/>
          <w:sz w:val="39"/>
        </w:rPr>
      </w:pPr>
      <w:r>
        <w:rPr>
          <w:rFonts w:hint="eastAsia"/>
          <w:spacing w:val="-2"/>
        </w:rPr>
        <w:t>4</w:t>
      </w:r>
      <w:r>
        <w:rPr>
          <w:spacing w:val="-2"/>
        </w:rPr>
        <w:t xml:space="preserve">.11 </w:t>
      </w:r>
      <w:r>
        <w:rPr>
          <w:rFonts w:hint="eastAsia"/>
        </w:rPr>
        <w:t>不可预见的困难和费用（B）</w:t>
      </w:r>
    </w:p>
    <w:p>
      <w:pPr>
        <w:tabs>
          <w:tab w:val="left" w:pos="1258"/>
        </w:tabs>
        <w:spacing w:line="417" w:lineRule="auto"/>
        <w:ind w:right="546" w:firstLine="440" w:firstLineChars="200"/>
        <w:jc w:val="both"/>
        <w:rPr>
          <w:sz w:val="21"/>
        </w:rPr>
      </w:pPr>
      <w:r>
        <w:rPr>
          <w:rFonts w:hint="eastAsia"/>
          <w:szCs w:val="21"/>
        </w:rPr>
        <w:t>除合同另有约定外，承包人应视为已取得工程有关风险、意外事件和其他情况的全部必要资料，并预见工程所有困难和费用。承包人遇到不可预见的困难和费用时，合同价格不予调整。</w:t>
      </w:r>
    </w:p>
    <w:p>
      <w:pPr>
        <w:pStyle w:val="10"/>
        <w:spacing w:before="6"/>
        <w:rPr>
          <w:sz w:val="22"/>
        </w:rPr>
      </w:pPr>
    </w:p>
    <w:p>
      <w:pPr>
        <w:rPr>
          <w:rFonts w:ascii="Times New Roman" w:eastAsia="Times New Roman"/>
        </w:rPr>
      </w:pPr>
      <w:bookmarkStart w:id="175" w:name="_bookmark121"/>
      <w:bookmarkEnd w:id="175"/>
      <w:r>
        <w:rPr>
          <w:rFonts w:hint="eastAsia"/>
          <w:spacing w:val="-1"/>
        </w:rPr>
        <w:t>4</w:t>
      </w:r>
      <w:r>
        <w:rPr>
          <w:spacing w:val="-1"/>
        </w:rPr>
        <w:t>.12进度计划</w:t>
      </w:r>
    </w:p>
    <w:p>
      <w:pPr>
        <w:pStyle w:val="10"/>
        <w:spacing w:before="4"/>
        <w:rPr>
          <w:rFonts w:ascii="黑体"/>
          <w:sz w:val="38"/>
        </w:rPr>
      </w:pPr>
    </w:p>
    <w:p>
      <w:pPr>
        <w:tabs>
          <w:tab w:val="left" w:pos="1265"/>
        </w:tabs>
        <w:ind w:firstLine="204" w:firstLineChars="100"/>
        <w:jc w:val="both"/>
        <w:rPr>
          <w:sz w:val="21"/>
        </w:rPr>
      </w:pPr>
      <w:r>
        <w:rPr>
          <w:rFonts w:hint="eastAsia"/>
          <w:spacing w:val="-3"/>
          <w:sz w:val="21"/>
        </w:rPr>
        <w:t>4</w:t>
      </w:r>
      <w:r>
        <w:rPr>
          <w:spacing w:val="-3"/>
          <w:sz w:val="21"/>
        </w:rPr>
        <w:t>.12.1合同进度计划</w:t>
      </w:r>
    </w:p>
    <w:p>
      <w:pPr>
        <w:pStyle w:val="10"/>
        <w:spacing w:before="6"/>
        <w:rPr>
          <w:sz w:val="15"/>
        </w:rPr>
      </w:pPr>
    </w:p>
    <w:p>
      <w:pPr>
        <w:pStyle w:val="10"/>
        <w:spacing w:before="1"/>
        <w:ind w:left="633"/>
      </w:pPr>
      <w:r>
        <w:t>承包人应按合同约定的内容和期限，编制详细的进度计划，包括设计、承包人文件提交、采购、制造、</w:t>
      </w:r>
    </w:p>
    <w:p>
      <w:pPr>
        <w:sectPr>
          <w:pgSz w:w="11910" w:h="16840"/>
          <w:pgMar w:top="1440" w:right="580" w:bottom="1220" w:left="920" w:header="0" w:footer="950" w:gutter="0"/>
          <w:cols w:space="720" w:num="1"/>
        </w:sectPr>
      </w:pPr>
    </w:p>
    <w:p>
      <w:pPr>
        <w:pStyle w:val="10"/>
        <w:spacing w:before="59" w:line="417" w:lineRule="auto"/>
        <w:ind w:left="212" w:right="524"/>
        <w:jc w:val="both"/>
      </w:pPr>
      <w:r>
        <w:rPr>
          <w:spacing w:val="-3"/>
        </w:rPr>
        <w:t>检验、运达现场、施工、安装、试验的各个阶段的预期时间以及设计和施工组织方案说明等报送监理人。</w:t>
      </w:r>
      <w:r>
        <w:rPr>
          <w:spacing w:val="-5"/>
        </w:rPr>
        <w:t>监理人应在专用合同条款约定的期限内批复或提出修改意见，否则该进度计划视为已得到批准。经监理人</w:t>
      </w:r>
      <w:r>
        <w:rPr>
          <w:spacing w:val="-7"/>
        </w:rPr>
        <w:t>批准的进度计划称合同进度计划，是控制合同工程进度的依据。承包人还应根据合同进度计划，编制更为</w:t>
      </w:r>
      <w:r>
        <w:rPr>
          <w:spacing w:val="-5"/>
        </w:rPr>
        <w:t>详细的分阶段或分项进度计划，报监理人批准。</w:t>
      </w:r>
    </w:p>
    <w:p>
      <w:pPr>
        <w:tabs>
          <w:tab w:val="left" w:pos="1265"/>
        </w:tabs>
        <w:spacing w:line="269" w:lineRule="exact"/>
        <w:ind w:firstLine="204" w:firstLineChars="100"/>
        <w:jc w:val="both"/>
        <w:rPr>
          <w:sz w:val="21"/>
        </w:rPr>
      </w:pPr>
      <w:r>
        <w:rPr>
          <w:rFonts w:hint="eastAsia"/>
          <w:spacing w:val="-3"/>
          <w:sz w:val="21"/>
        </w:rPr>
        <w:t>4</w:t>
      </w:r>
      <w:r>
        <w:rPr>
          <w:spacing w:val="-3"/>
          <w:sz w:val="21"/>
        </w:rPr>
        <w:t>.12.2合同进度计划的修订</w:t>
      </w:r>
    </w:p>
    <w:p>
      <w:pPr>
        <w:pStyle w:val="10"/>
        <w:spacing w:before="7"/>
        <w:rPr>
          <w:sz w:val="15"/>
        </w:rPr>
      </w:pPr>
    </w:p>
    <w:p>
      <w:pPr>
        <w:pStyle w:val="10"/>
        <w:spacing w:line="417" w:lineRule="auto"/>
        <w:ind w:left="212" w:right="525" w:firstLine="420"/>
        <w:jc w:val="both"/>
      </w:pPr>
      <w:r>
        <w:rPr>
          <w:spacing w:val="-3"/>
        </w:rPr>
        <w:t xml:space="preserve">不论何种原因造成工程的实际进度与第 </w:t>
      </w:r>
      <w:r>
        <w:t>4.12.1</w:t>
      </w:r>
      <w:r>
        <w:rPr>
          <w:spacing w:val="-3"/>
        </w:rPr>
        <w:t xml:space="preserve"> 项的合同进度计划不符时，承包人可以在专用合同条款约定的期限内向监理人提交修订合同进度计划的申请报告，并附有关措施和相关资料，报监理人批准； </w:t>
      </w:r>
      <w:r>
        <w:rPr>
          <w:spacing w:val="-5"/>
        </w:rPr>
        <w:t>监理人也可以直接向承包人作出修订合同进度计划的指示，承包人应按该指示修订合同进度计划，报监理</w:t>
      </w:r>
      <w:r>
        <w:rPr>
          <w:spacing w:val="-4"/>
        </w:rPr>
        <w:t>人批准。监理人应在专用合同条款约定的期限内批复。监理人在批复前应获得发包人同意。</w:t>
      </w:r>
    </w:p>
    <w:p>
      <w:pPr>
        <w:pStyle w:val="10"/>
        <w:rPr>
          <w:sz w:val="23"/>
        </w:rPr>
      </w:pPr>
    </w:p>
    <w:p>
      <w:pPr>
        <w:rPr>
          <w:rFonts w:ascii="Times New Roman" w:eastAsia="Times New Roman"/>
        </w:rPr>
      </w:pPr>
      <w:bookmarkStart w:id="176" w:name="_bookmark122"/>
      <w:bookmarkEnd w:id="176"/>
      <w:r>
        <w:rPr>
          <w:rFonts w:hint="eastAsia"/>
          <w:spacing w:val="-1"/>
        </w:rPr>
        <w:t>4.13</w:t>
      </w:r>
      <w:r>
        <w:rPr>
          <w:spacing w:val="-1"/>
        </w:rPr>
        <w:t>质量保证</w:t>
      </w:r>
    </w:p>
    <w:p>
      <w:pPr>
        <w:pStyle w:val="10"/>
        <w:spacing w:before="2"/>
        <w:rPr>
          <w:rFonts w:ascii="黑体"/>
          <w:sz w:val="38"/>
        </w:rPr>
      </w:pPr>
    </w:p>
    <w:p>
      <w:pPr>
        <w:tabs>
          <w:tab w:val="left" w:pos="1265"/>
        </w:tabs>
        <w:spacing w:line="417" w:lineRule="auto"/>
        <w:ind w:right="546" w:firstLine="198" w:firstLineChars="100"/>
        <w:rPr>
          <w:sz w:val="21"/>
        </w:rPr>
      </w:pPr>
      <w:r>
        <w:rPr>
          <w:rFonts w:hint="eastAsia"/>
          <w:spacing w:val="-6"/>
          <w:sz w:val="21"/>
        </w:rPr>
        <w:t>4</w:t>
      </w:r>
      <w:r>
        <w:rPr>
          <w:spacing w:val="-6"/>
          <w:sz w:val="21"/>
        </w:rPr>
        <w:t>.13.1为保证工程质量，承包人应按照合同要求建立质量保证体系。监理人有权对承包人的质量保证</w:t>
      </w:r>
      <w:r>
        <w:rPr>
          <w:spacing w:val="-4"/>
          <w:sz w:val="21"/>
        </w:rPr>
        <w:t>体系进行审查。</w:t>
      </w:r>
    </w:p>
    <w:p>
      <w:pPr>
        <w:tabs>
          <w:tab w:val="left" w:pos="1265"/>
        </w:tabs>
        <w:spacing w:line="269" w:lineRule="exact"/>
        <w:ind w:firstLine="198" w:firstLineChars="100"/>
        <w:jc w:val="both"/>
        <w:rPr>
          <w:sz w:val="21"/>
        </w:rPr>
      </w:pPr>
      <w:r>
        <w:rPr>
          <w:rFonts w:hint="eastAsia"/>
          <w:spacing w:val="-6"/>
          <w:sz w:val="21"/>
        </w:rPr>
        <w:t>4</w:t>
      </w:r>
      <w:r>
        <w:rPr>
          <w:spacing w:val="-6"/>
          <w:sz w:val="21"/>
        </w:rPr>
        <w:t>.13.2</w:t>
      </w:r>
      <w:r>
        <w:rPr>
          <w:spacing w:val="-3"/>
          <w:sz w:val="21"/>
        </w:rPr>
        <w:t>承包人应在各设计和实施阶段开始前，向监理人提交其具体的质量保证细则和工作程序。</w:t>
      </w:r>
    </w:p>
    <w:p>
      <w:pPr>
        <w:pStyle w:val="10"/>
        <w:spacing w:before="7"/>
        <w:rPr>
          <w:sz w:val="15"/>
        </w:rPr>
      </w:pPr>
    </w:p>
    <w:p>
      <w:pPr>
        <w:tabs>
          <w:tab w:val="left" w:pos="1265"/>
        </w:tabs>
        <w:ind w:firstLine="198" w:firstLineChars="100"/>
        <w:rPr>
          <w:sz w:val="21"/>
        </w:rPr>
      </w:pPr>
      <w:r>
        <w:rPr>
          <w:rFonts w:hint="eastAsia"/>
          <w:spacing w:val="-6"/>
          <w:sz w:val="21"/>
        </w:rPr>
        <w:t>4</w:t>
      </w:r>
      <w:r>
        <w:rPr>
          <w:spacing w:val="-6"/>
          <w:sz w:val="21"/>
        </w:rPr>
        <w:t>.13.3</w:t>
      </w:r>
      <w:r>
        <w:rPr>
          <w:spacing w:val="-3"/>
          <w:sz w:val="21"/>
        </w:rPr>
        <w:t>遵守质量保证体系，不应免除合同约定的承包人的义务和责任。</w:t>
      </w:r>
    </w:p>
    <w:p>
      <w:pPr>
        <w:pStyle w:val="10"/>
        <w:rPr>
          <w:sz w:val="22"/>
        </w:rPr>
      </w:pPr>
    </w:p>
    <w:p>
      <w:pPr>
        <w:pStyle w:val="4"/>
      </w:pPr>
      <w:bookmarkStart w:id="177" w:name="_bookmark123"/>
      <w:bookmarkEnd w:id="177"/>
      <w:bookmarkStart w:id="178" w:name="_Toc37926057"/>
      <w:r>
        <w:rPr>
          <w:rFonts w:hint="eastAsia"/>
        </w:rPr>
        <w:t>5.</w:t>
      </w:r>
      <w:r>
        <w:t>设计</w:t>
      </w:r>
      <w:bookmarkEnd w:id="178"/>
    </w:p>
    <w:p>
      <w:pPr>
        <w:pStyle w:val="10"/>
        <w:spacing w:before="4"/>
        <w:rPr>
          <w:rFonts w:ascii="黑体"/>
          <w:b/>
          <w:sz w:val="39"/>
        </w:rPr>
      </w:pPr>
    </w:p>
    <w:p>
      <w:pPr>
        <w:rPr>
          <w:spacing w:val="-1"/>
        </w:rPr>
      </w:pPr>
      <w:bookmarkStart w:id="179" w:name="_bookmark124"/>
      <w:bookmarkEnd w:id="179"/>
      <w:r>
        <w:rPr>
          <w:rFonts w:hint="eastAsia"/>
          <w:spacing w:val="-1"/>
        </w:rPr>
        <w:t xml:space="preserve">5.1 </w:t>
      </w:r>
      <w:r>
        <w:rPr>
          <w:spacing w:val="-1"/>
        </w:rPr>
        <w:t>承包人的设计义务</w:t>
      </w:r>
    </w:p>
    <w:p>
      <w:pPr>
        <w:pStyle w:val="10"/>
        <w:spacing w:before="2"/>
        <w:rPr>
          <w:rFonts w:ascii="黑体"/>
          <w:sz w:val="38"/>
        </w:rPr>
      </w:pPr>
    </w:p>
    <w:p>
      <w:pPr>
        <w:tabs>
          <w:tab w:val="left" w:pos="1159"/>
        </w:tabs>
        <w:rPr>
          <w:sz w:val="21"/>
        </w:rPr>
      </w:pPr>
      <w:r>
        <w:rPr>
          <w:rFonts w:hint="eastAsia"/>
          <w:spacing w:val="-3"/>
          <w:sz w:val="21"/>
        </w:rPr>
        <w:t xml:space="preserve">5.1.1 </w:t>
      </w:r>
      <w:r>
        <w:rPr>
          <w:spacing w:val="-3"/>
          <w:sz w:val="21"/>
        </w:rPr>
        <w:t>设计义务的一般要求</w:t>
      </w:r>
    </w:p>
    <w:p>
      <w:pPr>
        <w:pStyle w:val="10"/>
        <w:spacing w:before="7"/>
        <w:rPr>
          <w:sz w:val="15"/>
        </w:rPr>
      </w:pPr>
    </w:p>
    <w:p>
      <w:pPr>
        <w:pStyle w:val="10"/>
        <w:ind w:left="633"/>
      </w:pPr>
      <w:r>
        <w:t>承包人应按照法律规定，以及国家、行业和地方的规范和标准完成设计工作，并符合发包人要求。</w:t>
      </w:r>
    </w:p>
    <w:p>
      <w:pPr>
        <w:pStyle w:val="10"/>
        <w:spacing w:before="6"/>
        <w:rPr>
          <w:sz w:val="15"/>
        </w:rPr>
      </w:pPr>
    </w:p>
    <w:p>
      <w:pPr>
        <w:pStyle w:val="35"/>
        <w:numPr>
          <w:ilvl w:val="2"/>
          <w:numId w:val="29"/>
        </w:numPr>
        <w:tabs>
          <w:tab w:val="left" w:pos="1159"/>
        </w:tabs>
        <w:rPr>
          <w:sz w:val="21"/>
        </w:rPr>
      </w:pPr>
      <w:r>
        <w:rPr>
          <w:spacing w:val="-3"/>
          <w:sz w:val="21"/>
        </w:rPr>
        <w:t>法律和标准的变化</w:t>
      </w:r>
    </w:p>
    <w:p>
      <w:pPr>
        <w:pStyle w:val="10"/>
        <w:spacing w:before="7"/>
        <w:rPr>
          <w:sz w:val="15"/>
        </w:rPr>
      </w:pPr>
    </w:p>
    <w:p>
      <w:pPr>
        <w:pStyle w:val="10"/>
        <w:spacing w:line="417" w:lineRule="auto"/>
        <w:ind w:left="212" w:right="441" w:firstLine="420"/>
        <w:sectPr>
          <w:pgSz w:w="11910" w:h="16840"/>
          <w:pgMar w:top="1440" w:right="580" w:bottom="1220" w:left="920" w:header="0" w:footer="950" w:gutter="0"/>
          <w:cols w:space="720" w:num="1"/>
        </w:sectPr>
      </w:pPr>
      <w:r>
        <w:rPr>
          <w:spacing w:val="-12"/>
        </w:rPr>
        <w:t xml:space="preserve">除合同另有约定外，承包人完成设计工作所应遵守的法律规定，以及国家、行业和地方的规范和标准， </w:t>
      </w:r>
      <w:r>
        <w:rPr>
          <w:spacing w:val="-8"/>
        </w:rPr>
        <w:t>均应视为在基准日适用的版本。基准日之后，前述版本发生重大变化，或者有新的法律，以及国家、行业</w:t>
      </w:r>
      <w:r>
        <w:rPr>
          <w:spacing w:val="-7"/>
        </w:rPr>
        <w:t>和地方的规范和标准实施的，承包人应向发包人或发包人委托的监理人提出遵守新规定的建议。发包人或</w:t>
      </w:r>
      <w:r>
        <w:rPr>
          <w:spacing w:val="-8"/>
        </w:rPr>
        <w:t xml:space="preserve">其委托的监理人应在收到建议后 </w:t>
      </w:r>
      <w:r>
        <w:t>7</w:t>
      </w:r>
      <w:r>
        <w:rPr>
          <w:spacing w:val="-10"/>
        </w:rPr>
        <w:t xml:space="preserve"> 天内发出是否遵守新规定的指示。发包人或其委托的监理人指示遵守新</w:t>
      </w:r>
      <w:r>
        <w:t xml:space="preserve">规定的，按照第 </w:t>
      </w:r>
      <w:r>
        <w:rPr>
          <w:rFonts w:ascii="Times New Roman" w:eastAsia="Times New Roman"/>
        </w:rPr>
        <w:t xml:space="preserve">15 </w:t>
      </w:r>
      <w:r>
        <w:t xml:space="preserve">条或第 </w:t>
      </w:r>
      <w:r>
        <w:rPr>
          <w:rFonts w:ascii="Times New Roman" w:eastAsia="Times New Roman"/>
        </w:rPr>
        <w:t xml:space="preserve">16.2 </w:t>
      </w:r>
      <w:r>
        <w:t>款约定执行。</w:t>
      </w:r>
    </w:p>
    <w:p>
      <w:pPr>
        <w:ind w:firstLine="106" w:firstLineChars="49"/>
        <w:rPr>
          <w:rFonts w:ascii="Times New Roman" w:eastAsia="Times New Roman"/>
        </w:rPr>
      </w:pPr>
      <w:bookmarkStart w:id="180" w:name="_bookmark125"/>
      <w:bookmarkEnd w:id="180"/>
      <w:r>
        <w:rPr>
          <w:rFonts w:hint="eastAsia"/>
          <w:spacing w:val="-1"/>
        </w:rPr>
        <w:t xml:space="preserve">5.2 </w:t>
      </w:r>
      <w:r>
        <w:rPr>
          <w:spacing w:val="-2"/>
        </w:rPr>
        <w:t>承包人设计进度计划</w:t>
      </w:r>
    </w:p>
    <w:p>
      <w:pPr>
        <w:pStyle w:val="10"/>
        <w:spacing w:before="4"/>
        <w:rPr>
          <w:rFonts w:ascii="黑体"/>
          <w:sz w:val="38"/>
        </w:rPr>
      </w:pPr>
    </w:p>
    <w:p>
      <w:pPr>
        <w:pStyle w:val="10"/>
        <w:spacing w:line="417" w:lineRule="auto"/>
        <w:ind w:left="212" w:right="546" w:firstLine="420"/>
      </w:pPr>
      <w:r>
        <w:rPr>
          <w:spacing w:val="-6"/>
        </w:rPr>
        <w:t>承包人应按照发包人要求，在合同进度计划中专门列出设计进度计划，报发包人批准后执行。承包人</w:t>
      </w:r>
      <w:r>
        <w:rPr>
          <w:spacing w:val="-4"/>
        </w:rPr>
        <w:t>需按照经批准后的计划开展设计工作。</w:t>
      </w:r>
    </w:p>
    <w:p>
      <w:pPr>
        <w:pStyle w:val="10"/>
        <w:spacing w:line="417" w:lineRule="auto"/>
        <w:ind w:left="212" w:right="475" w:firstLine="420"/>
      </w:pPr>
      <w:r>
        <w:t xml:space="preserve">因承包人原因影响设计进度的，按第 </w:t>
      </w:r>
      <w:r>
        <w:rPr>
          <w:rFonts w:ascii="Times New Roman" w:eastAsia="Times New Roman"/>
        </w:rPr>
        <w:t xml:space="preserve">11.5 </w:t>
      </w:r>
      <w:r>
        <w:t xml:space="preserve">款的约定执行。因发包人原因影响设计进度的，按第 </w:t>
      </w:r>
      <w:r>
        <w:rPr>
          <w:rFonts w:ascii="Times New Roman" w:eastAsia="Times New Roman"/>
        </w:rPr>
        <w:t xml:space="preserve">15 </w:t>
      </w:r>
      <w:r>
        <w:t>条变更处理。</w:t>
      </w:r>
    </w:p>
    <w:p>
      <w:pPr>
        <w:pStyle w:val="10"/>
        <w:spacing w:line="417" w:lineRule="auto"/>
        <w:ind w:left="212" w:right="549" w:firstLine="420"/>
      </w:pPr>
      <w:r>
        <w:rPr>
          <w:spacing w:val="-5"/>
        </w:rPr>
        <w:t xml:space="preserve">发包人或其委托的监理人有权要求承包人根据第 </w:t>
      </w:r>
      <w:r>
        <w:rPr>
          <w:rFonts w:ascii="Times New Roman" w:eastAsia="Times New Roman"/>
          <w:spacing w:val="-3"/>
        </w:rPr>
        <w:t xml:space="preserve">11.5 </w:t>
      </w:r>
      <w:r>
        <w:rPr>
          <w:spacing w:val="-10"/>
        </w:rPr>
        <w:t>款提交修正的进度计划、增加投入资源并加快设</w:t>
      </w:r>
      <w:r>
        <w:rPr>
          <w:spacing w:val="-6"/>
        </w:rPr>
        <w:t>计进度。</w:t>
      </w:r>
    </w:p>
    <w:p>
      <w:pPr>
        <w:pStyle w:val="10"/>
        <w:rPr>
          <w:sz w:val="23"/>
        </w:rPr>
      </w:pPr>
    </w:p>
    <w:p>
      <w:pPr>
        <w:ind w:firstLine="106" w:firstLineChars="49"/>
        <w:rPr>
          <w:rFonts w:ascii="Times New Roman" w:eastAsia="Times New Roman"/>
        </w:rPr>
      </w:pPr>
      <w:bookmarkStart w:id="181" w:name="_bookmark126"/>
      <w:bookmarkEnd w:id="181"/>
      <w:r>
        <w:rPr>
          <w:rFonts w:hint="eastAsia"/>
          <w:spacing w:val="-1"/>
        </w:rPr>
        <w:t xml:space="preserve">5.3 </w:t>
      </w:r>
      <w:r>
        <w:t>设计审查</w:t>
      </w:r>
    </w:p>
    <w:p>
      <w:pPr>
        <w:pStyle w:val="10"/>
        <w:spacing w:before="4"/>
        <w:rPr>
          <w:rFonts w:ascii="黑体"/>
          <w:sz w:val="38"/>
        </w:rPr>
      </w:pPr>
    </w:p>
    <w:p>
      <w:pPr>
        <w:tabs>
          <w:tab w:val="left" w:pos="1159"/>
        </w:tabs>
        <w:ind w:firstLine="99" w:firstLineChars="49"/>
        <w:jc w:val="both"/>
        <w:rPr>
          <w:sz w:val="21"/>
        </w:rPr>
      </w:pPr>
      <w:r>
        <w:rPr>
          <w:rFonts w:hint="eastAsia"/>
          <w:spacing w:val="-3"/>
          <w:sz w:val="21"/>
        </w:rPr>
        <w:t xml:space="preserve">5.3.1 </w:t>
      </w:r>
      <w:r>
        <w:rPr>
          <w:spacing w:val="-3"/>
          <w:sz w:val="21"/>
        </w:rPr>
        <w:t>承包人的设计文件应报发包人审查同意。审查的范围和内容在发包人要求中约定。</w:t>
      </w:r>
    </w:p>
    <w:p>
      <w:pPr>
        <w:pStyle w:val="10"/>
        <w:spacing w:before="7"/>
        <w:rPr>
          <w:sz w:val="15"/>
        </w:rPr>
      </w:pPr>
    </w:p>
    <w:p>
      <w:pPr>
        <w:pStyle w:val="10"/>
        <w:spacing w:line="417" w:lineRule="auto"/>
        <w:ind w:left="212" w:right="546" w:firstLine="420"/>
        <w:jc w:val="both"/>
      </w:pPr>
      <w:r>
        <w:rPr>
          <w:spacing w:val="-6"/>
        </w:rPr>
        <w:t>除合同另有约定外，自监理人收到承包人的设计文件以及承包人的通知之日起，发包人对承包人的设</w:t>
      </w:r>
      <w:r>
        <w:rPr>
          <w:spacing w:val="-3"/>
        </w:rPr>
        <w:t xml:space="preserve">计文件审查期不超过 </w:t>
      </w:r>
      <w:r>
        <w:t>21</w:t>
      </w:r>
      <w:r>
        <w:rPr>
          <w:spacing w:val="-3"/>
        </w:rPr>
        <w:t xml:space="preserve"> 天。承包人的设计文件对于合同约定有偏离的，应在通知中说明。承包人需要修</w:t>
      </w:r>
      <w:r>
        <w:rPr>
          <w:spacing w:val="-6"/>
        </w:rPr>
        <w:t>改已提交的承包人文件的，应立即通知监理人，并向监理人提交修改后的承包人的设计文件，审查期重新起算。</w:t>
      </w:r>
    </w:p>
    <w:p>
      <w:pPr>
        <w:pStyle w:val="10"/>
        <w:spacing w:line="417" w:lineRule="auto"/>
        <w:ind w:left="212" w:right="442" w:firstLine="420"/>
      </w:pPr>
      <w:r>
        <w:rPr>
          <w:spacing w:val="-10"/>
        </w:rPr>
        <w:t>发包人不同意设计文件的，应通过监理人以书面形式通知承包人，并说明不符合合同要求的具体内容。</w:t>
      </w:r>
      <w:r>
        <w:rPr>
          <w:spacing w:val="-5"/>
        </w:rPr>
        <w:t>承包人应根据监理人的书面说明，对承包人文件进行修改后重新报送发包人审查，审查期重新起算。</w:t>
      </w:r>
    </w:p>
    <w:p>
      <w:pPr>
        <w:pStyle w:val="10"/>
        <w:spacing w:line="417" w:lineRule="auto"/>
        <w:ind w:left="212" w:right="546" w:firstLine="420"/>
      </w:pPr>
      <w:r>
        <w:rPr>
          <w:spacing w:val="-5"/>
        </w:rPr>
        <w:t>合同约定的审查期满，发包人没有做出审查结论也没有提出异议的，视为承包人的设计文件已获发包</w:t>
      </w:r>
      <w:r>
        <w:rPr>
          <w:spacing w:val="-4"/>
        </w:rPr>
        <w:t>人同意。</w:t>
      </w:r>
    </w:p>
    <w:p>
      <w:pPr>
        <w:tabs>
          <w:tab w:val="left" w:pos="1162"/>
        </w:tabs>
        <w:spacing w:line="417" w:lineRule="auto"/>
        <w:ind w:right="552" w:firstLine="101" w:firstLineChars="49"/>
        <w:rPr>
          <w:sz w:val="21"/>
        </w:rPr>
      </w:pPr>
      <w:r>
        <w:rPr>
          <w:rFonts w:hint="eastAsia"/>
          <w:spacing w:val="-1"/>
          <w:sz w:val="21"/>
        </w:rPr>
        <w:t xml:space="preserve">5.3.2 </w:t>
      </w:r>
      <w:r>
        <w:rPr>
          <w:spacing w:val="-1"/>
          <w:sz w:val="21"/>
        </w:rPr>
        <w:t>承包人的设计文件不需要政府有关部门审查或批准的，承包人应当严格按照经发包人审查同意</w:t>
      </w:r>
      <w:r>
        <w:rPr>
          <w:spacing w:val="-3"/>
          <w:sz w:val="21"/>
        </w:rPr>
        <w:t>的设计文件设计和实施工程。</w:t>
      </w:r>
    </w:p>
    <w:p>
      <w:pPr>
        <w:tabs>
          <w:tab w:val="left" w:pos="1159"/>
        </w:tabs>
        <w:spacing w:line="417" w:lineRule="auto"/>
        <w:ind w:right="546" w:firstLine="99" w:firstLineChars="49"/>
        <w:rPr>
          <w:sz w:val="21"/>
        </w:rPr>
      </w:pPr>
      <w:r>
        <w:rPr>
          <w:rFonts w:hint="eastAsia"/>
          <w:spacing w:val="-3"/>
          <w:sz w:val="21"/>
        </w:rPr>
        <w:t xml:space="preserve">5.3.3 </w:t>
      </w:r>
      <w:r>
        <w:rPr>
          <w:spacing w:val="-3"/>
          <w:sz w:val="21"/>
        </w:rPr>
        <w:t xml:space="preserve">设计文件需政府有关部门审查或批准的，发包人应在审查同意承包人的设计文件后 </w:t>
      </w:r>
      <w:r>
        <w:rPr>
          <w:sz w:val="21"/>
        </w:rPr>
        <w:t>7 天内，向</w:t>
      </w:r>
      <w:r>
        <w:rPr>
          <w:spacing w:val="-3"/>
          <w:sz w:val="21"/>
        </w:rPr>
        <w:t>政府有关部门报送设计文件，承包人应予以协助。</w:t>
      </w:r>
    </w:p>
    <w:p>
      <w:pPr>
        <w:pStyle w:val="10"/>
        <w:spacing w:line="417" w:lineRule="auto"/>
        <w:ind w:left="212" w:right="440" w:firstLine="420"/>
      </w:pPr>
      <w:r>
        <w:rPr>
          <w:spacing w:val="-5"/>
        </w:rPr>
        <w:t>对于政府发包人要求承包人需按该审查意见修改承包人的设计文件；需要修改发包人要求的，发包人</w:t>
      </w:r>
      <w:r>
        <w:rPr>
          <w:spacing w:val="-7"/>
        </w:rPr>
        <w:t xml:space="preserve">应重新提出发包人要求，承包人应根据新提出的发包人要求修改承包人文件。上述情形还应适用第 </w:t>
      </w:r>
      <w:r>
        <w:t>15</w:t>
      </w:r>
      <w:r>
        <w:rPr>
          <w:spacing w:val="-12"/>
        </w:rPr>
        <w:t xml:space="preserve"> 条、</w:t>
      </w:r>
    </w:p>
    <w:p>
      <w:pPr>
        <w:pStyle w:val="10"/>
        <w:ind w:left="212"/>
      </w:pPr>
      <w:r>
        <w:t xml:space="preserve">第 </w:t>
      </w:r>
      <w:r>
        <w:rPr>
          <w:rFonts w:ascii="Times New Roman" w:eastAsia="Times New Roman"/>
        </w:rPr>
        <w:t xml:space="preserve">1.13 </w:t>
      </w:r>
      <w:r>
        <w:t>款的有关约定。</w:t>
      </w:r>
    </w:p>
    <w:p>
      <w:pPr>
        <w:pStyle w:val="10"/>
        <w:spacing w:before="198"/>
        <w:ind w:left="633"/>
      </w:pPr>
      <w:r>
        <w:t>政府有关部门审查批准的，承包人应当严格按照批准后的承包人的设计文件设计和实施工程。</w:t>
      </w:r>
      <w:bookmarkStart w:id="182" w:name="_bookmark127"/>
      <w:bookmarkEnd w:id="182"/>
    </w:p>
    <w:p>
      <w:pPr>
        <w:pStyle w:val="10"/>
        <w:spacing w:before="198"/>
        <w:ind w:left="633"/>
      </w:pPr>
    </w:p>
    <w:p>
      <w:pPr>
        <w:pStyle w:val="10"/>
        <w:spacing w:before="198"/>
        <w:ind w:left="633"/>
      </w:pPr>
      <w:r>
        <w:rPr>
          <w:rFonts w:hint="eastAsia"/>
          <w:spacing w:val="-1"/>
        </w:rPr>
        <w:t xml:space="preserve">5.4 </w:t>
      </w:r>
      <w:r>
        <w:t>培训</w:t>
      </w:r>
    </w:p>
    <w:p>
      <w:pPr>
        <w:pStyle w:val="10"/>
        <w:spacing w:before="198"/>
        <w:ind w:left="633"/>
        <w:rPr>
          <w:rFonts w:ascii="Times New Roman" w:eastAsia="Times New Roman"/>
        </w:rPr>
      </w:pPr>
    </w:p>
    <w:p>
      <w:pPr>
        <w:pStyle w:val="10"/>
        <w:spacing w:line="417" w:lineRule="auto"/>
        <w:ind w:left="212" w:right="546" w:firstLine="420"/>
        <w:jc w:val="both"/>
      </w:pPr>
      <w:r>
        <w:rPr>
          <w:spacing w:val="-5"/>
        </w:rPr>
        <w:t>承包人应按照发包人要求，对发包人的人员进行工程操作和维修方面的培训。合同约定接收之前进行</w:t>
      </w:r>
      <w:r>
        <w:rPr>
          <w:spacing w:val="-11"/>
        </w:rPr>
        <w:t xml:space="preserve">培训的，应在第 </w:t>
      </w:r>
      <w:r>
        <w:rPr>
          <w:rFonts w:ascii="Times New Roman" w:eastAsia="Times New Roman"/>
        </w:rPr>
        <w:t xml:space="preserve">18.3 </w:t>
      </w:r>
      <w:r>
        <w:rPr>
          <w:spacing w:val="-3"/>
        </w:rPr>
        <w:t>款约定的竣工验收前完成培训。</w:t>
      </w:r>
    </w:p>
    <w:p>
      <w:pPr>
        <w:pStyle w:val="10"/>
        <w:rPr>
          <w:sz w:val="23"/>
        </w:rPr>
      </w:pPr>
    </w:p>
    <w:p>
      <w:pPr>
        <w:ind w:firstLine="220" w:firstLineChars="100"/>
        <w:rPr>
          <w:rFonts w:ascii="Times New Roman" w:eastAsia="Times New Roman"/>
        </w:rPr>
      </w:pPr>
      <w:bookmarkStart w:id="183" w:name="_bookmark128"/>
      <w:bookmarkEnd w:id="183"/>
      <w:r>
        <w:rPr>
          <w:rFonts w:hint="eastAsia"/>
        </w:rPr>
        <w:t xml:space="preserve">5.5 </w:t>
      </w:r>
      <w:r>
        <w:t>竣工文件</w:t>
      </w:r>
    </w:p>
    <w:p>
      <w:pPr>
        <w:pStyle w:val="10"/>
        <w:spacing w:before="4"/>
        <w:rPr>
          <w:rFonts w:ascii="黑体"/>
          <w:sz w:val="38"/>
        </w:rPr>
      </w:pPr>
    </w:p>
    <w:p>
      <w:pPr>
        <w:tabs>
          <w:tab w:val="left" w:pos="1162"/>
        </w:tabs>
        <w:spacing w:line="417" w:lineRule="auto"/>
        <w:ind w:right="546" w:firstLine="105" w:firstLineChars="50"/>
        <w:jc w:val="both"/>
        <w:rPr>
          <w:sz w:val="21"/>
        </w:rPr>
      </w:pPr>
      <w:r>
        <w:rPr>
          <w:rFonts w:hint="eastAsia"/>
          <w:sz w:val="21"/>
        </w:rPr>
        <w:t xml:space="preserve">5.5.1 </w:t>
      </w:r>
      <w:r>
        <w:rPr>
          <w:sz w:val="21"/>
        </w:rPr>
        <w:t>承包人应编制并及时更新反映工程实施结果的竣工记录，如实记载竣工工程的确切位置、尺寸</w:t>
      </w:r>
      <w:r>
        <w:rPr>
          <w:spacing w:val="-6"/>
          <w:sz w:val="21"/>
        </w:rPr>
        <w:t>和已实施工作的详细说明。竣工记录应保存在施工场地，并在竣工试验开始前，按照专用合同条款约定的</w:t>
      </w:r>
      <w:r>
        <w:rPr>
          <w:spacing w:val="-4"/>
          <w:sz w:val="21"/>
        </w:rPr>
        <w:t>份数提交给监理人。</w:t>
      </w:r>
    </w:p>
    <w:p>
      <w:pPr>
        <w:tabs>
          <w:tab w:val="left" w:pos="1159"/>
        </w:tabs>
        <w:spacing w:before="1" w:line="417" w:lineRule="auto"/>
        <w:ind w:right="443" w:firstLine="98" w:firstLineChars="49"/>
        <w:jc w:val="both"/>
        <w:rPr>
          <w:sz w:val="21"/>
        </w:rPr>
      </w:pPr>
      <w:r>
        <w:rPr>
          <w:rFonts w:hint="eastAsia"/>
          <w:spacing w:val="-5"/>
          <w:sz w:val="21"/>
        </w:rPr>
        <w:t xml:space="preserve">5.5.2 </w:t>
      </w:r>
      <w:r>
        <w:rPr>
          <w:spacing w:val="-5"/>
          <w:sz w:val="21"/>
        </w:rPr>
        <w:t xml:space="preserve">在颁发工程接收证书之前，承包人应按照发包人要求的份数和形式向监理人提交相应竣工图纸， </w:t>
      </w:r>
      <w:r>
        <w:rPr>
          <w:spacing w:val="-6"/>
          <w:sz w:val="21"/>
        </w:rPr>
        <w:t xml:space="preserve">并取得监理人对尺寸、参照系统及其他有关细节的认可。监理人应按照第 </w:t>
      </w:r>
      <w:r>
        <w:rPr>
          <w:sz w:val="21"/>
        </w:rPr>
        <w:t>5.3</w:t>
      </w:r>
      <w:r>
        <w:rPr>
          <w:spacing w:val="-8"/>
          <w:sz w:val="21"/>
        </w:rPr>
        <w:t xml:space="preserve"> 款的约定进行审查。</w:t>
      </w:r>
    </w:p>
    <w:p>
      <w:pPr>
        <w:tabs>
          <w:tab w:val="left" w:pos="1159"/>
        </w:tabs>
        <w:spacing w:line="269" w:lineRule="exact"/>
        <w:ind w:firstLine="99" w:firstLineChars="50"/>
        <w:jc w:val="both"/>
        <w:rPr>
          <w:sz w:val="21"/>
        </w:rPr>
      </w:pPr>
      <w:r>
        <w:rPr>
          <w:rFonts w:hint="eastAsia"/>
          <w:spacing w:val="-6"/>
          <w:sz w:val="21"/>
        </w:rPr>
        <w:t xml:space="preserve">5.5.3 </w:t>
      </w:r>
      <w:r>
        <w:rPr>
          <w:spacing w:val="-6"/>
          <w:sz w:val="21"/>
        </w:rPr>
        <w:t xml:space="preserve">在监理人收到上述文件前，不应认为工程已根据第 </w:t>
      </w:r>
      <w:r>
        <w:rPr>
          <w:sz w:val="21"/>
        </w:rPr>
        <w:t>18.3</w:t>
      </w:r>
      <w:r>
        <w:rPr>
          <w:spacing w:val="-23"/>
          <w:sz w:val="21"/>
        </w:rPr>
        <w:t xml:space="preserve"> 款和第 </w:t>
      </w:r>
      <w:r>
        <w:rPr>
          <w:sz w:val="21"/>
        </w:rPr>
        <w:t>18.5</w:t>
      </w:r>
      <w:r>
        <w:rPr>
          <w:spacing w:val="-8"/>
          <w:sz w:val="21"/>
        </w:rPr>
        <w:t xml:space="preserve"> 款约定完成验收。</w:t>
      </w:r>
    </w:p>
    <w:p>
      <w:pPr>
        <w:pStyle w:val="10"/>
        <w:rPr>
          <w:sz w:val="22"/>
        </w:rPr>
      </w:pPr>
    </w:p>
    <w:p>
      <w:pPr>
        <w:pStyle w:val="10"/>
        <w:spacing w:before="6"/>
        <w:rPr>
          <w:sz w:val="16"/>
        </w:rPr>
      </w:pPr>
    </w:p>
    <w:p>
      <w:pPr>
        <w:pStyle w:val="35"/>
        <w:numPr>
          <w:ilvl w:val="1"/>
          <w:numId w:val="30"/>
        </w:numPr>
        <w:rPr>
          <w:rFonts w:ascii="Times New Roman" w:eastAsia="Times New Roman"/>
        </w:rPr>
      </w:pPr>
      <w:bookmarkStart w:id="184" w:name="_bookmark129"/>
      <w:bookmarkEnd w:id="184"/>
      <w:r>
        <w:rPr>
          <w:spacing w:val="-1"/>
        </w:rPr>
        <w:t>操作和维修手册</w:t>
      </w:r>
    </w:p>
    <w:p>
      <w:pPr>
        <w:pStyle w:val="10"/>
        <w:spacing w:before="2"/>
        <w:rPr>
          <w:rFonts w:ascii="黑体"/>
          <w:sz w:val="38"/>
        </w:rPr>
      </w:pPr>
    </w:p>
    <w:p>
      <w:pPr>
        <w:tabs>
          <w:tab w:val="left" w:pos="1162"/>
        </w:tabs>
        <w:spacing w:line="417" w:lineRule="auto"/>
        <w:ind w:right="552" w:firstLine="101" w:firstLineChars="49"/>
        <w:jc w:val="both"/>
        <w:rPr>
          <w:sz w:val="21"/>
        </w:rPr>
      </w:pPr>
      <w:r>
        <w:rPr>
          <w:rFonts w:hint="eastAsia"/>
          <w:spacing w:val="-1"/>
          <w:sz w:val="21"/>
        </w:rPr>
        <w:t xml:space="preserve">5.6.1 </w:t>
      </w:r>
      <w:r>
        <w:rPr>
          <w:spacing w:val="-1"/>
          <w:sz w:val="21"/>
        </w:rPr>
        <w:t>在竣工试验开始前，承包人应向监理人提交暂行的操作和维修手册，该手册应足够详细，以便</w:t>
      </w:r>
      <w:r>
        <w:rPr>
          <w:spacing w:val="-3"/>
          <w:sz w:val="21"/>
        </w:rPr>
        <w:t>发包人能够对生产设备进行操作、维修、拆卸、重新安装、调整及修理。</w:t>
      </w:r>
    </w:p>
    <w:p>
      <w:pPr>
        <w:tabs>
          <w:tab w:val="left" w:pos="1162"/>
        </w:tabs>
        <w:spacing w:line="417" w:lineRule="auto"/>
        <w:ind w:right="552" w:firstLine="101" w:firstLineChars="49"/>
        <w:jc w:val="both"/>
        <w:rPr>
          <w:sz w:val="21"/>
        </w:rPr>
      </w:pPr>
      <w:r>
        <w:rPr>
          <w:rFonts w:hint="eastAsia"/>
          <w:spacing w:val="-1"/>
          <w:sz w:val="21"/>
        </w:rPr>
        <w:t xml:space="preserve">5.6.2 </w:t>
      </w:r>
      <w:r>
        <w:rPr>
          <w:spacing w:val="-1"/>
          <w:sz w:val="21"/>
        </w:rPr>
        <w:t>承包人应提交足够详细的最终操作和维修手册，以及在发包人要求中明确的相关操作和维修手</w:t>
      </w:r>
      <w:r>
        <w:rPr>
          <w:spacing w:val="-5"/>
          <w:sz w:val="21"/>
        </w:rPr>
        <w:t xml:space="preserve">册。在监理人收到上述文件前，不应认为工程已根据第 </w:t>
      </w:r>
      <w:r>
        <w:rPr>
          <w:rFonts w:ascii="Times New Roman" w:eastAsia="Times New Roman"/>
          <w:sz w:val="21"/>
        </w:rPr>
        <w:t>18.3</w:t>
      </w:r>
      <w:r>
        <w:rPr>
          <w:rFonts w:ascii="Times New Roman" w:eastAsia="Times New Roman"/>
          <w:spacing w:val="-2"/>
          <w:sz w:val="21"/>
        </w:rPr>
        <w:t xml:space="preserve"> </w:t>
      </w:r>
      <w:r>
        <w:rPr>
          <w:spacing w:val="-15"/>
          <w:sz w:val="21"/>
        </w:rPr>
        <w:t xml:space="preserve">款和第 </w:t>
      </w:r>
      <w:r>
        <w:rPr>
          <w:rFonts w:ascii="Times New Roman" w:eastAsia="Times New Roman"/>
          <w:sz w:val="21"/>
        </w:rPr>
        <w:t>18.5</w:t>
      </w:r>
      <w:r>
        <w:rPr>
          <w:rFonts w:ascii="Times New Roman" w:eastAsia="Times New Roman"/>
          <w:spacing w:val="2"/>
          <w:sz w:val="21"/>
        </w:rPr>
        <w:t xml:space="preserve"> </w:t>
      </w:r>
      <w:r>
        <w:rPr>
          <w:spacing w:val="-3"/>
          <w:sz w:val="21"/>
        </w:rPr>
        <w:t>款约定完成验收。</w:t>
      </w:r>
    </w:p>
    <w:p>
      <w:pPr>
        <w:pStyle w:val="10"/>
        <w:rPr>
          <w:sz w:val="23"/>
        </w:rPr>
      </w:pPr>
    </w:p>
    <w:p>
      <w:pPr>
        <w:ind w:firstLine="101" w:firstLineChars="49"/>
        <w:rPr>
          <w:rFonts w:ascii="Times New Roman" w:eastAsia="Times New Roman"/>
        </w:rPr>
      </w:pPr>
      <w:bookmarkStart w:id="185" w:name="_bookmark130"/>
      <w:bookmarkEnd w:id="185"/>
      <w:r>
        <w:rPr>
          <w:rFonts w:hint="eastAsia"/>
          <w:spacing w:val="-1"/>
          <w:sz w:val="21"/>
        </w:rPr>
        <w:t xml:space="preserve">5.7 </w:t>
      </w:r>
      <w:r>
        <w:rPr>
          <w:spacing w:val="-1"/>
        </w:rPr>
        <w:t>承包人文件错误</w:t>
      </w:r>
    </w:p>
    <w:p>
      <w:pPr>
        <w:pStyle w:val="10"/>
        <w:spacing w:before="4"/>
        <w:rPr>
          <w:rFonts w:ascii="黑体"/>
          <w:sz w:val="38"/>
        </w:rPr>
      </w:pPr>
    </w:p>
    <w:p>
      <w:pPr>
        <w:pStyle w:val="10"/>
        <w:spacing w:before="1" w:line="417" w:lineRule="auto"/>
        <w:ind w:left="212" w:right="546" w:firstLine="420"/>
        <w:jc w:val="both"/>
      </w:pPr>
      <w:r>
        <w:rPr>
          <w:spacing w:val="-7"/>
        </w:rPr>
        <w:t>承包人文件存在错误、遗漏、含混、矛盾、不充分之处或其他缺陷，无论承包人是否根据本款获得了</w:t>
      </w:r>
      <w:r>
        <w:rPr>
          <w:spacing w:val="-12"/>
        </w:rPr>
        <w:t xml:space="preserve">批准，承包人均应自费对前述问题带来的缺陷和工程问题进行改正。第 </w:t>
      </w:r>
      <w:r>
        <w:rPr>
          <w:rFonts w:ascii="Times New Roman" w:eastAsia="Times New Roman"/>
        </w:rPr>
        <w:t xml:space="preserve">1.13 </w:t>
      </w:r>
      <w:r>
        <w:rPr>
          <w:spacing w:val="-3"/>
        </w:rPr>
        <w:t>款发包人要求的错误导致承包人文件错误、遗漏、含混、矛盾、不充分或其他缺陷的除外。</w:t>
      </w:r>
    </w:p>
    <w:p>
      <w:pPr>
        <w:pStyle w:val="4"/>
        <w:ind w:left="0" w:firstLine="0"/>
      </w:pPr>
      <w:bookmarkStart w:id="186" w:name="_bookmark131"/>
      <w:bookmarkEnd w:id="186"/>
      <w:r>
        <w:rPr>
          <w:rFonts w:hint="eastAsia"/>
        </w:rPr>
        <w:t>　</w:t>
      </w:r>
      <w:bookmarkStart w:id="187" w:name="_Toc37926058"/>
      <w:r>
        <w:rPr>
          <w:rFonts w:hint="eastAsia"/>
        </w:rPr>
        <w:t>6.</w:t>
      </w:r>
      <w:r>
        <w:t>材料和工程设备</w:t>
      </w:r>
      <w:bookmarkEnd w:id="187"/>
    </w:p>
    <w:p>
      <w:pPr>
        <w:pStyle w:val="10"/>
        <w:spacing w:before="4"/>
        <w:rPr>
          <w:rFonts w:ascii="黑体"/>
          <w:b/>
          <w:sz w:val="39"/>
        </w:rPr>
      </w:pPr>
    </w:p>
    <w:p>
      <w:pPr>
        <w:ind w:firstLine="104" w:firstLineChars="49"/>
        <w:rPr>
          <w:rFonts w:ascii="Times New Roman" w:eastAsia="Times New Roman"/>
        </w:rPr>
      </w:pPr>
      <w:bookmarkStart w:id="188" w:name="_bookmark132"/>
      <w:bookmarkEnd w:id="188"/>
      <w:r>
        <w:rPr>
          <w:rFonts w:hint="eastAsia"/>
          <w:spacing w:val="-3"/>
        </w:rPr>
        <w:t xml:space="preserve">6.1 </w:t>
      </w:r>
      <w:r>
        <w:rPr>
          <w:spacing w:val="-3"/>
        </w:rPr>
        <w:t>承包人提供的材料和工程设备</w:t>
      </w:r>
    </w:p>
    <w:p>
      <w:pPr>
        <w:pStyle w:val="10"/>
        <w:spacing w:before="2"/>
        <w:rPr>
          <w:rFonts w:ascii="黑体"/>
          <w:sz w:val="38"/>
        </w:rPr>
      </w:pPr>
    </w:p>
    <w:p>
      <w:pPr>
        <w:tabs>
          <w:tab w:val="left" w:pos="1159"/>
        </w:tabs>
        <w:ind w:firstLine="98" w:firstLineChars="49"/>
        <w:jc w:val="both"/>
        <w:rPr>
          <w:spacing w:val="-5"/>
          <w:sz w:val="21"/>
        </w:rPr>
      </w:pPr>
      <w:r>
        <w:rPr>
          <w:rFonts w:hint="eastAsia"/>
          <w:spacing w:val="-5"/>
          <w:sz w:val="21"/>
        </w:rPr>
        <w:t xml:space="preserve">6.1.1 </w:t>
      </w:r>
      <w:r>
        <w:rPr>
          <w:spacing w:val="-5"/>
          <w:sz w:val="21"/>
        </w:rPr>
        <w:t>除专用合同条款另有约定外，承包人提供的材料和工程设备均由承包人负责采购、运输和保管。</w:t>
      </w:r>
    </w:p>
    <w:p>
      <w:pPr>
        <w:tabs>
          <w:tab w:val="left" w:pos="1159"/>
        </w:tabs>
        <w:ind w:firstLine="98" w:firstLineChars="49"/>
        <w:jc w:val="both"/>
        <w:rPr>
          <w:spacing w:val="-5"/>
          <w:sz w:val="21"/>
        </w:rPr>
      </w:pPr>
    </w:p>
    <w:p>
      <w:pPr>
        <w:tabs>
          <w:tab w:val="left" w:pos="1159"/>
        </w:tabs>
        <w:ind w:firstLine="657" w:firstLineChars="299"/>
        <w:jc w:val="both"/>
      </w:pPr>
      <w:r>
        <w:t>承包人应对其采购的材料和工程设备负责。</w:t>
      </w:r>
    </w:p>
    <w:p>
      <w:pPr>
        <w:pStyle w:val="10"/>
        <w:spacing w:before="7"/>
        <w:rPr>
          <w:sz w:val="15"/>
        </w:rPr>
      </w:pPr>
    </w:p>
    <w:p>
      <w:pPr>
        <w:tabs>
          <w:tab w:val="left" w:pos="1162"/>
        </w:tabs>
        <w:spacing w:line="417" w:lineRule="auto"/>
        <w:ind w:right="552" w:firstLine="101" w:firstLineChars="49"/>
        <w:jc w:val="both"/>
        <w:rPr>
          <w:sz w:val="21"/>
        </w:rPr>
      </w:pPr>
      <w:r>
        <w:rPr>
          <w:rFonts w:hint="eastAsia"/>
          <w:spacing w:val="-1"/>
          <w:sz w:val="21"/>
        </w:rPr>
        <w:t xml:space="preserve">6.1.2 </w:t>
      </w:r>
      <w:r>
        <w:rPr>
          <w:spacing w:val="-1"/>
          <w:sz w:val="21"/>
        </w:rPr>
        <w:t>承包人应按专用合同条款的约定，将各项材料和工程设备的供货人及品种、技术要求、规格、</w:t>
      </w:r>
      <w:r>
        <w:rPr>
          <w:sz w:val="21"/>
        </w:rPr>
        <w:t>数量和供货时间等报送监理人批准。承包人应向监理人提交其负责提供的材料和工程设备的质量证明文</w:t>
      </w:r>
      <w:r>
        <w:rPr>
          <w:spacing w:val="-3"/>
          <w:sz w:val="21"/>
        </w:rPr>
        <w:t>件，并满足合同约定的质量标准。</w:t>
      </w:r>
    </w:p>
    <w:p>
      <w:pPr>
        <w:tabs>
          <w:tab w:val="left" w:pos="1162"/>
        </w:tabs>
        <w:spacing w:line="417" w:lineRule="auto"/>
        <w:ind w:right="546" w:firstLine="105" w:firstLineChars="50"/>
        <w:jc w:val="both"/>
        <w:rPr>
          <w:sz w:val="21"/>
        </w:rPr>
      </w:pPr>
      <w:r>
        <w:rPr>
          <w:rFonts w:hint="eastAsia"/>
          <w:sz w:val="21"/>
        </w:rPr>
        <w:t xml:space="preserve">6.13 </w:t>
      </w:r>
      <w:r>
        <w:rPr>
          <w:sz w:val="21"/>
        </w:rPr>
        <w:t>对承包人提供的材料和工程设备，承包人应会同监理人进行检验和交货验收，查验材料合格证</w:t>
      </w:r>
      <w:r>
        <w:rPr>
          <w:spacing w:val="-6"/>
          <w:sz w:val="21"/>
        </w:rPr>
        <w:t>明和产品合格证书，并按合同约定和监理人指示，进行材料的抽样检验和工程设备的检验测试，检验和测</w:t>
      </w:r>
      <w:r>
        <w:rPr>
          <w:spacing w:val="-4"/>
          <w:sz w:val="21"/>
        </w:rPr>
        <w:t>试结果应提交监理人，所需费用由承包人承担。</w:t>
      </w:r>
    </w:p>
    <w:p>
      <w:pPr>
        <w:pStyle w:val="10"/>
        <w:spacing w:before="12"/>
        <w:rPr>
          <w:sz w:val="22"/>
        </w:rPr>
      </w:pPr>
    </w:p>
    <w:p>
      <w:pPr>
        <w:ind w:firstLine="104" w:firstLineChars="49"/>
        <w:rPr>
          <w:spacing w:val="-3"/>
        </w:rPr>
      </w:pPr>
      <w:bookmarkStart w:id="189" w:name="_bookmark133"/>
      <w:bookmarkEnd w:id="189"/>
      <w:r>
        <w:rPr>
          <w:rFonts w:hint="eastAsia"/>
          <w:spacing w:val="-3"/>
        </w:rPr>
        <w:t xml:space="preserve">6.2 </w:t>
      </w:r>
      <w:r>
        <w:rPr>
          <w:spacing w:val="-3"/>
        </w:rPr>
        <w:t>发包人提供的材料和工程设备</w:t>
      </w:r>
    </w:p>
    <w:p>
      <w:pPr>
        <w:pStyle w:val="10"/>
        <w:spacing w:before="3"/>
        <w:rPr>
          <w:rFonts w:ascii="黑体"/>
          <w:sz w:val="38"/>
        </w:rPr>
      </w:pPr>
    </w:p>
    <w:p>
      <w:pPr>
        <w:pStyle w:val="10"/>
        <w:ind w:left="633"/>
      </w:pPr>
      <w:r>
        <w:t>发包人不提供材料 和工程设备。</w:t>
      </w:r>
    </w:p>
    <w:p>
      <w:pPr>
        <w:pStyle w:val="10"/>
        <w:rPr>
          <w:sz w:val="20"/>
        </w:rPr>
      </w:pPr>
    </w:p>
    <w:p>
      <w:pPr>
        <w:pStyle w:val="10"/>
        <w:spacing w:before="7"/>
        <w:rPr>
          <w:sz w:val="18"/>
        </w:rPr>
      </w:pPr>
    </w:p>
    <w:p>
      <w:pPr>
        <w:ind w:firstLine="104" w:firstLineChars="49"/>
        <w:rPr>
          <w:rFonts w:ascii="Times New Roman" w:eastAsia="Times New Roman"/>
        </w:rPr>
      </w:pPr>
      <w:bookmarkStart w:id="190" w:name="_bookmark134"/>
      <w:bookmarkEnd w:id="190"/>
      <w:r>
        <w:rPr>
          <w:rFonts w:hint="eastAsia"/>
          <w:spacing w:val="-3"/>
        </w:rPr>
        <w:t xml:space="preserve">6.3 </w:t>
      </w:r>
      <w:r>
        <w:rPr>
          <w:spacing w:val="-3"/>
        </w:rPr>
        <w:t>专用于工程的材料和工程设备</w:t>
      </w:r>
    </w:p>
    <w:p>
      <w:pPr>
        <w:pStyle w:val="10"/>
        <w:spacing w:before="4"/>
        <w:rPr>
          <w:rFonts w:ascii="黑体"/>
          <w:sz w:val="38"/>
        </w:rPr>
      </w:pPr>
    </w:p>
    <w:p>
      <w:pPr>
        <w:tabs>
          <w:tab w:val="left" w:pos="1162"/>
        </w:tabs>
        <w:spacing w:line="417" w:lineRule="auto"/>
        <w:ind w:right="552" w:firstLine="101" w:firstLineChars="49"/>
        <w:jc w:val="both"/>
        <w:rPr>
          <w:sz w:val="21"/>
        </w:rPr>
      </w:pPr>
      <w:r>
        <w:rPr>
          <w:rFonts w:hint="eastAsia"/>
          <w:spacing w:val="-1"/>
          <w:sz w:val="21"/>
        </w:rPr>
        <w:t xml:space="preserve">6.3.1 </w:t>
      </w:r>
      <w:r>
        <w:rPr>
          <w:spacing w:val="-1"/>
          <w:sz w:val="21"/>
        </w:rPr>
        <w:t>运入施工场地的材料、工程设备，包括备品备件、安装专用工器具与随机资料，必须专用于合</w:t>
      </w:r>
      <w:r>
        <w:rPr>
          <w:spacing w:val="-3"/>
          <w:sz w:val="21"/>
        </w:rPr>
        <w:t>同约定范围内的工程，未经监理人同意，承包人不得运出施工场地或挪作他用。</w:t>
      </w:r>
    </w:p>
    <w:p>
      <w:pPr>
        <w:tabs>
          <w:tab w:val="left" w:pos="1162"/>
        </w:tabs>
        <w:spacing w:line="417" w:lineRule="auto"/>
        <w:ind w:right="546" w:firstLine="105" w:firstLineChars="50"/>
        <w:jc w:val="both"/>
        <w:rPr>
          <w:sz w:val="21"/>
        </w:rPr>
      </w:pPr>
      <w:r>
        <w:rPr>
          <w:rFonts w:hint="eastAsia"/>
          <w:sz w:val="21"/>
        </w:rPr>
        <w:t xml:space="preserve">6.3.2 </w:t>
      </w:r>
      <w:r>
        <w:rPr>
          <w:sz w:val="21"/>
        </w:rPr>
        <w:t>随同工程设备运入施工场地的备品备件、专用工器具与随机资料，应由承包人会同监理人按供</w:t>
      </w:r>
      <w:r>
        <w:rPr>
          <w:spacing w:val="-6"/>
          <w:sz w:val="21"/>
        </w:rPr>
        <w:t>货人的装箱单清点后共同封存，未经监理人同意不得启用。承包人因合同工作需要使用上述物品时，应向</w:t>
      </w:r>
      <w:r>
        <w:rPr>
          <w:spacing w:val="-4"/>
          <w:sz w:val="21"/>
        </w:rPr>
        <w:t>监理人提出申请。</w:t>
      </w:r>
    </w:p>
    <w:p>
      <w:pPr>
        <w:pStyle w:val="10"/>
        <w:rPr>
          <w:sz w:val="23"/>
        </w:rPr>
      </w:pPr>
    </w:p>
    <w:p>
      <w:pPr>
        <w:ind w:firstLine="110" w:firstLineChars="50"/>
        <w:rPr>
          <w:rFonts w:ascii="Times New Roman" w:eastAsia="Times New Roman"/>
        </w:rPr>
      </w:pPr>
      <w:bookmarkStart w:id="191" w:name="_bookmark135"/>
      <w:bookmarkEnd w:id="191"/>
      <w:r>
        <w:rPr>
          <w:rFonts w:hint="eastAsia"/>
        </w:rPr>
        <w:t xml:space="preserve">6.4 </w:t>
      </w:r>
      <w:r>
        <w:t>实施方法</w:t>
      </w:r>
    </w:p>
    <w:p>
      <w:pPr>
        <w:pStyle w:val="10"/>
        <w:spacing w:before="4"/>
        <w:rPr>
          <w:rFonts w:ascii="黑体"/>
          <w:sz w:val="38"/>
        </w:rPr>
      </w:pPr>
    </w:p>
    <w:p>
      <w:pPr>
        <w:pStyle w:val="10"/>
        <w:spacing w:line="417" w:lineRule="auto"/>
        <w:ind w:left="212" w:right="548" w:firstLine="420"/>
      </w:pPr>
      <w:r>
        <w:rPr>
          <w:spacing w:val="-6"/>
        </w:rPr>
        <w:t>承包人对材料的加工、工程设备的采购、制造、安装应当按照法律规定、合同约定以及行业习惯来实施。</w:t>
      </w:r>
    </w:p>
    <w:p>
      <w:pPr>
        <w:pStyle w:val="10"/>
        <w:rPr>
          <w:sz w:val="23"/>
        </w:rPr>
      </w:pPr>
    </w:p>
    <w:p>
      <w:pPr>
        <w:pStyle w:val="35"/>
        <w:numPr>
          <w:ilvl w:val="1"/>
          <w:numId w:val="31"/>
        </w:numPr>
        <w:rPr>
          <w:rFonts w:ascii="Times New Roman" w:eastAsia="Times New Roman"/>
        </w:rPr>
      </w:pPr>
      <w:bookmarkStart w:id="192" w:name="_bookmark136"/>
      <w:bookmarkEnd w:id="192"/>
      <w:r>
        <w:rPr>
          <w:spacing w:val="-3"/>
        </w:rPr>
        <w:t>禁止使用不合格的材料和工程设备</w:t>
      </w:r>
    </w:p>
    <w:p>
      <w:pPr>
        <w:pStyle w:val="10"/>
        <w:spacing w:before="2"/>
        <w:rPr>
          <w:rFonts w:ascii="黑体"/>
          <w:sz w:val="38"/>
        </w:rPr>
      </w:pPr>
    </w:p>
    <w:p>
      <w:pPr>
        <w:tabs>
          <w:tab w:val="left" w:pos="1162"/>
        </w:tabs>
        <w:spacing w:before="1" w:line="417" w:lineRule="auto"/>
        <w:ind w:right="552" w:firstLine="101" w:firstLineChars="49"/>
        <w:rPr>
          <w:sz w:val="21"/>
        </w:rPr>
      </w:pPr>
      <w:r>
        <w:rPr>
          <w:rFonts w:hint="eastAsia"/>
          <w:spacing w:val="-1"/>
          <w:sz w:val="21"/>
        </w:rPr>
        <w:t xml:space="preserve">6.5.1 </w:t>
      </w:r>
      <w:r>
        <w:rPr>
          <w:spacing w:val="-1"/>
          <w:sz w:val="21"/>
        </w:rPr>
        <w:t>监理人有权拒绝承包人提供的不合格材料或工程设备，并要求承包人立即进行更换。监理人应</w:t>
      </w:r>
      <w:r>
        <w:rPr>
          <w:spacing w:val="-3"/>
          <w:sz w:val="21"/>
        </w:rPr>
        <w:t>在更换后再次进行检查和检验，由此增加的费用和</w:t>
      </w:r>
      <w:r>
        <w:rPr>
          <w:sz w:val="21"/>
        </w:rPr>
        <w:t>（或</w:t>
      </w:r>
      <w:r>
        <w:rPr>
          <w:spacing w:val="-3"/>
          <w:sz w:val="21"/>
        </w:rPr>
        <w:t>）工期延误由承包人承担。</w:t>
      </w:r>
    </w:p>
    <w:p>
      <w:pPr>
        <w:tabs>
          <w:tab w:val="left" w:pos="1162"/>
        </w:tabs>
        <w:spacing w:line="417" w:lineRule="auto"/>
        <w:ind w:right="552" w:firstLine="101" w:firstLineChars="49"/>
        <w:rPr>
          <w:sz w:val="21"/>
        </w:rPr>
      </w:pPr>
      <w:r>
        <w:rPr>
          <w:rFonts w:hint="eastAsia"/>
          <w:spacing w:val="-1"/>
          <w:sz w:val="21"/>
        </w:rPr>
        <w:t xml:space="preserve">6.5.2 </w:t>
      </w:r>
      <w:r>
        <w:rPr>
          <w:spacing w:val="-1"/>
          <w:sz w:val="21"/>
        </w:rPr>
        <w:t>监理人发现承包人使用了不合格的材料和工程设备，应即时发出指示要求承包人立即改正，并</w:t>
      </w:r>
      <w:r>
        <w:rPr>
          <w:spacing w:val="-3"/>
          <w:sz w:val="21"/>
        </w:rPr>
        <w:t>禁止在工程中继续使用不合格的材料和工程设备。</w:t>
      </w:r>
    </w:p>
    <w:p>
      <w:pPr>
        <w:tabs>
          <w:tab w:val="left" w:pos="1162"/>
        </w:tabs>
        <w:spacing w:line="269" w:lineRule="exact"/>
        <w:ind w:firstLine="105" w:firstLineChars="50"/>
      </w:pPr>
      <w:r>
        <w:rPr>
          <w:rFonts w:hint="eastAsia"/>
          <w:sz w:val="21"/>
        </w:rPr>
        <w:t xml:space="preserve">6.5.3 </w:t>
      </w:r>
      <w:r>
        <w:rPr>
          <w:rFonts w:hint="eastAsia"/>
          <w:sz w:val="21"/>
          <w:highlight w:val="yellow"/>
        </w:rPr>
        <w:t>承包人</w:t>
      </w:r>
      <w:r>
        <w:rPr>
          <w:sz w:val="21"/>
          <w:highlight w:val="yellow"/>
        </w:rPr>
        <w:t>提供的材料或工程设备不符合合同要求的，</w:t>
      </w:r>
      <w:r>
        <w:rPr>
          <w:rFonts w:hint="eastAsia"/>
          <w:sz w:val="21"/>
          <w:highlight w:val="yellow"/>
        </w:rPr>
        <w:t>发包人</w:t>
      </w:r>
      <w:r>
        <w:rPr>
          <w:sz w:val="21"/>
          <w:highlight w:val="yellow"/>
        </w:rPr>
        <w:t>有权拒绝，并可要求</w:t>
      </w:r>
      <w:r>
        <w:rPr>
          <w:rFonts w:hint="eastAsia"/>
          <w:sz w:val="21"/>
          <w:highlight w:val="yellow"/>
        </w:rPr>
        <w:t>承包人</w:t>
      </w:r>
      <w:r>
        <w:rPr>
          <w:sz w:val="21"/>
          <w:highlight w:val="yellow"/>
        </w:rPr>
        <w:t>更换，由</w:t>
      </w:r>
      <w:r>
        <w:rPr>
          <w:highlight w:val="yellow"/>
        </w:rPr>
        <w:t>此增加的费用和工期延误由</w:t>
      </w:r>
      <w:r>
        <w:rPr>
          <w:rFonts w:hint="eastAsia"/>
          <w:highlight w:val="yellow"/>
        </w:rPr>
        <w:t>承包人</w:t>
      </w:r>
      <w:r>
        <w:rPr>
          <w:highlight w:val="yellow"/>
        </w:rPr>
        <w:t>承担</w:t>
      </w:r>
      <w:r>
        <w:t>。</w:t>
      </w:r>
    </w:p>
    <w:p>
      <w:pPr>
        <w:pStyle w:val="10"/>
        <w:rPr>
          <w:sz w:val="20"/>
        </w:rPr>
      </w:pPr>
    </w:p>
    <w:p>
      <w:pPr>
        <w:pStyle w:val="10"/>
        <w:spacing w:before="5"/>
        <w:rPr>
          <w:sz w:val="16"/>
        </w:rPr>
      </w:pPr>
    </w:p>
    <w:p>
      <w:pPr>
        <w:pStyle w:val="4"/>
      </w:pPr>
      <w:bookmarkStart w:id="193" w:name="_bookmark137"/>
      <w:bookmarkEnd w:id="193"/>
      <w:bookmarkStart w:id="194" w:name="_Toc37926059"/>
      <w:r>
        <w:rPr>
          <w:rFonts w:hint="eastAsia"/>
        </w:rPr>
        <w:t>７　</w:t>
      </w:r>
      <w:r>
        <w:t>施工设备和临时设施</w:t>
      </w:r>
      <w:bookmarkEnd w:id="194"/>
    </w:p>
    <w:p>
      <w:pPr>
        <w:pStyle w:val="10"/>
        <w:spacing w:before="2"/>
        <w:rPr>
          <w:rFonts w:ascii="黑体"/>
          <w:b/>
          <w:sz w:val="39"/>
        </w:rPr>
      </w:pPr>
    </w:p>
    <w:p>
      <w:pPr>
        <w:pStyle w:val="35"/>
        <w:numPr>
          <w:ilvl w:val="1"/>
          <w:numId w:val="20"/>
        </w:numPr>
        <w:rPr>
          <w:rFonts w:ascii="Times New Roman" w:eastAsia="Times New Roman"/>
        </w:rPr>
      </w:pPr>
      <w:bookmarkStart w:id="195" w:name="_bookmark138"/>
      <w:bookmarkEnd w:id="195"/>
      <w:r>
        <w:rPr>
          <w:spacing w:val="-3"/>
        </w:rPr>
        <w:t>承包人提供的施工设备和临时设施</w:t>
      </w:r>
    </w:p>
    <w:p>
      <w:pPr>
        <w:pStyle w:val="10"/>
        <w:spacing w:before="4"/>
        <w:rPr>
          <w:rFonts w:ascii="黑体"/>
          <w:sz w:val="38"/>
        </w:rPr>
      </w:pPr>
    </w:p>
    <w:p>
      <w:pPr>
        <w:tabs>
          <w:tab w:val="left" w:pos="1162"/>
        </w:tabs>
        <w:spacing w:line="417" w:lineRule="auto"/>
        <w:ind w:right="552" w:firstLine="101" w:firstLineChars="49"/>
        <w:rPr>
          <w:sz w:val="21"/>
        </w:rPr>
      </w:pPr>
      <w:r>
        <w:rPr>
          <w:rFonts w:hint="eastAsia"/>
          <w:spacing w:val="-1"/>
          <w:sz w:val="21"/>
        </w:rPr>
        <w:t xml:space="preserve">7.1.1 </w:t>
      </w:r>
      <w:r>
        <w:rPr>
          <w:spacing w:val="-1"/>
          <w:sz w:val="21"/>
        </w:rPr>
        <w:t>承包人应按合同进度计划的要求，及时配置施工设备和修建临时设施。进入施工场地的承包人</w:t>
      </w:r>
      <w:r>
        <w:rPr>
          <w:spacing w:val="-3"/>
          <w:sz w:val="21"/>
        </w:rPr>
        <w:t>设备需经监理人核查后才能投入使用。承包人更换合同约定的承包人设备的，应报监理人批准。</w:t>
      </w:r>
    </w:p>
    <w:p>
      <w:pPr>
        <w:tabs>
          <w:tab w:val="left" w:pos="1162"/>
        </w:tabs>
        <w:spacing w:line="417" w:lineRule="auto"/>
        <w:ind w:right="552" w:firstLine="101" w:firstLineChars="49"/>
        <w:rPr>
          <w:sz w:val="21"/>
        </w:rPr>
      </w:pPr>
      <w:r>
        <w:rPr>
          <w:rFonts w:hint="eastAsia"/>
          <w:spacing w:val="-1"/>
          <w:sz w:val="21"/>
        </w:rPr>
        <w:t xml:space="preserve">7.1.2 </w:t>
      </w:r>
      <w:r>
        <w:rPr>
          <w:spacing w:val="-1"/>
          <w:sz w:val="21"/>
        </w:rPr>
        <w:t>除专用合同条款另有约定外，承包人应自行承担修建临时设施的费用。需要临时占地的，应由</w:t>
      </w:r>
      <w:r>
        <w:rPr>
          <w:spacing w:val="-3"/>
          <w:sz w:val="21"/>
        </w:rPr>
        <w:t>发包人办理申请手续并承担相应费用。</w:t>
      </w:r>
    </w:p>
    <w:p>
      <w:pPr>
        <w:pStyle w:val="10"/>
        <w:rPr>
          <w:sz w:val="23"/>
        </w:rPr>
      </w:pPr>
    </w:p>
    <w:p>
      <w:pPr>
        <w:ind w:firstLine="104" w:firstLineChars="49"/>
        <w:rPr>
          <w:rFonts w:ascii="Times New Roman" w:eastAsia="Times New Roman"/>
        </w:rPr>
      </w:pPr>
      <w:bookmarkStart w:id="196" w:name="_bookmark139"/>
      <w:bookmarkEnd w:id="196"/>
      <w:r>
        <w:rPr>
          <w:rFonts w:hint="eastAsia"/>
          <w:spacing w:val="-3"/>
        </w:rPr>
        <w:t xml:space="preserve">7.2 </w:t>
      </w:r>
      <w:r>
        <w:rPr>
          <w:spacing w:val="-3"/>
        </w:rPr>
        <w:t>发包人提供的施工设备和临时设施</w:t>
      </w:r>
    </w:p>
    <w:p>
      <w:pPr>
        <w:pStyle w:val="10"/>
        <w:spacing w:before="2"/>
        <w:rPr>
          <w:rFonts w:ascii="黑体"/>
          <w:sz w:val="38"/>
        </w:rPr>
      </w:pPr>
    </w:p>
    <w:p>
      <w:pPr>
        <w:pStyle w:val="10"/>
        <w:ind w:left="633"/>
      </w:pPr>
      <w:r>
        <w:t>发包人不提供施工设备或临时设施。</w:t>
      </w:r>
    </w:p>
    <w:p>
      <w:pPr>
        <w:pStyle w:val="10"/>
        <w:rPr>
          <w:sz w:val="20"/>
        </w:rPr>
      </w:pPr>
    </w:p>
    <w:p>
      <w:pPr>
        <w:pStyle w:val="10"/>
        <w:spacing w:before="7"/>
        <w:rPr>
          <w:sz w:val="18"/>
        </w:rPr>
      </w:pPr>
    </w:p>
    <w:p>
      <w:pPr>
        <w:ind w:firstLine="104" w:firstLineChars="49"/>
        <w:rPr>
          <w:rFonts w:ascii="Times New Roman" w:eastAsia="Times New Roman"/>
        </w:rPr>
      </w:pPr>
      <w:bookmarkStart w:id="197" w:name="_bookmark140"/>
      <w:bookmarkEnd w:id="197"/>
      <w:r>
        <w:rPr>
          <w:rFonts w:hint="eastAsia"/>
          <w:spacing w:val="-3"/>
        </w:rPr>
        <w:t xml:space="preserve">7.3 </w:t>
      </w:r>
      <w:r>
        <w:rPr>
          <w:spacing w:val="-3"/>
        </w:rPr>
        <w:t>要求承包人增加或更换施工设备</w:t>
      </w:r>
    </w:p>
    <w:p>
      <w:pPr>
        <w:pStyle w:val="10"/>
        <w:spacing w:before="4"/>
        <w:rPr>
          <w:rFonts w:ascii="黑体"/>
          <w:sz w:val="38"/>
        </w:rPr>
      </w:pPr>
    </w:p>
    <w:p>
      <w:pPr>
        <w:pStyle w:val="10"/>
        <w:spacing w:line="417" w:lineRule="auto"/>
        <w:ind w:left="212" w:right="533" w:firstLine="420"/>
      </w:pPr>
      <w:r>
        <w:t>承包人使用的施工设备不能满足合同进度计划和（或）质量标准时，监理人有权要求承包人增加或更换施工设备，承包人应及时增加或更换，由此增加的费用和（或）工期延误由承包人承担。</w:t>
      </w:r>
    </w:p>
    <w:p>
      <w:pPr>
        <w:pStyle w:val="10"/>
        <w:rPr>
          <w:sz w:val="23"/>
        </w:rPr>
      </w:pPr>
    </w:p>
    <w:p>
      <w:pPr>
        <w:ind w:firstLine="104" w:firstLineChars="49"/>
        <w:rPr>
          <w:rFonts w:ascii="Times New Roman" w:eastAsia="Times New Roman"/>
        </w:rPr>
      </w:pPr>
      <w:bookmarkStart w:id="198" w:name="_bookmark141"/>
      <w:bookmarkEnd w:id="198"/>
      <w:r>
        <w:rPr>
          <w:rFonts w:hint="eastAsia"/>
          <w:spacing w:val="-3"/>
        </w:rPr>
        <w:t xml:space="preserve">7.4 </w:t>
      </w:r>
      <w:r>
        <w:rPr>
          <w:spacing w:val="-3"/>
        </w:rPr>
        <w:t>施工设备和临时设施专用于合同工程</w:t>
      </w:r>
    </w:p>
    <w:p>
      <w:pPr>
        <w:pStyle w:val="10"/>
        <w:spacing w:before="5"/>
        <w:rPr>
          <w:rFonts w:ascii="黑体"/>
          <w:sz w:val="38"/>
        </w:rPr>
      </w:pPr>
    </w:p>
    <w:p>
      <w:pPr>
        <w:tabs>
          <w:tab w:val="left" w:pos="1162"/>
        </w:tabs>
        <w:spacing w:line="417" w:lineRule="auto"/>
        <w:ind w:right="552" w:firstLine="101" w:firstLineChars="49"/>
        <w:rPr>
          <w:sz w:val="21"/>
        </w:rPr>
      </w:pPr>
      <w:r>
        <w:rPr>
          <w:rFonts w:hint="eastAsia"/>
          <w:spacing w:val="-1"/>
          <w:sz w:val="21"/>
        </w:rPr>
        <w:t xml:space="preserve">7.4.1 </w:t>
      </w:r>
      <w:r>
        <w:rPr>
          <w:spacing w:val="-1"/>
          <w:sz w:val="21"/>
        </w:rPr>
        <w:t>除合同另有约定外，运入施工场地的所有施工设备以及在施工场地建设的临时设施应专用于合</w:t>
      </w:r>
      <w:r>
        <w:rPr>
          <w:spacing w:val="-3"/>
          <w:sz w:val="21"/>
        </w:rPr>
        <w:t>同工程。未经监理人同意，不得将上述施工设备和临时设施中的任何部分运出施工场地或挪作他用。</w:t>
      </w:r>
    </w:p>
    <w:p>
      <w:pPr>
        <w:tabs>
          <w:tab w:val="left" w:pos="1159"/>
        </w:tabs>
        <w:spacing w:line="269" w:lineRule="exact"/>
        <w:ind w:firstLine="99" w:firstLineChars="49"/>
        <w:rPr>
          <w:sz w:val="21"/>
        </w:rPr>
      </w:pPr>
      <w:r>
        <w:rPr>
          <w:rFonts w:hint="eastAsia"/>
          <w:spacing w:val="-3"/>
          <w:sz w:val="21"/>
        </w:rPr>
        <w:t xml:space="preserve">7.4.2 </w:t>
      </w:r>
      <w:r>
        <w:rPr>
          <w:spacing w:val="-3"/>
          <w:sz w:val="21"/>
        </w:rPr>
        <w:t>经监理人同意，承包人可根据合同进度计划撤走闲置的施工设备。</w:t>
      </w:r>
    </w:p>
    <w:p>
      <w:pPr>
        <w:pStyle w:val="10"/>
        <w:rPr>
          <w:sz w:val="22"/>
        </w:rPr>
      </w:pPr>
    </w:p>
    <w:p>
      <w:pPr>
        <w:pStyle w:val="4"/>
      </w:pPr>
      <w:bookmarkStart w:id="199" w:name="_bookmark142"/>
      <w:bookmarkEnd w:id="199"/>
      <w:bookmarkStart w:id="200" w:name="_Toc37926060"/>
      <w:r>
        <w:rPr>
          <w:rFonts w:hint="eastAsia"/>
        </w:rPr>
        <w:t>８</w:t>
      </w:r>
      <w:r>
        <w:t>交通运输</w:t>
      </w:r>
      <w:bookmarkEnd w:id="200"/>
    </w:p>
    <w:p>
      <w:pPr>
        <w:pStyle w:val="10"/>
        <w:spacing w:before="2"/>
        <w:rPr>
          <w:rFonts w:ascii="黑体"/>
          <w:b/>
          <w:sz w:val="39"/>
        </w:rPr>
      </w:pPr>
    </w:p>
    <w:p>
      <w:pPr>
        <w:ind w:firstLine="108" w:firstLineChars="50"/>
        <w:rPr>
          <w:rFonts w:ascii="Times New Roman" w:eastAsia="Times New Roman"/>
        </w:rPr>
      </w:pPr>
      <w:bookmarkStart w:id="201" w:name="_bookmark143"/>
      <w:bookmarkEnd w:id="201"/>
      <w:r>
        <w:rPr>
          <w:rFonts w:hint="eastAsia"/>
          <w:spacing w:val="-2"/>
        </w:rPr>
        <w:t xml:space="preserve">8.1 </w:t>
      </w:r>
      <w:r>
        <w:rPr>
          <w:spacing w:val="-2"/>
        </w:rPr>
        <w:t>道路通行权和场外设施</w:t>
      </w:r>
    </w:p>
    <w:p>
      <w:pPr>
        <w:pStyle w:val="10"/>
        <w:spacing w:before="4"/>
        <w:rPr>
          <w:rFonts w:ascii="黑体"/>
          <w:sz w:val="38"/>
        </w:rPr>
      </w:pPr>
    </w:p>
    <w:p>
      <w:pPr>
        <w:pStyle w:val="10"/>
        <w:spacing w:line="417" w:lineRule="auto"/>
        <w:ind w:left="212" w:right="546" w:firstLine="420"/>
        <w:rPr>
          <w:spacing w:val="-4"/>
        </w:rPr>
      </w:pPr>
      <w:r>
        <w:rPr>
          <w:spacing w:val="-5"/>
        </w:rPr>
        <w:t>承包人应根据工程的施工需要，负责办理取得出入施工场地的专用和临时道路的通行权，以及取得为</w:t>
      </w:r>
      <w:r>
        <w:rPr>
          <w:spacing w:val="-4"/>
        </w:rPr>
        <w:t>工程建设所需修建场外设施的权利，并承担有关费用。发包人应协助承包人办理上述手续。</w:t>
      </w:r>
      <w:bookmarkStart w:id="202" w:name="_bookmark144"/>
      <w:bookmarkEnd w:id="202"/>
    </w:p>
    <w:p>
      <w:pPr>
        <w:pStyle w:val="10"/>
        <w:spacing w:line="417" w:lineRule="auto"/>
        <w:ind w:right="546" w:firstLine="101" w:firstLineChars="49"/>
        <w:rPr>
          <w:rFonts w:ascii="Times New Roman" w:eastAsia="Times New Roman"/>
        </w:rPr>
      </w:pPr>
      <w:r>
        <w:rPr>
          <w:rFonts w:hint="eastAsia"/>
          <w:spacing w:val="-1"/>
        </w:rPr>
        <w:t xml:space="preserve">8.2 </w:t>
      </w:r>
      <w:r>
        <w:rPr>
          <w:spacing w:val="-1"/>
        </w:rPr>
        <w:t>场内施工道路</w:t>
      </w:r>
    </w:p>
    <w:p>
      <w:pPr>
        <w:tabs>
          <w:tab w:val="left" w:pos="1162"/>
        </w:tabs>
        <w:spacing w:line="417" w:lineRule="auto"/>
        <w:ind w:right="552" w:firstLine="101" w:firstLineChars="49"/>
        <w:rPr>
          <w:sz w:val="21"/>
        </w:rPr>
      </w:pPr>
      <w:r>
        <w:rPr>
          <w:rFonts w:hint="eastAsia"/>
          <w:spacing w:val="-1"/>
          <w:sz w:val="21"/>
        </w:rPr>
        <w:t xml:space="preserve">8.2.1 </w:t>
      </w:r>
      <w:r>
        <w:rPr>
          <w:spacing w:val="-1"/>
          <w:sz w:val="21"/>
        </w:rPr>
        <w:t>除专用合同条款另有约定外，承包人应负责修建、维修、养护和管理施工所需的临时道路和交</w:t>
      </w:r>
      <w:r>
        <w:rPr>
          <w:spacing w:val="-3"/>
          <w:sz w:val="21"/>
        </w:rPr>
        <w:t>通设施，包括维修、养护和管理发包人提供的道路和交通设施，并承担相应费用。</w:t>
      </w:r>
    </w:p>
    <w:p>
      <w:pPr>
        <w:tabs>
          <w:tab w:val="left" w:pos="1162"/>
        </w:tabs>
        <w:spacing w:line="417" w:lineRule="auto"/>
        <w:ind w:right="552" w:firstLine="101" w:firstLineChars="49"/>
        <w:rPr>
          <w:sz w:val="21"/>
        </w:rPr>
      </w:pPr>
      <w:r>
        <w:rPr>
          <w:rFonts w:hint="eastAsia"/>
          <w:spacing w:val="-1"/>
          <w:sz w:val="21"/>
        </w:rPr>
        <w:t xml:space="preserve">8.2.2 </w:t>
      </w:r>
      <w:r>
        <w:rPr>
          <w:spacing w:val="-1"/>
          <w:sz w:val="21"/>
        </w:rPr>
        <w:t>除专用合同条款另有约定外，承包人修建的临时道路和交通设施应免费提供发包人和监理人为</w:t>
      </w:r>
      <w:r>
        <w:rPr>
          <w:spacing w:val="-3"/>
          <w:sz w:val="21"/>
        </w:rPr>
        <w:t>实现合同目的使用。</w:t>
      </w:r>
    </w:p>
    <w:p>
      <w:pPr>
        <w:pStyle w:val="10"/>
        <w:rPr>
          <w:sz w:val="23"/>
        </w:rPr>
      </w:pPr>
    </w:p>
    <w:p>
      <w:pPr>
        <w:ind w:firstLine="110" w:firstLineChars="50"/>
        <w:rPr>
          <w:rFonts w:ascii="Times New Roman" w:eastAsia="Times New Roman"/>
        </w:rPr>
      </w:pPr>
      <w:bookmarkStart w:id="203" w:name="_bookmark145"/>
      <w:bookmarkEnd w:id="203"/>
      <w:r>
        <w:rPr>
          <w:rFonts w:hint="eastAsia"/>
        </w:rPr>
        <w:t xml:space="preserve">8.3 </w:t>
      </w:r>
      <w:r>
        <w:t>场外交通</w:t>
      </w:r>
    </w:p>
    <w:p>
      <w:pPr>
        <w:tabs>
          <w:tab w:val="left" w:pos="1159"/>
        </w:tabs>
        <w:ind w:firstLine="99" w:firstLineChars="49"/>
        <w:rPr>
          <w:sz w:val="21"/>
        </w:rPr>
      </w:pPr>
      <w:r>
        <w:rPr>
          <w:rFonts w:hint="eastAsia"/>
          <w:spacing w:val="-3"/>
          <w:sz w:val="21"/>
        </w:rPr>
        <w:t xml:space="preserve">8.3.1 </w:t>
      </w:r>
      <w:r>
        <w:rPr>
          <w:spacing w:val="-3"/>
          <w:sz w:val="21"/>
        </w:rPr>
        <w:t>承包人车辆外出行驶所需的场外公共道路的通行费、养路费和税款等由承包人承担。</w:t>
      </w:r>
    </w:p>
    <w:p>
      <w:pPr>
        <w:pStyle w:val="10"/>
        <w:spacing w:before="7"/>
        <w:rPr>
          <w:sz w:val="15"/>
        </w:rPr>
      </w:pPr>
    </w:p>
    <w:p>
      <w:pPr>
        <w:tabs>
          <w:tab w:val="left" w:pos="1162"/>
        </w:tabs>
        <w:spacing w:line="417" w:lineRule="auto"/>
        <w:ind w:right="552" w:firstLine="101" w:firstLineChars="49"/>
        <w:rPr>
          <w:sz w:val="21"/>
        </w:rPr>
      </w:pPr>
      <w:r>
        <w:rPr>
          <w:rFonts w:hint="eastAsia"/>
          <w:spacing w:val="-1"/>
          <w:sz w:val="21"/>
        </w:rPr>
        <w:t xml:space="preserve">8.3.2 </w:t>
      </w:r>
      <w:r>
        <w:rPr>
          <w:spacing w:val="-1"/>
          <w:sz w:val="21"/>
        </w:rPr>
        <w:t>承包人应遵守有关交通法规，严格按照道路和桥梁的限制荷重安全行驶，并服从交通管理部门</w:t>
      </w:r>
      <w:r>
        <w:rPr>
          <w:spacing w:val="-2"/>
          <w:sz w:val="21"/>
        </w:rPr>
        <w:t>的检查和监督。</w:t>
      </w:r>
    </w:p>
    <w:p>
      <w:pPr>
        <w:pStyle w:val="10"/>
        <w:rPr>
          <w:sz w:val="23"/>
        </w:rPr>
      </w:pPr>
    </w:p>
    <w:p>
      <w:pPr>
        <w:rPr>
          <w:rFonts w:ascii="Times New Roman" w:eastAsia="Times New Roman"/>
        </w:rPr>
      </w:pPr>
      <w:bookmarkStart w:id="204" w:name="_bookmark146"/>
      <w:bookmarkEnd w:id="204"/>
      <w:r>
        <w:rPr>
          <w:rFonts w:hint="eastAsia"/>
          <w:spacing w:val="-2"/>
        </w:rPr>
        <w:t>８．４</w:t>
      </w:r>
      <w:r>
        <w:rPr>
          <w:spacing w:val="-2"/>
        </w:rPr>
        <w:t>超大件和超重件的运输</w:t>
      </w:r>
    </w:p>
    <w:p>
      <w:pPr>
        <w:pStyle w:val="10"/>
        <w:spacing w:before="2"/>
        <w:rPr>
          <w:rFonts w:ascii="黑体"/>
          <w:sz w:val="38"/>
        </w:rPr>
      </w:pPr>
    </w:p>
    <w:p>
      <w:pPr>
        <w:pStyle w:val="10"/>
        <w:spacing w:line="417" w:lineRule="auto"/>
        <w:ind w:left="212" w:right="546" w:firstLine="420"/>
        <w:jc w:val="both"/>
      </w:pPr>
      <w:r>
        <w:rPr>
          <w:spacing w:val="-5"/>
        </w:rPr>
        <w:t>由承包人负责运输的超大件或超重件，应由承包人负责向交通管理部门办理申请手续，发包人给予协</w:t>
      </w:r>
      <w:r>
        <w:rPr>
          <w:spacing w:val="-7"/>
        </w:rPr>
        <w:t>助。运输超大件或超重件所需的道路和桥梁临时加固改造费用和其他有关费用，由承包人承担，但专用合</w:t>
      </w:r>
      <w:r>
        <w:rPr>
          <w:spacing w:val="-5"/>
        </w:rPr>
        <w:t>同条款另有约定除外。</w:t>
      </w:r>
    </w:p>
    <w:p>
      <w:pPr>
        <w:pStyle w:val="10"/>
        <w:rPr>
          <w:sz w:val="23"/>
        </w:rPr>
      </w:pPr>
    </w:p>
    <w:p>
      <w:pPr>
        <w:rPr>
          <w:rFonts w:ascii="Times New Roman" w:eastAsia="Times New Roman"/>
        </w:rPr>
      </w:pPr>
      <w:bookmarkStart w:id="205" w:name="_bookmark147"/>
      <w:bookmarkEnd w:id="205"/>
      <w:r>
        <w:rPr>
          <w:rFonts w:hint="eastAsia"/>
          <w:spacing w:val="-2"/>
        </w:rPr>
        <w:t>８．５</w:t>
      </w:r>
      <w:r>
        <w:rPr>
          <w:spacing w:val="-2"/>
        </w:rPr>
        <w:t>道路和桥梁的损坏责任</w:t>
      </w:r>
    </w:p>
    <w:p>
      <w:pPr>
        <w:pStyle w:val="10"/>
        <w:spacing w:before="4"/>
        <w:rPr>
          <w:rFonts w:ascii="黑体"/>
          <w:sz w:val="38"/>
        </w:rPr>
      </w:pPr>
    </w:p>
    <w:p>
      <w:pPr>
        <w:pStyle w:val="10"/>
        <w:spacing w:before="1" w:line="417" w:lineRule="auto"/>
        <w:ind w:left="212" w:right="522" w:firstLine="420"/>
      </w:pPr>
      <w:r>
        <w:t>因承包人运输造成施工场地内外公共道路和桥梁损坏的，由承包人承担修复损坏的全部费用和可能引起的赔偿。</w:t>
      </w:r>
    </w:p>
    <w:p>
      <w:pPr>
        <w:pStyle w:val="10"/>
        <w:spacing w:before="12"/>
        <w:rPr>
          <w:sz w:val="22"/>
        </w:rPr>
      </w:pPr>
    </w:p>
    <w:p>
      <w:pPr>
        <w:rPr>
          <w:rFonts w:ascii="Times New Roman" w:eastAsia="Times New Roman"/>
        </w:rPr>
      </w:pPr>
      <w:bookmarkStart w:id="206" w:name="_bookmark148"/>
      <w:bookmarkEnd w:id="206"/>
      <w:r>
        <w:rPr>
          <w:rFonts w:hint="eastAsia"/>
          <w:spacing w:val="-1"/>
        </w:rPr>
        <w:t>８．６</w:t>
      </w:r>
      <w:r>
        <w:rPr>
          <w:spacing w:val="-1"/>
        </w:rPr>
        <w:t>水路和航空运输</w:t>
      </w:r>
    </w:p>
    <w:p>
      <w:pPr>
        <w:pStyle w:val="10"/>
        <w:spacing w:before="4"/>
        <w:rPr>
          <w:rFonts w:ascii="黑体"/>
          <w:sz w:val="38"/>
        </w:rPr>
      </w:pPr>
    </w:p>
    <w:p>
      <w:pPr>
        <w:pStyle w:val="10"/>
        <w:spacing w:before="1" w:line="417" w:lineRule="auto"/>
        <w:ind w:left="212" w:right="524" w:firstLine="420"/>
      </w:pPr>
      <w:r>
        <w:t>本条上述各款的内容适用于水路运输和航空运输，其中“道路”一词的涵义包括河道、航线、船闸、机场、码头、堤防以及水路或航空运输中其他相似结构物；“车辆”一词的涵义包括船舶和飞机等。</w:t>
      </w:r>
    </w:p>
    <w:p>
      <w:pPr>
        <w:spacing w:line="417" w:lineRule="auto"/>
        <w:sectPr>
          <w:pgSz w:w="11910" w:h="16840"/>
          <w:pgMar w:top="1480" w:right="580" w:bottom="1220" w:left="920" w:header="0" w:footer="950" w:gutter="0"/>
          <w:cols w:space="720" w:num="1"/>
        </w:sectPr>
      </w:pPr>
    </w:p>
    <w:p>
      <w:pPr>
        <w:pStyle w:val="4"/>
      </w:pPr>
      <w:bookmarkStart w:id="207" w:name="_bookmark149"/>
      <w:bookmarkEnd w:id="207"/>
      <w:bookmarkStart w:id="208" w:name="_Toc37926061"/>
      <w:r>
        <w:rPr>
          <w:rFonts w:hint="eastAsia"/>
        </w:rPr>
        <w:t>９</w:t>
      </w:r>
      <w:r>
        <w:t>测量放线</w:t>
      </w:r>
      <w:bookmarkEnd w:id="208"/>
    </w:p>
    <w:p>
      <w:pPr>
        <w:pStyle w:val="10"/>
        <w:spacing w:before="5"/>
        <w:rPr>
          <w:rFonts w:ascii="黑体"/>
          <w:b/>
          <w:sz w:val="39"/>
        </w:rPr>
      </w:pPr>
    </w:p>
    <w:p>
      <w:pPr>
        <w:rPr>
          <w:rFonts w:ascii="Times New Roman" w:eastAsia="Times New Roman"/>
        </w:rPr>
      </w:pPr>
      <w:bookmarkStart w:id="209" w:name="_bookmark150"/>
      <w:bookmarkEnd w:id="209"/>
      <w:r>
        <w:rPr>
          <w:rFonts w:hint="eastAsia"/>
        </w:rPr>
        <w:t>９．１</w:t>
      </w:r>
      <w:r>
        <w:t>施工控制网</w:t>
      </w:r>
    </w:p>
    <w:p>
      <w:pPr>
        <w:pStyle w:val="10"/>
        <w:spacing w:before="2"/>
        <w:rPr>
          <w:rFonts w:ascii="黑体"/>
          <w:sz w:val="38"/>
        </w:rPr>
      </w:pPr>
    </w:p>
    <w:p>
      <w:pPr>
        <w:pStyle w:val="35"/>
        <w:numPr>
          <w:ilvl w:val="2"/>
          <w:numId w:val="20"/>
        </w:numPr>
        <w:tabs>
          <w:tab w:val="left" w:pos="1162"/>
        </w:tabs>
        <w:spacing w:line="417" w:lineRule="auto"/>
        <w:ind w:left="212" w:right="546" w:firstLine="420"/>
        <w:jc w:val="both"/>
        <w:rPr>
          <w:sz w:val="21"/>
        </w:rPr>
      </w:pPr>
      <w:r>
        <w:rPr>
          <w:sz w:val="21"/>
        </w:rPr>
        <w:t>发包人应在专用合同条款约定的期限内，通过监理人向承包人提供测量基准点、基准线和水准</w:t>
      </w:r>
      <w:r>
        <w:rPr>
          <w:spacing w:val="-6"/>
          <w:sz w:val="21"/>
        </w:rPr>
        <w:t>点及其书面资料。除专用合同条款另有约定外，承包人应根据国家测绘基准、测绘系统和工程测量技术规</w:t>
      </w:r>
      <w:r>
        <w:rPr>
          <w:spacing w:val="-5"/>
          <w:sz w:val="21"/>
        </w:rPr>
        <w:t>范，按上述基准点</w:t>
      </w:r>
      <w:r>
        <w:rPr>
          <w:spacing w:val="-3"/>
          <w:sz w:val="21"/>
        </w:rPr>
        <w:t>（</w:t>
      </w:r>
      <w:r>
        <w:rPr>
          <w:sz w:val="21"/>
        </w:rPr>
        <w:t>线</w:t>
      </w:r>
      <w:r>
        <w:rPr>
          <w:spacing w:val="-8"/>
          <w:sz w:val="21"/>
        </w:rPr>
        <w:t>）</w:t>
      </w:r>
      <w:r>
        <w:rPr>
          <w:spacing w:val="-5"/>
          <w:sz w:val="21"/>
        </w:rPr>
        <w:t>以及合同工程精度要求，测设施工控制网，并在专用合同条款约定的期限内，将</w:t>
      </w:r>
      <w:r>
        <w:rPr>
          <w:spacing w:val="-4"/>
          <w:sz w:val="21"/>
        </w:rPr>
        <w:t>施工控制网资料报送监理人批准。</w:t>
      </w:r>
    </w:p>
    <w:p>
      <w:pPr>
        <w:pStyle w:val="35"/>
        <w:numPr>
          <w:ilvl w:val="2"/>
          <w:numId w:val="20"/>
        </w:numPr>
        <w:tabs>
          <w:tab w:val="left" w:pos="1162"/>
        </w:tabs>
        <w:spacing w:line="417" w:lineRule="auto"/>
        <w:ind w:left="212" w:right="552" w:firstLine="420"/>
        <w:jc w:val="both"/>
        <w:rPr>
          <w:sz w:val="21"/>
        </w:rPr>
      </w:pPr>
      <w:r>
        <w:rPr>
          <w:spacing w:val="-1"/>
          <w:sz w:val="21"/>
        </w:rPr>
        <w:t>承包人应负责管理施工控制网点。施工控制网点丢失或损坏的，承包人应及时修复。承包人应</w:t>
      </w:r>
      <w:r>
        <w:rPr>
          <w:spacing w:val="-3"/>
          <w:sz w:val="21"/>
        </w:rPr>
        <w:t>承担施工控制网点的管理与修复费用，并在工程竣工后将施工控制网点移交发包人。</w:t>
      </w:r>
    </w:p>
    <w:p>
      <w:pPr>
        <w:pStyle w:val="10"/>
        <w:spacing w:before="12"/>
        <w:rPr>
          <w:sz w:val="22"/>
        </w:rPr>
      </w:pPr>
    </w:p>
    <w:p>
      <w:pPr>
        <w:rPr>
          <w:rFonts w:ascii="Times New Roman" w:eastAsia="Times New Roman"/>
        </w:rPr>
      </w:pPr>
      <w:bookmarkStart w:id="210" w:name="_bookmark151"/>
      <w:bookmarkEnd w:id="210"/>
      <w:r>
        <w:rPr>
          <w:rFonts w:hint="eastAsia"/>
        </w:rPr>
        <w:t>９．２</w:t>
      </w:r>
      <w:r>
        <w:t>施工测量</w:t>
      </w:r>
    </w:p>
    <w:p>
      <w:pPr>
        <w:pStyle w:val="10"/>
        <w:spacing w:before="4"/>
        <w:rPr>
          <w:rFonts w:ascii="黑体"/>
          <w:sz w:val="38"/>
        </w:rPr>
      </w:pPr>
    </w:p>
    <w:p>
      <w:pPr>
        <w:pStyle w:val="35"/>
        <w:numPr>
          <w:ilvl w:val="2"/>
          <w:numId w:val="20"/>
        </w:numPr>
        <w:tabs>
          <w:tab w:val="left" w:pos="1162"/>
        </w:tabs>
        <w:spacing w:before="1" w:line="417" w:lineRule="auto"/>
        <w:ind w:left="212" w:right="552" w:firstLine="420"/>
        <w:jc w:val="both"/>
        <w:rPr>
          <w:sz w:val="21"/>
        </w:rPr>
      </w:pPr>
      <w:r>
        <w:rPr>
          <w:spacing w:val="-1"/>
          <w:sz w:val="21"/>
        </w:rPr>
        <w:t>承包人应负责施工过程中的全部施工测量放线工作，并配置合格的人员、仪器、设备和其他物</w:t>
      </w:r>
      <w:r>
        <w:rPr>
          <w:sz w:val="21"/>
        </w:rPr>
        <w:t>品。</w:t>
      </w:r>
    </w:p>
    <w:p>
      <w:pPr>
        <w:pStyle w:val="35"/>
        <w:numPr>
          <w:ilvl w:val="2"/>
          <w:numId w:val="20"/>
        </w:numPr>
        <w:tabs>
          <w:tab w:val="left" w:pos="1162"/>
        </w:tabs>
        <w:spacing w:line="417" w:lineRule="auto"/>
        <w:ind w:left="212" w:right="552" w:firstLine="420"/>
        <w:jc w:val="both"/>
        <w:rPr>
          <w:sz w:val="21"/>
        </w:rPr>
      </w:pPr>
      <w:r>
        <w:rPr>
          <w:spacing w:val="-1"/>
          <w:sz w:val="21"/>
        </w:rPr>
        <w:t>监理人可以指示承包人进行抽样复测，当复测中发现错误或出现超过合同约定的误差时，承包</w:t>
      </w:r>
      <w:r>
        <w:rPr>
          <w:spacing w:val="-3"/>
          <w:sz w:val="21"/>
        </w:rPr>
        <w:t>人应按监理人指示进行修正或补测，并承担相应的复测费用。</w:t>
      </w:r>
    </w:p>
    <w:p>
      <w:pPr>
        <w:pStyle w:val="10"/>
        <w:spacing w:before="12"/>
        <w:rPr>
          <w:sz w:val="22"/>
        </w:rPr>
      </w:pPr>
    </w:p>
    <w:p>
      <w:pPr>
        <w:rPr>
          <w:rFonts w:ascii="Times New Roman" w:eastAsia="Times New Roman"/>
        </w:rPr>
      </w:pPr>
      <w:bookmarkStart w:id="211" w:name="_bookmark152"/>
      <w:bookmarkEnd w:id="211"/>
      <w:r>
        <w:rPr>
          <w:rFonts w:hint="eastAsia"/>
          <w:spacing w:val="-2"/>
        </w:rPr>
        <w:t>９．３</w:t>
      </w:r>
      <w:r>
        <w:rPr>
          <w:spacing w:val="-2"/>
        </w:rPr>
        <w:t>基准资料错误的责任</w:t>
      </w:r>
    </w:p>
    <w:p>
      <w:pPr>
        <w:pStyle w:val="10"/>
        <w:spacing w:before="5"/>
        <w:rPr>
          <w:rFonts w:ascii="黑体"/>
          <w:sz w:val="38"/>
        </w:rPr>
      </w:pPr>
    </w:p>
    <w:p>
      <w:pPr>
        <w:pStyle w:val="10"/>
        <w:spacing w:line="417" w:lineRule="auto"/>
        <w:ind w:left="212" w:right="440" w:firstLine="420"/>
      </w:pPr>
      <w:r>
        <w:rPr>
          <w:spacing w:val="-6"/>
        </w:rPr>
        <w:t>发包人应对其提供的测量基准点、基准线和水准点及其书面资料的真实性、准确性和完整性负责，对其提供上述基准资料错误导致承包人损失的，</w:t>
      </w:r>
      <w:r>
        <w:rPr>
          <w:spacing w:val="-6"/>
          <w:highlight w:val="yellow"/>
        </w:rPr>
        <w:t>发包人应当承担由此增加的费用和</w:t>
      </w:r>
      <w:r>
        <w:rPr>
          <w:highlight w:val="yellow"/>
        </w:rPr>
        <w:t>（</w:t>
      </w:r>
      <w:r>
        <w:rPr>
          <w:spacing w:val="-3"/>
          <w:highlight w:val="yellow"/>
        </w:rPr>
        <w:t>或</w:t>
      </w:r>
      <w:r>
        <w:rPr>
          <w:spacing w:val="-8"/>
          <w:highlight w:val="yellow"/>
        </w:rPr>
        <w:t>）</w:t>
      </w:r>
      <w:r>
        <w:rPr>
          <w:spacing w:val="-4"/>
          <w:highlight w:val="yellow"/>
        </w:rPr>
        <w:t>工期延误</w:t>
      </w:r>
      <w:r>
        <w:rPr>
          <w:spacing w:val="-12"/>
        </w:rPr>
        <w:t xml:space="preserve">。承包人应在设计或施工中对上述资料的准确性进行核实，发现存在明显错误或疏忽的， </w:t>
      </w:r>
      <w:r>
        <w:rPr>
          <w:spacing w:val="-6"/>
        </w:rPr>
        <w:t>应及时通知监理人。</w:t>
      </w:r>
    </w:p>
    <w:p>
      <w:pPr>
        <w:pStyle w:val="10"/>
        <w:spacing w:before="12"/>
        <w:rPr>
          <w:sz w:val="22"/>
        </w:rPr>
      </w:pPr>
    </w:p>
    <w:p>
      <w:pPr>
        <w:rPr>
          <w:rFonts w:ascii="Times New Roman" w:eastAsia="Times New Roman"/>
        </w:rPr>
      </w:pPr>
      <w:bookmarkStart w:id="212" w:name="_bookmark153"/>
      <w:bookmarkEnd w:id="212"/>
      <w:r>
        <w:rPr>
          <w:rFonts w:hint="eastAsia"/>
          <w:spacing w:val="-2"/>
        </w:rPr>
        <w:t>９．４</w:t>
      </w:r>
      <w:r>
        <w:rPr>
          <w:spacing w:val="-2"/>
        </w:rPr>
        <w:t>监理人使用施工控制网</w:t>
      </w:r>
    </w:p>
    <w:p>
      <w:pPr>
        <w:pStyle w:val="10"/>
        <w:spacing w:before="2"/>
        <w:rPr>
          <w:rFonts w:ascii="黑体"/>
          <w:sz w:val="38"/>
        </w:rPr>
      </w:pPr>
    </w:p>
    <w:p>
      <w:pPr>
        <w:pStyle w:val="10"/>
        <w:spacing w:before="1"/>
        <w:ind w:left="633"/>
      </w:pPr>
      <w:r>
        <w:t>监理人需要使用施工控制网的，承包人应提供必要的协助，发包人不再为此支付费用。</w:t>
      </w:r>
    </w:p>
    <w:p>
      <w:pPr>
        <w:sectPr>
          <w:pgSz w:w="11910" w:h="16840"/>
          <w:pgMar w:top="1460" w:right="580" w:bottom="1220" w:left="920" w:header="0" w:footer="950" w:gutter="0"/>
          <w:cols w:space="720" w:num="1"/>
        </w:sectPr>
      </w:pPr>
    </w:p>
    <w:p>
      <w:pPr>
        <w:pStyle w:val="4"/>
      </w:pPr>
      <w:bookmarkStart w:id="213" w:name="_bookmark154"/>
      <w:bookmarkEnd w:id="213"/>
      <w:bookmarkStart w:id="214" w:name="_Toc37926062"/>
      <w:r>
        <w:rPr>
          <w:rFonts w:hint="eastAsia"/>
        </w:rPr>
        <w:t xml:space="preserve">10 </w:t>
      </w:r>
      <w:r>
        <w:t>安全、治安保卫和环境保护</w:t>
      </w:r>
      <w:bookmarkEnd w:id="214"/>
    </w:p>
    <w:p>
      <w:pPr>
        <w:pStyle w:val="10"/>
        <w:spacing w:before="5"/>
        <w:rPr>
          <w:rFonts w:ascii="黑体"/>
          <w:b/>
          <w:sz w:val="39"/>
        </w:rPr>
      </w:pPr>
    </w:p>
    <w:p>
      <w:pPr>
        <w:rPr>
          <w:rFonts w:ascii="Times New Roman" w:eastAsia="Times New Roman"/>
        </w:rPr>
      </w:pPr>
      <w:bookmarkStart w:id="215" w:name="_bookmark155"/>
      <w:bookmarkEnd w:id="215"/>
      <w:r>
        <w:rPr>
          <w:rFonts w:hint="eastAsia"/>
          <w:spacing w:val="-2"/>
        </w:rPr>
        <w:t>１０．１</w:t>
      </w:r>
      <w:r>
        <w:rPr>
          <w:spacing w:val="-2"/>
        </w:rPr>
        <w:t>发包人的安全责任</w:t>
      </w:r>
    </w:p>
    <w:p>
      <w:pPr>
        <w:pStyle w:val="10"/>
        <w:spacing w:before="2"/>
        <w:rPr>
          <w:rFonts w:ascii="黑体"/>
          <w:sz w:val="38"/>
        </w:rPr>
      </w:pPr>
    </w:p>
    <w:p>
      <w:pPr>
        <w:tabs>
          <w:tab w:val="left" w:pos="1265"/>
        </w:tabs>
        <w:spacing w:line="417" w:lineRule="auto"/>
        <w:ind w:right="546" w:firstLine="196" w:firstLineChars="98"/>
        <w:rPr>
          <w:sz w:val="21"/>
        </w:rPr>
      </w:pPr>
      <w:r>
        <w:rPr>
          <w:rFonts w:hint="eastAsia"/>
          <w:spacing w:val="-5"/>
          <w:sz w:val="21"/>
        </w:rPr>
        <w:t xml:space="preserve">10.1.1 </w:t>
      </w:r>
      <w:r>
        <w:rPr>
          <w:spacing w:val="-5"/>
          <w:sz w:val="21"/>
        </w:rPr>
        <w:t>发包人应按合同约定履行安全职责，授权监理人按合同约定的安全工作内容监督、检查承包人</w:t>
      </w:r>
      <w:r>
        <w:rPr>
          <w:spacing w:val="-4"/>
          <w:sz w:val="21"/>
        </w:rPr>
        <w:t>安全工作的实施，组织承包人和有关单位进行安全检查。</w:t>
      </w:r>
    </w:p>
    <w:p>
      <w:pPr>
        <w:tabs>
          <w:tab w:val="left" w:pos="1265"/>
        </w:tabs>
        <w:spacing w:line="417" w:lineRule="auto"/>
        <w:ind w:right="546" w:firstLine="202" w:firstLineChars="100"/>
        <w:rPr>
          <w:sz w:val="21"/>
        </w:rPr>
      </w:pPr>
      <w:r>
        <w:rPr>
          <w:rFonts w:hint="eastAsia"/>
          <w:spacing w:val="-4"/>
          <w:sz w:val="21"/>
        </w:rPr>
        <w:t xml:space="preserve">10.1.2 </w:t>
      </w:r>
      <w:r>
        <w:rPr>
          <w:spacing w:val="-4"/>
          <w:sz w:val="21"/>
        </w:rPr>
        <w:t>发包人应对其现场机构雇佣的全部人员的工伤事故承担责任，但由于承包人原因造成发包人人</w:t>
      </w:r>
      <w:r>
        <w:rPr>
          <w:spacing w:val="-3"/>
          <w:sz w:val="21"/>
        </w:rPr>
        <w:t>员工伤的，应由承包人承担责任。</w:t>
      </w:r>
    </w:p>
    <w:p>
      <w:pPr>
        <w:tabs>
          <w:tab w:val="left" w:pos="1265"/>
        </w:tabs>
        <w:spacing w:line="269" w:lineRule="exact"/>
        <w:ind w:firstLine="199" w:firstLineChars="98"/>
        <w:rPr>
          <w:sz w:val="21"/>
        </w:rPr>
      </w:pPr>
      <w:r>
        <w:rPr>
          <w:rFonts w:hint="eastAsia"/>
          <w:spacing w:val="-3"/>
          <w:sz w:val="21"/>
        </w:rPr>
        <w:t xml:space="preserve">10.1.3 </w:t>
      </w:r>
      <w:r>
        <w:rPr>
          <w:spacing w:val="-3"/>
          <w:sz w:val="21"/>
        </w:rPr>
        <w:t>发包人应负责赔偿以下各种情况造成的第三者人身伤亡和财产损失：</w:t>
      </w:r>
    </w:p>
    <w:p>
      <w:pPr>
        <w:pStyle w:val="10"/>
        <w:spacing w:before="7"/>
        <w:rPr>
          <w:sz w:val="15"/>
        </w:rPr>
      </w:pPr>
    </w:p>
    <w:p>
      <w:pPr>
        <w:pStyle w:val="35"/>
        <w:numPr>
          <w:ilvl w:val="0"/>
          <w:numId w:val="32"/>
        </w:numPr>
        <w:tabs>
          <w:tab w:val="left" w:pos="1163"/>
        </w:tabs>
        <w:ind w:hanging="530"/>
        <w:rPr>
          <w:sz w:val="21"/>
        </w:rPr>
      </w:pPr>
      <w:r>
        <w:rPr>
          <w:spacing w:val="-3"/>
          <w:sz w:val="21"/>
        </w:rPr>
        <w:t>工程或工程的任何部分对土地的占用所造成的第三者财产损失；</w:t>
      </w:r>
    </w:p>
    <w:p>
      <w:pPr>
        <w:pStyle w:val="10"/>
        <w:spacing w:before="6"/>
        <w:rPr>
          <w:sz w:val="15"/>
        </w:rPr>
      </w:pPr>
    </w:p>
    <w:p>
      <w:pPr>
        <w:pStyle w:val="35"/>
        <w:numPr>
          <w:ilvl w:val="0"/>
          <w:numId w:val="32"/>
        </w:numPr>
        <w:tabs>
          <w:tab w:val="left" w:pos="1163"/>
        </w:tabs>
        <w:spacing w:before="1"/>
        <w:ind w:hanging="530"/>
        <w:rPr>
          <w:sz w:val="21"/>
        </w:rPr>
      </w:pPr>
      <w:r>
        <w:rPr>
          <w:spacing w:val="-4"/>
          <w:sz w:val="21"/>
        </w:rPr>
        <w:t>由于发包人原因在施工场地及其毗邻地带、履行合同工作中造成的第三者人身伤亡和财产损失。</w:t>
      </w:r>
    </w:p>
    <w:p>
      <w:pPr>
        <w:pStyle w:val="10"/>
        <w:rPr>
          <w:sz w:val="22"/>
        </w:rPr>
      </w:pPr>
    </w:p>
    <w:p>
      <w:pPr>
        <w:pStyle w:val="10"/>
        <w:spacing w:before="6"/>
        <w:rPr>
          <w:sz w:val="16"/>
        </w:rPr>
      </w:pPr>
    </w:p>
    <w:p>
      <w:pPr>
        <w:rPr>
          <w:rFonts w:ascii="Times New Roman" w:eastAsia="Times New Roman"/>
        </w:rPr>
      </w:pPr>
      <w:bookmarkStart w:id="216" w:name="_bookmark156"/>
      <w:bookmarkEnd w:id="216"/>
      <w:r>
        <w:rPr>
          <w:rFonts w:hint="eastAsia"/>
          <w:spacing w:val="-2"/>
        </w:rPr>
        <w:t>１０．２</w:t>
      </w:r>
      <w:r>
        <w:rPr>
          <w:spacing w:val="-2"/>
        </w:rPr>
        <w:t>承包人的安全责任</w:t>
      </w:r>
    </w:p>
    <w:p>
      <w:pPr>
        <w:pStyle w:val="10"/>
        <w:spacing w:before="5"/>
        <w:rPr>
          <w:rFonts w:ascii="黑体"/>
          <w:sz w:val="38"/>
        </w:rPr>
      </w:pPr>
    </w:p>
    <w:p>
      <w:pPr>
        <w:tabs>
          <w:tab w:val="left" w:pos="1265"/>
        </w:tabs>
        <w:spacing w:line="417" w:lineRule="auto"/>
        <w:ind w:right="546" w:firstLine="196" w:firstLineChars="98"/>
        <w:jc w:val="both"/>
        <w:rPr>
          <w:sz w:val="21"/>
        </w:rPr>
      </w:pPr>
      <w:r>
        <w:rPr>
          <w:rFonts w:hint="eastAsia"/>
          <w:spacing w:val="-5"/>
          <w:sz w:val="21"/>
        </w:rPr>
        <w:t xml:space="preserve">10.2.1 </w:t>
      </w:r>
      <w:r>
        <w:rPr>
          <w:spacing w:val="-5"/>
          <w:sz w:val="21"/>
        </w:rPr>
        <w:t>承包人应按合同约定履行安全职责，执行监理人有关安全工作的指示，并在专用合同条款约定</w:t>
      </w:r>
      <w:r>
        <w:rPr>
          <w:spacing w:val="-4"/>
          <w:sz w:val="21"/>
        </w:rPr>
        <w:t>的期限内，按合同约定的安全工作内容，编制安全措施计划报送监理人批准。</w:t>
      </w:r>
    </w:p>
    <w:p>
      <w:pPr>
        <w:tabs>
          <w:tab w:val="left" w:pos="1265"/>
        </w:tabs>
        <w:spacing w:line="417" w:lineRule="auto"/>
        <w:ind w:right="546" w:firstLine="198" w:firstLineChars="100"/>
        <w:jc w:val="both"/>
        <w:rPr>
          <w:sz w:val="21"/>
        </w:rPr>
      </w:pPr>
      <w:r>
        <w:rPr>
          <w:rFonts w:hint="eastAsia"/>
          <w:spacing w:val="-6"/>
          <w:sz w:val="21"/>
        </w:rPr>
        <w:t xml:space="preserve">10.2.2 </w:t>
      </w:r>
      <w:r>
        <w:rPr>
          <w:spacing w:val="-6"/>
          <w:sz w:val="21"/>
        </w:rPr>
        <w:t>承包人按照合同约定需要进行勘察的，应严格执行操作规程，采取措施保证各类管线、设施和</w:t>
      </w:r>
      <w:r>
        <w:rPr>
          <w:spacing w:val="-4"/>
          <w:sz w:val="21"/>
        </w:rPr>
        <w:t>周边建筑物、构筑物的安全。</w:t>
      </w:r>
    </w:p>
    <w:p>
      <w:pPr>
        <w:tabs>
          <w:tab w:val="left" w:pos="1265"/>
        </w:tabs>
        <w:spacing w:line="417" w:lineRule="auto"/>
        <w:ind w:right="546" w:firstLine="196" w:firstLineChars="98"/>
        <w:jc w:val="both"/>
        <w:rPr>
          <w:sz w:val="21"/>
        </w:rPr>
      </w:pPr>
      <w:r>
        <w:rPr>
          <w:rFonts w:hint="eastAsia"/>
          <w:spacing w:val="-5"/>
          <w:sz w:val="21"/>
        </w:rPr>
        <w:t xml:space="preserve">10.2.3 </w:t>
      </w:r>
      <w:r>
        <w:rPr>
          <w:spacing w:val="-5"/>
          <w:sz w:val="21"/>
        </w:rPr>
        <w:t>承包人应当按照法律、法规和工程建设强制性标准进行设计，在设计文件中注明涉及施工安全</w:t>
      </w:r>
      <w:r>
        <w:rPr>
          <w:spacing w:val="-7"/>
          <w:sz w:val="21"/>
        </w:rPr>
        <w:t>的重点部位和环节，提出保障施工作业人员和预防安全事故的措施建议，防止因设计不合理导致生产安全</w:t>
      </w:r>
      <w:r>
        <w:rPr>
          <w:spacing w:val="-5"/>
          <w:sz w:val="21"/>
        </w:rPr>
        <w:t>事故的发</w:t>
      </w:r>
      <w:r>
        <w:rPr>
          <w:rFonts w:hint="eastAsia"/>
          <w:spacing w:val="-5"/>
          <w:sz w:val="21"/>
        </w:rPr>
        <w:t xml:space="preserve"> </w:t>
      </w:r>
      <w:r>
        <w:rPr>
          <w:spacing w:val="-5"/>
          <w:sz w:val="21"/>
        </w:rPr>
        <w:t>生。</w:t>
      </w:r>
    </w:p>
    <w:p>
      <w:pPr>
        <w:tabs>
          <w:tab w:val="left" w:pos="1265"/>
        </w:tabs>
        <w:spacing w:line="417" w:lineRule="auto"/>
        <w:ind w:right="548" w:firstLine="198" w:firstLineChars="100"/>
        <w:jc w:val="both"/>
        <w:rPr>
          <w:sz w:val="21"/>
        </w:rPr>
      </w:pPr>
      <w:r>
        <w:rPr>
          <w:rFonts w:hint="eastAsia"/>
          <w:spacing w:val="-6"/>
          <w:sz w:val="21"/>
        </w:rPr>
        <w:t xml:space="preserve">10.2.4 </w:t>
      </w:r>
      <w:r>
        <w:rPr>
          <w:spacing w:val="-6"/>
          <w:sz w:val="21"/>
        </w:rPr>
        <w:t>承包人应加强施工作业安全管理，特别应加强易燃、易爆材料、火工器材、有毒与腐蚀性材料</w:t>
      </w:r>
      <w:r>
        <w:rPr>
          <w:spacing w:val="-4"/>
          <w:sz w:val="21"/>
        </w:rPr>
        <w:t>和其他危险品的管理，以及对爆破作业和地下工程施工等危险作业的管理。</w:t>
      </w:r>
    </w:p>
    <w:p>
      <w:pPr>
        <w:tabs>
          <w:tab w:val="left" w:pos="1270"/>
        </w:tabs>
        <w:spacing w:line="417" w:lineRule="auto"/>
        <w:ind w:right="559" w:firstLine="210" w:firstLineChars="100"/>
        <w:jc w:val="both"/>
        <w:rPr>
          <w:sz w:val="21"/>
        </w:rPr>
      </w:pPr>
      <w:r>
        <w:rPr>
          <w:rFonts w:hint="eastAsia"/>
          <w:sz w:val="21"/>
        </w:rPr>
        <w:t xml:space="preserve">10.2.5 </w:t>
      </w:r>
      <w:r>
        <w:rPr>
          <w:sz w:val="21"/>
        </w:rPr>
        <w:t>承包人应严格按照国家安全标准制定施工安全操作规程，配备必要的安全生产和劳动保护设</w:t>
      </w:r>
      <w:r>
        <w:rPr>
          <w:spacing w:val="-3"/>
          <w:sz w:val="21"/>
        </w:rPr>
        <w:t>施，加强对承包人人员的安全教育，并发放安全工作手册和劳动保护用具。</w:t>
      </w:r>
    </w:p>
    <w:p>
      <w:pPr>
        <w:tabs>
          <w:tab w:val="left" w:pos="1265"/>
        </w:tabs>
        <w:spacing w:line="417" w:lineRule="auto"/>
        <w:ind w:right="546" w:firstLine="196" w:firstLineChars="98"/>
        <w:jc w:val="both"/>
        <w:rPr>
          <w:sz w:val="21"/>
        </w:rPr>
      </w:pPr>
      <w:r>
        <w:rPr>
          <w:rFonts w:hint="eastAsia"/>
          <w:spacing w:val="-5"/>
          <w:sz w:val="21"/>
        </w:rPr>
        <w:t xml:space="preserve">10.2.6 </w:t>
      </w:r>
      <w:r>
        <w:rPr>
          <w:spacing w:val="-5"/>
          <w:sz w:val="21"/>
        </w:rPr>
        <w:t>承包人应按监理人的指示制定应对灾害的紧急预案，报送监理人批准。承包人还应按预案做好</w:t>
      </w:r>
      <w:r>
        <w:rPr>
          <w:spacing w:val="-4"/>
          <w:sz w:val="21"/>
        </w:rPr>
        <w:t>安全检查，配置必要的救助物资和器材，切实保护好有关人员的人身和财产安全。</w:t>
      </w:r>
    </w:p>
    <w:p>
      <w:pPr>
        <w:tabs>
          <w:tab w:val="left" w:pos="1265"/>
        </w:tabs>
        <w:spacing w:line="417" w:lineRule="auto"/>
        <w:ind w:right="442" w:firstLine="202" w:firstLineChars="100"/>
        <w:jc w:val="both"/>
        <w:rPr>
          <w:sz w:val="21"/>
        </w:rPr>
      </w:pPr>
      <w:r>
        <w:rPr>
          <w:rFonts w:hint="eastAsia"/>
          <w:spacing w:val="-4"/>
          <w:sz w:val="21"/>
        </w:rPr>
        <w:t xml:space="preserve">10.2.7 </w:t>
      </w:r>
      <w:r>
        <w:rPr>
          <w:spacing w:val="-4"/>
          <w:sz w:val="21"/>
        </w:rPr>
        <w:t>合同约定的安全作业环境及安全施工措施所需费用应遵守有关规定，并包括在相关工作的合同</w:t>
      </w:r>
      <w:r>
        <w:rPr>
          <w:spacing w:val="-16"/>
          <w:sz w:val="21"/>
        </w:rPr>
        <w:t xml:space="preserve">价格中。因采取合同未约定的安全作业环境及安全施工措施增加的费用，由监理人按第 </w:t>
      </w:r>
      <w:r>
        <w:rPr>
          <w:sz w:val="21"/>
        </w:rPr>
        <w:t>3.5 款商定或确定。</w:t>
      </w:r>
    </w:p>
    <w:p>
      <w:pPr>
        <w:tabs>
          <w:tab w:val="left" w:pos="1265"/>
        </w:tabs>
        <w:spacing w:line="269" w:lineRule="exact"/>
        <w:ind w:firstLine="196" w:firstLineChars="98"/>
        <w:jc w:val="both"/>
        <w:rPr>
          <w:sz w:val="21"/>
        </w:rPr>
      </w:pPr>
      <w:r>
        <w:rPr>
          <w:rFonts w:hint="eastAsia"/>
          <w:spacing w:val="-5"/>
          <w:sz w:val="21"/>
        </w:rPr>
        <w:t xml:space="preserve">10.2.8 </w:t>
      </w:r>
      <w:r>
        <w:rPr>
          <w:spacing w:val="-5"/>
          <w:sz w:val="21"/>
        </w:rPr>
        <w:t>承包人应对其履行合同所雇佣的全部人员，包括分包人人员的工伤事故承担责任，但由于发包</w:t>
      </w:r>
    </w:p>
    <w:p>
      <w:pPr>
        <w:spacing w:line="269" w:lineRule="exact"/>
        <w:jc w:val="both"/>
        <w:rPr>
          <w:sz w:val="21"/>
        </w:rPr>
        <w:sectPr>
          <w:pgSz w:w="11910" w:h="16840"/>
          <w:pgMar w:top="1460" w:right="580" w:bottom="1220" w:left="920" w:header="0" w:footer="950" w:gutter="0"/>
          <w:cols w:space="720" w:num="1"/>
        </w:sectPr>
      </w:pPr>
    </w:p>
    <w:p>
      <w:pPr>
        <w:pStyle w:val="10"/>
        <w:spacing w:before="59"/>
        <w:ind w:left="212"/>
      </w:pPr>
      <w:r>
        <w:t>人原因造成承包人人员工伤事故的，应由发包人承担责任。</w:t>
      </w:r>
    </w:p>
    <w:p>
      <w:pPr>
        <w:pStyle w:val="10"/>
        <w:spacing w:before="7"/>
        <w:rPr>
          <w:sz w:val="15"/>
        </w:rPr>
      </w:pPr>
    </w:p>
    <w:p>
      <w:pPr>
        <w:tabs>
          <w:tab w:val="left" w:pos="1265"/>
        </w:tabs>
        <w:spacing w:line="417" w:lineRule="auto"/>
        <w:ind w:right="546" w:firstLine="202" w:firstLineChars="100"/>
        <w:rPr>
          <w:sz w:val="21"/>
        </w:rPr>
      </w:pPr>
      <w:r>
        <w:rPr>
          <w:rFonts w:hint="eastAsia"/>
          <w:spacing w:val="-4"/>
          <w:sz w:val="21"/>
        </w:rPr>
        <w:t xml:space="preserve">10.2.9 </w:t>
      </w:r>
      <w:r>
        <w:rPr>
          <w:spacing w:val="-4"/>
          <w:sz w:val="21"/>
        </w:rPr>
        <w:t>由于承包人原因在施工场地内及其毗邻地带造成的第三者人员伤亡和财产损失，由承包人负责赔偿。</w:t>
      </w:r>
    </w:p>
    <w:p>
      <w:pPr>
        <w:pStyle w:val="10"/>
        <w:rPr>
          <w:sz w:val="23"/>
        </w:rPr>
      </w:pPr>
    </w:p>
    <w:p>
      <w:pPr>
        <w:rPr>
          <w:rFonts w:ascii="Times New Roman" w:eastAsia="Times New Roman"/>
        </w:rPr>
      </w:pPr>
      <w:bookmarkStart w:id="217" w:name="_bookmark157"/>
      <w:bookmarkEnd w:id="217"/>
      <w:r>
        <w:rPr>
          <w:rFonts w:hint="eastAsia"/>
          <w:spacing w:val="-1"/>
        </w:rPr>
        <w:t>１０．３</w:t>
      </w:r>
      <w:r>
        <w:rPr>
          <w:spacing w:val="-1"/>
        </w:rPr>
        <w:t>治安保卫</w:t>
      </w:r>
    </w:p>
    <w:p>
      <w:pPr>
        <w:pStyle w:val="10"/>
        <w:spacing w:before="2"/>
        <w:rPr>
          <w:rFonts w:ascii="黑体"/>
          <w:sz w:val="38"/>
        </w:rPr>
      </w:pPr>
    </w:p>
    <w:p>
      <w:pPr>
        <w:tabs>
          <w:tab w:val="left" w:pos="1265"/>
        </w:tabs>
        <w:spacing w:line="417" w:lineRule="auto"/>
        <w:ind w:right="546" w:firstLine="198" w:firstLineChars="100"/>
        <w:jc w:val="both"/>
        <w:rPr>
          <w:sz w:val="21"/>
        </w:rPr>
      </w:pPr>
      <w:r>
        <w:rPr>
          <w:rFonts w:hint="eastAsia"/>
          <w:spacing w:val="-6"/>
          <w:sz w:val="21"/>
        </w:rPr>
        <w:t xml:space="preserve">10.3.1 </w:t>
      </w:r>
      <w:r>
        <w:rPr>
          <w:spacing w:val="-6"/>
          <w:sz w:val="21"/>
        </w:rPr>
        <w:t>除合同另有约定外，承包人应与当地公安部门协商，在现场建立治安管理机构或联防组织，统</w:t>
      </w:r>
      <w:r>
        <w:rPr>
          <w:spacing w:val="-4"/>
          <w:sz w:val="21"/>
        </w:rPr>
        <w:t>一管理施工场地的治安保卫事项，履行合同工程的治安保卫职责。</w:t>
      </w:r>
    </w:p>
    <w:p>
      <w:pPr>
        <w:tabs>
          <w:tab w:val="left" w:pos="1265"/>
        </w:tabs>
        <w:spacing w:line="417" w:lineRule="auto"/>
        <w:ind w:right="546" w:firstLine="202" w:firstLineChars="100"/>
        <w:jc w:val="both"/>
        <w:rPr>
          <w:sz w:val="21"/>
        </w:rPr>
      </w:pPr>
      <w:r>
        <w:rPr>
          <w:rFonts w:hint="eastAsia"/>
          <w:spacing w:val="-4"/>
          <w:sz w:val="21"/>
        </w:rPr>
        <w:t xml:space="preserve">10.3.2 </w:t>
      </w:r>
      <w:r>
        <w:rPr>
          <w:spacing w:val="-4"/>
          <w:sz w:val="21"/>
        </w:rPr>
        <w:t>发包人和承包人除应协助现场治安管理机构或联防组织维护施工场地的社会治安外，还应做好</w:t>
      </w:r>
      <w:r>
        <w:rPr>
          <w:spacing w:val="-3"/>
          <w:sz w:val="21"/>
        </w:rPr>
        <w:t>包括生活区在内的各自管辖区的治安保卫工作。</w:t>
      </w:r>
    </w:p>
    <w:p>
      <w:pPr>
        <w:tabs>
          <w:tab w:val="left" w:pos="1265"/>
        </w:tabs>
        <w:spacing w:line="417" w:lineRule="auto"/>
        <w:ind w:right="546" w:firstLine="198" w:firstLineChars="100"/>
        <w:jc w:val="both"/>
        <w:rPr>
          <w:sz w:val="21"/>
        </w:rPr>
      </w:pPr>
      <w:r>
        <w:rPr>
          <w:rFonts w:hint="eastAsia"/>
          <w:spacing w:val="-6"/>
          <w:sz w:val="21"/>
        </w:rPr>
        <w:t xml:space="preserve">10.3.3 </w:t>
      </w:r>
      <w:r>
        <w:rPr>
          <w:spacing w:val="-6"/>
          <w:sz w:val="21"/>
        </w:rPr>
        <w:t>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w:t>
      </w:r>
      <w:r>
        <w:rPr>
          <w:spacing w:val="-4"/>
          <w:sz w:val="21"/>
        </w:rPr>
        <w:t>人应积极协助当地有关部门采取措施平息事态，防止事态扩大，尽量减少财产损失和避免人员伤亡。</w:t>
      </w:r>
    </w:p>
    <w:p>
      <w:pPr>
        <w:pStyle w:val="10"/>
        <w:spacing w:before="12"/>
        <w:rPr>
          <w:sz w:val="22"/>
        </w:rPr>
      </w:pPr>
    </w:p>
    <w:p>
      <w:pPr>
        <w:rPr>
          <w:rFonts w:ascii="Times New Roman" w:eastAsia="Times New Roman"/>
        </w:rPr>
      </w:pPr>
      <w:bookmarkStart w:id="218" w:name="_bookmark158"/>
      <w:bookmarkEnd w:id="218"/>
      <w:r>
        <w:rPr>
          <w:rFonts w:hint="eastAsia"/>
          <w:spacing w:val="-1"/>
        </w:rPr>
        <w:t>１０．４</w:t>
      </w:r>
      <w:r>
        <w:rPr>
          <w:spacing w:val="-1"/>
        </w:rPr>
        <w:t>环境保护</w:t>
      </w:r>
    </w:p>
    <w:p>
      <w:pPr>
        <w:pStyle w:val="10"/>
        <w:spacing w:before="5"/>
        <w:rPr>
          <w:rFonts w:ascii="黑体"/>
          <w:sz w:val="38"/>
        </w:rPr>
      </w:pPr>
    </w:p>
    <w:p>
      <w:pPr>
        <w:tabs>
          <w:tab w:val="left" w:pos="1265"/>
        </w:tabs>
        <w:spacing w:line="417" w:lineRule="auto"/>
        <w:ind w:right="546" w:firstLine="198" w:firstLineChars="100"/>
        <w:rPr>
          <w:sz w:val="21"/>
        </w:rPr>
      </w:pPr>
      <w:r>
        <w:rPr>
          <w:rFonts w:hint="eastAsia"/>
          <w:spacing w:val="-6"/>
          <w:sz w:val="21"/>
        </w:rPr>
        <w:t xml:space="preserve">10.4.1 </w:t>
      </w:r>
      <w:r>
        <w:rPr>
          <w:spacing w:val="-6"/>
          <w:sz w:val="21"/>
        </w:rPr>
        <w:t>承包人在履行合同过程中，应遵守有关环境保护的法律，履行合同约定的环境保护义务，并对</w:t>
      </w:r>
      <w:r>
        <w:rPr>
          <w:spacing w:val="-4"/>
          <w:sz w:val="21"/>
        </w:rPr>
        <w:t>违反法律和合同约定义务所造成的环境破坏、人身伤害和财产损失负责。</w:t>
      </w:r>
    </w:p>
    <w:p>
      <w:pPr>
        <w:pStyle w:val="35"/>
        <w:numPr>
          <w:ilvl w:val="2"/>
          <w:numId w:val="33"/>
        </w:numPr>
        <w:tabs>
          <w:tab w:val="left" w:pos="1265"/>
        </w:tabs>
        <w:rPr>
          <w:sz w:val="21"/>
        </w:rPr>
      </w:pPr>
      <w:r>
        <w:rPr>
          <w:spacing w:val="-3"/>
          <w:sz w:val="21"/>
        </w:rPr>
        <w:t>承包人应按合同约定的环保工作内容，编制环保措施计划，报送监理人批准。</w:t>
      </w:r>
    </w:p>
    <w:p>
      <w:pPr>
        <w:pStyle w:val="10"/>
        <w:spacing w:before="6"/>
        <w:rPr>
          <w:sz w:val="15"/>
        </w:rPr>
      </w:pPr>
    </w:p>
    <w:p>
      <w:pPr>
        <w:tabs>
          <w:tab w:val="left" w:pos="1265"/>
        </w:tabs>
        <w:spacing w:before="1" w:line="417" w:lineRule="auto"/>
        <w:ind w:right="546" w:firstLine="198" w:firstLineChars="100"/>
        <w:rPr>
          <w:sz w:val="21"/>
        </w:rPr>
      </w:pPr>
      <w:r>
        <w:rPr>
          <w:rFonts w:hint="eastAsia"/>
          <w:spacing w:val="-6"/>
          <w:sz w:val="21"/>
        </w:rPr>
        <w:t xml:space="preserve">10.4.3 </w:t>
      </w:r>
      <w:r>
        <w:rPr>
          <w:spacing w:val="-6"/>
          <w:sz w:val="21"/>
        </w:rPr>
        <w:t>承包人应确保施工过程中产生的气体排放物、粉尘、噪声、地面排水及排污等，符合法律规定</w:t>
      </w:r>
      <w:r>
        <w:rPr>
          <w:spacing w:val="-4"/>
          <w:sz w:val="21"/>
        </w:rPr>
        <w:t>和发包人要求。</w:t>
      </w:r>
    </w:p>
    <w:p>
      <w:pPr>
        <w:pStyle w:val="10"/>
        <w:spacing w:before="12"/>
        <w:rPr>
          <w:sz w:val="22"/>
        </w:rPr>
      </w:pPr>
    </w:p>
    <w:p>
      <w:pPr>
        <w:rPr>
          <w:rFonts w:ascii="Times New Roman" w:eastAsia="Times New Roman"/>
        </w:rPr>
      </w:pPr>
      <w:bookmarkStart w:id="219" w:name="_bookmark159"/>
      <w:bookmarkEnd w:id="219"/>
      <w:r>
        <w:rPr>
          <w:rFonts w:hint="eastAsia"/>
          <w:spacing w:val="-1"/>
        </w:rPr>
        <w:t>１０．５</w:t>
      </w:r>
      <w:r>
        <w:rPr>
          <w:spacing w:val="-1"/>
        </w:rPr>
        <w:t>事故处理</w:t>
      </w:r>
    </w:p>
    <w:p>
      <w:pPr>
        <w:pStyle w:val="10"/>
        <w:spacing w:before="4"/>
        <w:rPr>
          <w:rFonts w:ascii="黑体"/>
          <w:sz w:val="38"/>
        </w:rPr>
      </w:pPr>
    </w:p>
    <w:p>
      <w:pPr>
        <w:pStyle w:val="10"/>
        <w:spacing w:before="1" w:line="417" w:lineRule="auto"/>
        <w:ind w:left="212" w:right="441" w:firstLine="420"/>
      </w:pPr>
      <w:r>
        <w:rPr>
          <w:spacing w:val="-6"/>
        </w:rPr>
        <w:t>合同履行过程中发生事故的，承包人应立即通知监理人，监理人应立即通知发包人。发包人和承包人</w:t>
      </w:r>
      <w:r>
        <w:rPr>
          <w:spacing w:val="-10"/>
        </w:rPr>
        <w:t>应立即组织人员和设备进行紧急抢救和抢修，减少人员伤亡和财产损失，防止事故扩大，并保护事故现场。</w:t>
      </w:r>
      <w:r>
        <w:rPr>
          <w:spacing w:val="-5"/>
        </w:rPr>
        <w:t xml:space="preserve">需要移动现场物品时，应作出标记和书面记录，妥善保管有关证据。发包人和承包人应按国家有关规定， </w:t>
      </w:r>
      <w:r>
        <w:rPr>
          <w:spacing w:val="-4"/>
        </w:rPr>
        <w:t>及时如实地向有关部门报告事故发生的情况，以及正在采取的紧急措施等。</w:t>
      </w:r>
    </w:p>
    <w:p>
      <w:pPr>
        <w:spacing w:line="417" w:lineRule="auto"/>
        <w:sectPr>
          <w:pgSz w:w="11910" w:h="16840"/>
          <w:pgMar w:top="1440" w:right="580" w:bottom="1220" w:left="920" w:header="0" w:footer="950" w:gutter="0"/>
          <w:cols w:space="720" w:num="1"/>
        </w:sectPr>
      </w:pPr>
    </w:p>
    <w:p>
      <w:pPr>
        <w:pStyle w:val="4"/>
      </w:pPr>
      <w:bookmarkStart w:id="220" w:name="_bookmark160"/>
      <w:bookmarkEnd w:id="220"/>
      <w:bookmarkStart w:id="221" w:name="_Toc37926063"/>
      <w:r>
        <w:rPr>
          <w:rFonts w:hint="eastAsia"/>
        </w:rPr>
        <w:t>11　</w:t>
      </w:r>
      <w:r>
        <w:t>开始工作和竣工</w:t>
      </w:r>
      <w:bookmarkEnd w:id="221"/>
    </w:p>
    <w:p>
      <w:pPr>
        <w:pStyle w:val="10"/>
        <w:spacing w:before="5"/>
        <w:rPr>
          <w:rFonts w:ascii="黑体"/>
          <w:b/>
          <w:sz w:val="39"/>
        </w:rPr>
      </w:pPr>
    </w:p>
    <w:p>
      <w:pPr>
        <w:rPr>
          <w:rFonts w:ascii="Times New Roman" w:eastAsia="Times New Roman"/>
        </w:rPr>
      </w:pPr>
      <w:bookmarkStart w:id="222" w:name="_bookmark161"/>
      <w:bookmarkEnd w:id="222"/>
      <w:r>
        <w:rPr>
          <w:rFonts w:hint="eastAsia"/>
        </w:rPr>
        <w:t xml:space="preserve">11.1 </w:t>
      </w:r>
      <w:r>
        <w:t>开始工作</w:t>
      </w:r>
    </w:p>
    <w:p>
      <w:pPr>
        <w:pStyle w:val="10"/>
        <w:spacing w:before="2"/>
        <w:rPr>
          <w:rFonts w:ascii="黑体"/>
          <w:sz w:val="38"/>
        </w:rPr>
      </w:pPr>
    </w:p>
    <w:p>
      <w:pPr>
        <w:pStyle w:val="10"/>
        <w:spacing w:line="417" w:lineRule="auto"/>
        <w:ind w:left="212" w:right="546" w:firstLine="420"/>
        <w:jc w:val="both"/>
      </w:pPr>
      <w:r>
        <w:rPr>
          <w:spacing w:val="-6"/>
        </w:rPr>
        <w:t xml:space="preserve">符合专用合同条款约定的开始工作的条件的，监理人应提前 </w:t>
      </w:r>
      <w:r>
        <w:t>7</w:t>
      </w:r>
      <w:r>
        <w:rPr>
          <w:spacing w:val="-8"/>
        </w:rPr>
        <w:t xml:space="preserve"> 天向承包人发出开始工作通知。监理人</w:t>
      </w:r>
      <w:r>
        <w:rPr>
          <w:spacing w:val="-7"/>
        </w:rPr>
        <w:t>在发出开始工作通知前应获得发包人同意。工期自开始工作通知中载明的开始工作日期起计算。除专用合</w:t>
      </w:r>
      <w:r>
        <w:rPr>
          <w:spacing w:val="-5"/>
        </w:rPr>
        <w:t xml:space="preserve">同条款另有约定外，因发包人原因造成监理人未能在合同签订之日起 </w:t>
      </w:r>
      <w:r>
        <w:t>90</w:t>
      </w:r>
      <w:r>
        <w:rPr>
          <w:spacing w:val="-3"/>
        </w:rPr>
        <w:t xml:space="preserve"> 天内发出开始工作通知的，</w:t>
      </w:r>
      <w:r>
        <w:rPr>
          <w:spacing w:val="-3"/>
          <w:highlight w:val="yellow"/>
        </w:rPr>
        <w:t>承包</w:t>
      </w:r>
      <w:r>
        <w:rPr>
          <w:spacing w:val="-5"/>
          <w:highlight w:val="yellow"/>
        </w:rPr>
        <w:t>人有权提出</w:t>
      </w:r>
      <w:r>
        <w:rPr>
          <w:rFonts w:hint="eastAsia"/>
          <w:spacing w:val="-5"/>
          <w:highlight w:val="yellow"/>
        </w:rPr>
        <w:t>工期顺延</w:t>
      </w:r>
      <w:r>
        <w:rPr>
          <w:spacing w:val="-5"/>
          <w:highlight w:val="yellow"/>
        </w:rPr>
        <w:t>要求</w:t>
      </w:r>
      <w:r>
        <w:rPr>
          <w:spacing w:val="-5"/>
        </w:rPr>
        <w:t>。发包人应当承担由此增加的费用和</w:t>
      </w:r>
      <w:r>
        <w:t>（</w:t>
      </w:r>
      <w:r>
        <w:rPr>
          <w:spacing w:val="-3"/>
        </w:rPr>
        <w:t>或</w:t>
      </w:r>
      <w:r>
        <w:rPr>
          <w:spacing w:val="-5"/>
        </w:rPr>
        <w:t>）</w:t>
      </w:r>
      <w:r>
        <w:rPr>
          <w:spacing w:val="-4"/>
        </w:rPr>
        <w:t>工期延误</w:t>
      </w:r>
      <w:r>
        <w:rPr>
          <w:spacing w:val="-3"/>
        </w:rPr>
        <w:t>。</w:t>
      </w:r>
    </w:p>
    <w:p>
      <w:pPr>
        <w:pStyle w:val="10"/>
        <w:spacing w:before="12"/>
        <w:rPr>
          <w:sz w:val="22"/>
        </w:rPr>
      </w:pPr>
    </w:p>
    <w:p>
      <w:pPr>
        <w:rPr>
          <w:rFonts w:ascii="Times New Roman" w:eastAsia="Times New Roman"/>
        </w:rPr>
      </w:pPr>
      <w:bookmarkStart w:id="223" w:name="_bookmark162"/>
      <w:bookmarkEnd w:id="223"/>
      <w:r>
        <w:rPr>
          <w:rFonts w:hint="eastAsia"/>
        </w:rPr>
        <w:t xml:space="preserve">11.2 </w:t>
      </w:r>
      <w:r>
        <w:t>竣工</w:t>
      </w:r>
    </w:p>
    <w:p>
      <w:pPr>
        <w:pStyle w:val="10"/>
        <w:spacing w:before="5"/>
        <w:rPr>
          <w:rFonts w:ascii="黑体"/>
          <w:sz w:val="38"/>
        </w:rPr>
      </w:pPr>
    </w:p>
    <w:p>
      <w:pPr>
        <w:pStyle w:val="10"/>
        <w:spacing w:line="417" w:lineRule="auto"/>
        <w:ind w:left="212" w:right="546" w:firstLine="420"/>
        <w:jc w:val="both"/>
      </w:pPr>
      <w:r>
        <w:rPr>
          <w:spacing w:val="-7"/>
        </w:rPr>
        <w:t xml:space="preserve">承包人应在第 </w:t>
      </w:r>
      <w:r>
        <w:rPr>
          <w:rFonts w:ascii="Times New Roman" w:eastAsia="Times New Roman"/>
        </w:rPr>
        <w:t xml:space="preserve">1.1.4.3 </w:t>
      </w:r>
      <w:r>
        <w:rPr>
          <w:spacing w:val="-5"/>
        </w:rPr>
        <w:t xml:space="preserve">目约定的期限内完成合同工作。实际竣工日期按第 </w:t>
      </w:r>
      <w:r>
        <w:rPr>
          <w:rFonts w:ascii="Times New Roman" w:eastAsia="Times New Roman"/>
        </w:rPr>
        <w:t xml:space="preserve">18.3 </w:t>
      </w:r>
      <w:r>
        <w:rPr>
          <w:spacing w:val="-3"/>
        </w:rPr>
        <w:t>款约定确定，并在工程接收证书中载明。</w:t>
      </w:r>
    </w:p>
    <w:p>
      <w:pPr>
        <w:pStyle w:val="10"/>
        <w:spacing w:before="12"/>
        <w:rPr>
          <w:sz w:val="22"/>
        </w:rPr>
      </w:pPr>
    </w:p>
    <w:p>
      <w:pPr>
        <w:rPr>
          <w:rFonts w:ascii="Times New Roman" w:eastAsia="Times New Roman"/>
        </w:rPr>
      </w:pPr>
      <w:bookmarkStart w:id="224" w:name="_bookmark163"/>
      <w:bookmarkEnd w:id="224"/>
      <w:r>
        <w:rPr>
          <w:rFonts w:hint="eastAsia"/>
          <w:spacing w:val="-2"/>
        </w:rPr>
        <w:t xml:space="preserve">11.3 </w:t>
      </w:r>
      <w:r>
        <w:rPr>
          <w:spacing w:val="-2"/>
        </w:rPr>
        <w:t>发包人引起的工期延误</w:t>
      </w:r>
    </w:p>
    <w:p>
      <w:pPr>
        <w:pStyle w:val="10"/>
        <w:spacing w:before="5"/>
        <w:rPr>
          <w:rFonts w:ascii="黑体"/>
          <w:sz w:val="38"/>
        </w:rPr>
      </w:pPr>
    </w:p>
    <w:p>
      <w:pPr>
        <w:pStyle w:val="10"/>
        <w:spacing w:line="417" w:lineRule="auto"/>
        <w:ind w:left="212" w:right="441" w:firstLine="420"/>
      </w:pPr>
      <w:r>
        <w:rPr>
          <w:spacing w:val="-11"/>
        </w:rPr>
        <w:t>在履行合同过程中，由于发包人的下列原因造成工期延误的，</w:t>
      </w:r>
      <w:r>
        <w:rPr>
          <w:spacing w:val="-11"/>
          <w:highlight w:val="yellow"/>
        </w:rPr>
        <w:t>承包人有权要求发包人延长工期和</w:t>
      </w:r>
      <w:r>
        <w:rPr>
          <w:highlight w:val="yellow"/>
        </w:rPr>
        <w:t xml:space="preserve">（或） </w:t>
      </w:r>
      <w:r>
        <w:rPr>
          <w:spacing w:val="-5"/>
          <w:highlight w:val="yellow"/>
        </w:rPr>
        <w:t>增加费用</w:t>
      </w:r>
      <w:r>
        <w:rPr>
          <w:spacing w:val="-5"/>
        </w:rPr>
        <w:t xml:space="preserve">。需要修订合同进度计划的，按照第 </w:t>
      </w:r>
      <w:r>
        <w:rPr>
          <w:rFonts w:ascii="Times New Roman" w:eastAsia="Times New Roman"/>
        </w:rPr>
        <w:t xml:space="preserve">4.12.2 </w:t>
      </w:r>
      <w:r>
        <w:rPr>
          <w:spacing w:val="-3"/>
        </w:rPr>
        <w:t>项的约定执行。</w:t>
      </w:r>
    </w:p>
    <w:p>
      <w:pPr>
        <w:pStyle w:val="10"/>
        <w:ind w:left="633"/>
      </w:pPr>
      <w:r>
        <w:t>（</w:t>
      </w:r>
      <w:r>
        <w:rPr>
          <w:rFonts w:ascii="Times New Roman" w:eastAsia="Times New Roman"/>
        </w:rPr>
        <w:t>l</w:t>
      </w:r>
      <w:r>
        <w:t>）变更；</w:t>
      </w:r>
    </w:p>
    <w:p>
      <w:pPr>
        <w:pStyle w:val="10"/>
        <w:spacing w:before="6"/>
        <w:rPr>
          <w:sz w:val="15"/>
        </w:rPr>
      </w:pPr>
    </w:p>
    <w:p>
      <w:pPr>
        <w:pStyle w:val="35"/>
        <w:numPr>
          <w:ilvl w:val="0"/>
          <w:numId w:val="34"/>
        </w:numPr>
        <w:tabs>
          <w:tab w:val="left" w:pos="1163"/>
        </w:tabs>
        <w:spacing w:before="1"/>
        <w:ind w:hanging="530"/>
        <w:rPr>
          <w:sz w:val="21"/>
        </w:rPr>
      </w:pPr>
      <w:r>
        <w:rPr>
          <w:spacing w:val="-3"/>
          <w:sz w:val="21"/>
        </w:rPr>
        <w:t>未能按照合同要求的期限对承包人文件进行审查；</w:t>
      </w:r>
    </w:p>
    <w:p>
      <w:pPr>
        <w:pStyle w:val="10"/>
        <w:spacing w:before="6"/>
        <w:rPr>
          <w:sz w:val="15"/>
        </w:rPr>
      </w:pPr>
    </w:p>
    <w:p>
      <w:pPr>
        <w:pStyle w:val="35"/>
        <w:numPr>
          <w:ilvl w:val="0"/>
          <w:numId w:val="34"/>
        </w:numPr>
        <w:tabs>
          <w:tab w:val="left" w:pos="1163"/>
        </w:tabs>
        <w:ind w:hanging="530"/>
        <w:rPr>
          <w:sz w:val="21"/>
        </w:rPr>
      </w:pPr>
      <w:r>
        <w:rPr>
          <w:spacing w:val="-3"/>
          <w:sz w:val="21"/>
        </w:rPr>
        <w:t>因发包人原因导致的暂停施工；</w:t>
      </w:r>
    </w:p>
    <w:p>
      <w:pPr>
        <w:pStyle w:val="10"/>
        <w:spacing w:before="7"/>
        <w:rPr>
          <w:sz w:val="15"/>
        </w:rPr>
      </w:pPr>
    </w:p>
    <w:p>
      <w:pPr>
        <w:pStyle w:val="10"/>
        <w:ind w:left="633"/>
      </w:pPr>
      <w:r>
        <w:t>（</w:t>
      </w:r>
      <w:r>
        <w:rPr>
          <w:rFonts w:ascii="Times New Roman" w:eastAsia="Times New Roman"/>
        </w:rPr>
        <w:t>4)</w:t>
      </w:r>
      <w:r>
        <w:rPr>
          <w:rFonts w:ascii="Times New Roman" w:eastAsia="Times New Roman"/>
          <w:spacing w:val="51"/>
        </w:rPr>
        <w:t xml:space="preserve"> </w:t>
      </w:r>
      <w:r>
        <w:rPr>
          <w:spacing w:val="-3"/>
        </w:rPr>
        <w:t>未按合同约定及时支付预付款、进度款；</w:t>
      </w:r>
    </w:p>
    <w:p>
      <w:pPr>
        <w:pStyle w:val="10"/>
        <w:spacing w:before="7"/>
        <w:rPr>
          <w:sz w:val="15"/>
        </w:rPr>
      </w:pPr>
    </w:p>
    <w:p>
      <w:pPr>
        <w:pStyle w:val="10"/>
        <w:ind w:left="633"/>
      </w:pPr>
      <w:r>
        <w:t>（</w:t>
      </w:r>
      <w:r>
        <w:rPr>
          <w:rFonts w:ascii="Times New Roman" w:eastAsia="Times New Roman"/>
        </w:rPr>
        <w:t>5)</w:t>
      </w:r>
      <w:r>
        <w:rPr>
          <w:rFonts w:ascii="Times New Roman" w:eastAsia="Times New Roman"/>
          <w:spacing w:val="51"/>
        </w:rPr>
        <w:t xml:space="preserve"> </w:t>
      </w:r>
      <w:r>
        <w:rPr>
          <w:spacing w:val="-12"/>
        </w:rPr>
        <w:t xml:space="preserve">发包人按第 </w:t>
      </w:r>
      <w:r>
        <w:rPr>
          <w:rFonts w:ascii="Times New Roman" w:eastAsia="Times New Roman"/>
        </w:rPr>
        <w:t xml:space="preserve">9.3 </w:t>
      </w:r>
      <w:r>
        <w:rPr>
          <w:spacing w:val="-3"/>
        </w:rPr>
        <w:t>款提供的基准资料错误；</w:t>
      </w:r>
    </w:p>
    <w:p>
      <w:pPr>
        <w:pStyle w:val="10"/>
        <w:spacing w:before="6"/>
        <w:rPr>
          <w:sz w:val="15"/>
        </w:rPr>
      </w:pPr>
    </w:p>
    <w:p>
      <w:pPr>
        <w:pStyle w:val="35"/>
        <w:numPr>
          <w:ilvl w:val="0"/>
          <w:numId w:val="35"/>
        </w:numPr>
        <w:tabs>
          <w:tab w:val="left" w:pos="1163"/>
        </w:tabs>
        <w:spacing w:before="1"/>
        <w:ind w:hanging="530"/>
        <w:rPr>
          <w:sz w:val="21"/>
        </w:rPr>
      </w:pPr>
      <w:r>
        <w:rPr>
          <w:spacing w:val="-3"/>
          <w:sz w:val="21"/>
        </w:rPr>
        <w:t>发包人未及时按照“发包人要求”履行相关义务；</w:t>
      </w:r>
    </w:p>
    <w:p>
      <w:pPr>
        <w:pStyle w:val="10"/>
        <w:spacing w:before="6"/>
        <w:rPr>
          <w:sz w:val="15"/>
        </w:rPr>
      </w:pPr>
    </w:p>
    <w:p>
      <w:pPr>
        <w:pStyle w:val="35"/>
        <w:numPr>
          <w:ilvl w:val="0"/>
          <w:numId w:val="35"/>
        </w:numPr>
        <w:tabs>
          <w:tab w:val="left" w:pos="1163"/>
        </w:tabs>
        <w:ind w:hanging="530"/>
        <w:rPr>
          <w:sz w:val="21"/>
        </w:rPr>
      </w:pPr>
      <w:r>
        <w:rPr>
          <w:spacing w:val="-3"/>
          <w:sz w:val="21"/>
        </w:rPr>
        <w:t>发包人造成工期延误的其他原因。</w:t>
      </w:r>
    </w:p>
    <w:p>
      <w:pPr>
        <w:pStyle w:val="10"/>
        <w:rPr>
          <w:sz w:val="22"/>
        </w:rPr>
      </w:pPr>
    </w:p>
    <w:p>
      <w:pPr>
        <w:pStyle w:val="10"/>
        <w:spacing w:before="6"/>
        <w:rPr>
          <w:sz w:val="16"/>
        </w:rPr>
      </w:pPr>
    </w:p>
    <w:p>
      <w:pPr>
        <w:rPr>
          <w:rFonts w:ascii="Times New Roman" w:eastAsia="Times New Roman"/>
        </w:rPr>
      </w:pPr>
      <w:bookmarkStart w:id="225" w:name="_bookmark164"/>
      <w:bookmarkEnd w:id="225"/>
      <w:r>
        <w:rPr>
          <w:rFonts w:hint="eastAsia"/>
          <w:spacing w:val="-2"/>
        </w:rPr>
        <w:t xml:space="preserve">11.4 </w:t>
      </w:r>
      <w:r>
        <w:rPr>
          <w:spacing w:val="-2"/>
        </w:rPr>
        <w:t>异常恶劣的气候条件</w:t>
      </w:r>
    </w:p>
    <w:p>
      <w:pPr>
        <w:pStyle w:val="10"/>
        <w:spacing w:before="1"/>
        <w:rPr>
          <w:rFonts w:ascii="黑体"/>
          <w:sz w:val="38"/>
        </w:rPr>
      </w:pPr>
    </w:p>
    <w:p>
      <w:pPr>
        <w:pStyle w:val="10"/>
        <w:spacing w:line="417" w:lineRule="auto"/>
        <w:ind w:left="212" w:right="523" w:firstLine="420"/>
      </w:pPr>
      <w:r>
        <w:t>由于出现专用合同条款规定的异常恶劣气候的条件导致工期延误的，承包人有权要求发包人延长工期。</w:t>
      </w:r>
    </w:p>
    <w:p>
      <w:pPr>
        <w:spacing w:line="417" w:lineRule="auto"/>
        <w:sectPr>
          <w:pgSz w:w="11910" w:h="16840"/>
          <w:pgMar w:top="1460" w:right="580" w:bottom="1220" w:left="920" w:header="0" w:footer="950" w:gutter="0"/>
          <w:cols w:space="720" w:num="1"/>
        </w:sectPr>
      </w:pPr>
    </w:p>
    <w:p>
      <w:pPr>
        <w:rPr>
          <w:rFonts w:ascii="Times New Roman" w:eastAsia="Times New Roman"/>
        </w:rPr>
      </w:pPr>
      <w:bookmarkStart w:id="226" w:name="_bookmark165"/>
      <w:bookmarkEnd w:id="226"/>
      <w:r>
        <w:rPr>
          <w:rFonts w:hint="eastAsia"/>
          <w:spacing w:val="-2"/>
        </w:rPr>
        <w:t xml:space="preserve">11.5 </w:t>
      </w:r>
      <w:r>
        <w:rPr>
          <w:spacing w:val="-2"/>
        </w:rPr>
        <w:t>承包人引起的工期延误</w:t>
      </w:r>
    </w:p>
    <w:p>
      <w:pPr>
        <w:pStyle w:val="10"/>
        <w:spacing w:before="4"/>
        <w:rPr>
          <w:rFonts w:ascii="黑体"/>
          <w:sz w:val="38"/>
        </w:rPr>
      </w:pPr>
    </w:p>
    <w:p>
      <w:pPr>
        <w:pStyle w:val="10"/>
        <w:spacing w:line="417" w:lineRule="auto"/>
        <w:ind w:left="212" w:right="546" w:firstLine="420"/>
        <w:jc w:val="both"/>
      </w:pPr>
      <w:r>
        <w:rPr>
          <w:spacing w:val="-6"/>
        </w:rPr>
        <w:t>由于承包人原因，未能按合同进度计划完成工作，或监理人认为承包人工作进度不能满足合同工期要</w:t>
      </w:r>
      <w:r>
        <w:rPr>
          <w:spacing w:val="-7"/>
        </w:rPr>
        <w:t>求的，承包人应采取措施加快进度，并承担加快进度所增加的费用。由于承包人原因造成工期延误，承包人应支付逾期竣工违约金。逾期竣工违约金的计算方法和最高限额在专用合同条款中约定。承包人支付逾</w:t>
      </w:r>
      <w:r>
        <w:rPr>
          <w:spacing w:val="-5"/>
        </w:rPr>
        <w:t>期竣工违约金，不免除承包人完成工作及修补缺陷的义务。</w:t>
      </w:r>
    </w:p>
    <w:p>
      <w:pPr>
        <w:pStyle w:val="10"/>
        <w:rPr>
          <w:sz w:val="23"/>
        </w:rPr>
      </w:pPr>
    </w:p>
    <w:p>
      <w:pPr>
        <w:rPr>
          <w:rFonts w:ascii="Times New Roman" w:eastAsia="Times New Roman"/>
        </w:rPr>
      </w:pPr>
      <w:bookmarkStart w:id="227" w:name="_bookmark166"/>
      <w:bookmarkEnd w:id="227"/>
      <w:r>
        <w:rPr>
          <w:rFonts w:hint="eastAsia"/>
        </w:rPr>
        <w:t xml:space="preserve">11.6 </w:t>
      </w:r>
      <w:r>
        <w:t>工期提前</w:t>
      </w:r>
    </w:p>
    <w:p>
      <w:pPr>
        <w:pStyle w:val="10"/>
        <w:spacing w:before="4"/>
        <w:rPr>
          <w:rFonts w:ascii="黑体"/>
          <w:sz w:val="38"/>
        </w:rPr>
      </w:pPr>
    </w:p>
    <w:p>
      <w:pPr>
        <w:pStyle w:val="10"/>
        <w:spacing w:line="417" w:lineRule="auto"/>
        <w:ind w:left="212" w:right="546" w:firstLine="420"/>
        <w:jc w:val="both"/>
      </w:pPr>
      <w:r>
        <w:rPr>
          <w:spacing w:val="-5"/>
        </w:rPr>
        <w:t>发包人要求承包人提前竣工，或承包人提出提前竣工的建议能够给发包人带来效益的，应由监理人与</w:t>
      </w:r>
      <w:r>
        <w:rPr>
          <w:spacing w:val="-6"/>
        </w:rPr>
        <w:t>承包人共同协商采取加快工程进度的措施和修订合同进度计划。发包人应承担承包人由此增加的费用，并</w:t>
      </w:r>
      <w:r>
        <w:rPr>
          <w:spacing w:val="-4"/>
        </w:rPr>
        <w:t>向承包人支付专用合同条款约定的相应奖金。</w:t>
      </w:r>
    </w:p>
    <w:p>
      <w:pPr>
        <w:pStyle w:val="10"/>
        <w:rPr>
          <w:sz w:val="23"/>
        </w:rPr>
      </w:pPr>
    </w:p>
    <w:p>
      <w:pPr>
        <w:rPr>
          <w:rFonts w:ascii="Times New Roman" w:eastAsia="Times New Roman"/>
        </w:rPr>
      </w:pPr>
      <w:bookmarkStart w:id="228" w:name="_bookmark167"/>
      <w:bookmarkEnd w:id="228"/>
      <w:r>
        <w:rPr>
          <w:rFonts w:hint="eastAsia"/>
          <w:spacing w:val="-1"/>
        </w:rPr>
        <w:t xml:space="preserve">11.7 </w:t>
      </w:r>
      <w:r>
        <w:rPr>
          <w:spacing w:val="-1"/>
        </w:rPr>
        <w:t>行政审批迟延</w:t>
      </w:r>
    </w:p>
    <w:p>
      <w:pPr>
        <w:pStyle w:val="10"/>
        <w:spacing w:before="2"/>
        <w:rPr>
          <w:rFonts w:ascii="黑体"/>
          <w:sz w:val="38"/>
        </w:rPr>
      </w:pPr>
    </w:p>
    <w:p>
      <w:pPr>
        <w:pStyle w:val="10"/>
        <w:spacing w:line="417" w:lineRule="auto"/>
        <w:ind w:left="212" w:right="527" w:firstLine="420"/>
      </w:pPr>
      <w:r>
        <w:t>合同约定范围内的工作需国家有关部门审批的，发包人和（或）承包人应按照合同约定的职责分工完成行政审批报送。因国家有关部门审批迟延造成费用增加和（或）工期延误的，由发包人承担。</w:t>
      </w:r>
    </w:p>
    <w:p>
      <w:pPr>
        <w:pStyle w:val="10"/>
        <w:spacing w:before="11"/>
        <w:rPr>
          <w:sz w:val="20"/>
        </w:rPr>
      </w:pPr>
    </w:p>
    <w:p>
      <w:pPr>
        <w:pStyle w:val="4"/>
      </w:pPr>
      <w:bookmarkStart w:id="229" w:name="_bookmark168"/>
      <w:bookmarkEnd w:id="229"/>
      <w:bookmarkStart w:id="230" w:name="_Toc37926064"/>
      <w:r>
        <w:rPr>
          <w:rFonts w:hint="eastAsia"/>
        </w:rPr>
        <w:t xml:space="preserve">12 </w:t>
      </w:r>
      <w:r>
        <w:t>暂停工作</w:t>
      </w:r>
      <w:bookmarkEnd w:id="230"/>
    </w:p>
    <w:p>
      <w:pPr>
        <w:pStyle w:val="10"/>
        <w:spacing w:before="4"/>
        <w:rPr>
          <w:rFonts w:ascii="黑体"/>
          <w:b/>
          <w:sz w:val="39"/>
        </w:rPr>
      </w:pPr>
    </w:p>
    <w:p>
      <w:pPr>
        <w:rPr>
          <w:rFonts w:ascii="Times New Roman" w:eastAsia="Times New Roman"/>
        </w:rPr>
      </w:pPr>
      <w:bookmarkStart w:id="231" w:name="_bookmark169"/>
      <w:bookmarkEnd w:id="231"/>
      <w:r>
        <w:rPr>
          <w:rFonts w:hint="eastAsia"/>
          <w:spacing w:val="-1"/>
        </w:rPr>
        <w:t>12.1</w:t>
      </w:r>
      <w:r>
        <w:rPr>
          <w:spacing w:val="-1"/>
        </w:rPr>
        <w:t>由发包人暂停工作</w:t>
      </w:r>
    </w:p>
    <w:p>
      <w:pPr>
        <w:pStyle w:val="10"/>
        <w:spacing w:before="2"/>
        <w:rPr>
          <w:rFonts w:ascii="黑体"/>
          <w:sz w:val="38"/>
        </w:rPr>
      </w:pPr>
    </w:p>
    <w:p>
      <w:pPr>
        <w:tabs>
          <w:tab w:val="left" w:pos="1265"/>
        </w:tabs>
        <w:spacing w:line="417" w:lineRule="auto"/>
        <w:ind w:right="546" w:firstLine="198" w:firstLineChars="100"/>
        <w:jc w:val="both"/>
        <w:rPr>
          <w:sz w:val="21"/>
        </w:rPr>
      </w:pPr>
      <w:r>
        <w:rPr>
          <w:rFonts w:hint="eastAsia"/>
          <w:spacing w:val="-6"/>
          <w:sz w:val="21"/>
        </w:rPr>
        <w:t xml:space="preserve">12.1.1 </w:t>
      </w:r>
      <w:r>
        <w:rPr>
          <w:spacing w:val="-6"/>
          <w:sz w:val="21"/>
        </w:rPr>
        <w:t>发包人认为必要时，可通过监理人向承包人发出暂停工作的指示，承包人应按监理人指示暂停工作。由于发包人原因引起的暂停工作造成工期延误的，</w:t>
      </w:r>
      <w:r>
        <w:rPr>
          <w:spacing w:val="-6"/>
          <w:sz w:val="21"/>
          <w:highlight w:val="yellow"/>
        </w:rPr>
        <w:t>承包人有权要求发包人延长工期和</w:t>
      </w:r>
      <w:r>
        <w:rPr>
          <w:spacing w:val="-3"/>
          <w:sz w:val="21"/>
          <w:highlight w:val="yellow"/>
        </w:rPr>
        <w:t>（或</w:t>
      </w:r>
      <w:r>
        <w:rPr>
          <w:spacing w:val="-5"/>
          <w:sz w:val="21"/>
          <w:highlight w:val="yellow"/>
        </w:rPr>
        <w:t>）</w:t>
      </w:r>
      <w:r>
        <w:rPr>
          <w:spacing w:val="-2"/>
          <w:sz w:val="21"/>
          <w:highlight w:val="yellow"/>
        </w:rPr>
        <w:t>增加费</w:t>
      </w:r>
      <w:r>
        <w:rPr>
          <w:spacing w:val="-3"/>
          <w:sz w:val="21"/>
          <w:highlight w:val="yellow"/>
        </w:rPr>
        <w:t>用。</w:t>
      </w:r>
    </w:p>
    <w:p>
      <w:pPr>
        <w:pStyle w:val="35"/>
        <w:numPr>
          <w:ilvl w:val="2"/>
          <w:numId w:val="36"/>
        </w:numPr>
        <w:tabs>
          <w:tab w:val="left" w:pos="1265"/>
        </w:tabs>
        <w:spacing w:line="417" w:lineRule="auto"/>
        <w:ind w:right="546"/>
        <w:jc w:val="both"/>
        <w:rPr>
          <w:sz w:val="21"/>
        </w:rPr>
      </w:pPr>
      <w:r>
        <w:rPr>
          <w:spacing w:val="-5"/>
          <w:sz w:val="21"/>
        </w:rPr>
        <w:t>由于承包人下列原因造成发包人暂停工作的，由此造成费用的增加和</w:t>
      </w:r>
      <w:r>
        <w:rPr>
          <w:sz w:val="21"/>
        </w:rPr>
        <w:t>（</w:t>
      </w:r>
      <w:r>
        <w:rPr>
          <w:spacing w:val="-3"/>
          <w:sz w:val="21"/>
        </w:rPr>
        <w:t>或</w:t>
      </w:r>
      <w:r>
        <w:rPr>
          <w:spacing w:val="-8"/>
          <w:sz w:val="21"/>
        </w:rPr>
        <w:t>）</w:t>
      </w:r>
      <w:r>
        <w:rPr>
          <w:spacing w:val="-3"/>
          <w:sz w:val="21"/>
        </w:rPr>
        <w:t>工期延误由承包人承担：</w:t>
      </w:r>
    </w:p>
    <w:p>
      <w:pPr>
        <w:pStyle w:val="35"/>
        <w:numPr>
          <w:ilvl w:val="0"/>
          <w:numId w:val="37"/>
        </w:numPr>
        <w:tabs>
          <w:tab w:val="left" w:pos="1163"/>
        </w:tabs>
        <w:ind w:hanging="530"/>
        <w:rPr>
          <w:sz w:val="21"/>
        </w:rPr>
      </w:pPr>
      <w:r>
        <w:rPr>
          <w:spacing w:val="-3"/>
          <w:sz w:val="21"/>
        </w:rPr>
        <w:t>承包人违约；</w:t>
      </w:r>
    </w:p>
    <w:p>
      <w:pPr>
        <w:pStyle w:val="10"/>
        <w:spacing w:before="6"/>
        <w:rPr>
          <w:sz w:val="15"/>
        </w:rPr>
      </w:pPr>
    </w:p>
    <w:p>
      <w:pPr>
        <w:pStyle w:val="35"/>
        <w:numPr>
          <w:ilvl w:val="0"/>
          <w:numId w:val="37"/>
        </w:numPr>
        <w:tabs>
          <w:tab w:val="left" w:pos="1163"/>
        </w:tabs>
        <w:ind w:hanging="530"/>
        <w:rPr>
          <w:sz w:val="21"/>
        </w:rPr>
      </w:pPr>
      <w:r>
        <w:rPr>
          <w:spacing w:val="-3"/>
          <w:sz w:val="21"/>
        </w:rPr>
        <w:t>承包人擅自暂停工作；</w:t>
      </w:r>
    </w:p>
    <w:p>
      <w:pPr>
        <w:pStyle w:val="10"/>
        <w:spacing w:before="7"/>
        <w:rPr>
          <w:sz w:val="15"/>
        </w:rPr>
      </w:pPr>
    </w:p>
    <w:p>
      <w:pPr>
        <w:pStyle w:val="35"/>
        <w:numPr>
          <w:ilvl w:val="0"/>
          <w:numId w:val="37"/>
        </w:numPr>
        <w:tabs>
          <w:tab w:val="left" w:pos="1163"/>
        </w:tabs>
        <w:ind w:hanging="530"/>
        <w:rPr>
          <w:sz w:val="21"/>
        </w:rPr>
      </w:pPr>
      <w:r>
        <w:rPr>
          <w:spacing w:val="-3"/>
          <w:sz w:val="21"/>
        </w:rPr>
        <w:t>合同约定由承包人承担责任的其他暂停工作。</w:t>
      </w:r>
    </w:p>
    <w:p>
      <w:pPr>
        <w:rPr>
          <w:sz w:val="21"/>
        </w:rPr>
        <w:sectPr>
          <w:pgSz w:w="11910" w:h="16840"/>
          <w:pgMar w:top="1480" w:right="580" w:bottom="1220" w:left="920" w:header="0" w:footer="950" w:gutter="0"/>
          <w:cols w:space="720" w:num="1"/>
        </w:sectPr>
      </w:pPr>
    </w:p>
    <w:p>
      <w:pPr>
        <w:rPr>
          <w:rFonts w:ascii="Times New Roman" w:eastAsia="Times New Roman"/>
        </w:rPr>
      </w:pPr>
      <w:bookmarkStart w:id="232" w:name="_bookmark170"/>
      <w:bookmarkEnd w:id="232"/>
      <w:r>
        <w:rPr>
          <w:rFonts w:hint="eastAsia"/>
          <w:spacing w:val="-1"/>
        </w:rPr>
        <w:t>12.2</w:t>
      </w:r>
      <w:r>
        <w:rPr>
          <w:spacing w:val="-1"/>
        </w:rPr>
        <w:t>由承包人暂停工作</w:t>
      </w:r>
    </w:p>
    <w:p>
      <w:pPr>
        <w:pStyle w:val="10"/>
        <w:spacing w:before="4"/>
        <w:rPr>
          <w:rFonts w:ascii="黑体"/>
          <w:sz w:val="38"/>
        </w:rPr>
      </w:pPr>
    </w:p>
    <w:p>
      <w:pPr>
        <w:tabs>
          <w:tab w:val="left" w:pos="1265"/>
        </w:tabs>
        <w:spacing w:line="417" w:lineRule="auto"/>
        <w:ind w:right="440" w:firstLine="196" w:firstLineChars="98"/>
        <w:rPr>
          <w:sz w:val="21"/>
        </w:rPr>
      </w:pPr>
      <w:r>
        <w:rPr>
          <w:rFonts w:hint="eastAsia"/>
          <w:spacing w:val="-5"/>
          <w:sz w:val="21"/>
        </w:rPr>
        <w:t xml:space="preserve">12.2.1 </w:t>
      </w:r>
      <w:r>
        <w:rPr>
          <w:spacing w:val="-5"/>
          <w:sz w:val="21"/>
        </w:rPr>
        <w:t>合同履行过程中发生下列情形之一的，承包人可向发包人发出通知，要求发包人采取有效措施</w:t>
      </w:r>
      <w:r>
        <w:rPr>
          <w:spacing w:val="-8"/>
          <w:sz w:val="21"/>
        </w:rPr>
        <w:t xml:space="preserve">予以纠正。发包人收到承包人通知后的 </w:t>
      </w:r>
      <w:r>
        <w:rPr>
          <w:sz w:val="21"/>
        </w:rPr>
        <w:t>28</w:t>
      </w:r>
      <w:r>
        <w:rPr>
          <w:spacing w:val="-9"/>
          <w:sz w:val="21"/>
        </w:rPr>
        <w:t xml:space="preserve"> 天内仍不履行合同义务，承包人有权暂停施工，并通知监理人， </w:t>
      </w:r>
      <w:r>
        <w:rPr>
          <w:spacing w:val="-5"/>
          <w:sz w:val="21"/>
        </w:rPr>
        <w:t>发包人应</w:t>
      </w:r>
      <w:r>
        <w:rPr>
          <w:spacing w:val="-5"/>
          <w:sz w:val="21"/>
          <w:highlight w:val="yellow"/>
        </w:rPr>
        <w:t>承担由此增加的费用和</w:t>
      </w:r>
      <w:r>
        <w:rPr>
          <w:sz w:val="21"/>
          <w:highlight w:val="yellow"/>
        </w:rPr>
        <w:t>（</w:t>
      </w:r>
      <w:r>
        <w:rPr>
          <w:spacing w:val="-3"/>
          <w:sz w:val="21"/>
          <w:highlight w:val="yellow"/>
        </w:rPr>
        <w:t>或</w:t>
      </w:r>
      <w:r>
        <w:rPr>
          <w:sz w:val="21"/>
          <w:highlight w:val="yellow"/>
        </w:rPr>
        <w:t>）</w:t>
      </w:r>
      <w:r>
        <w:rPr>
          <w:spacing w:val="-3"/>
          <w:sz w:val="21"/>
          <w:highlight w:val="yellow"/>
        </w:rPr>
        <w:t>工期延误责任</w:t>
      </w:r>
      <w:r>
        <w:rPr>
          <w:spacing w:val="-3"/>
          <w:sz w:val="21"/>
        </w:rPr>
        <w:t>。</w:t>
      </w:r>
    </w:p>
    <w:p>
      <w:pPr>
        <w:pStyle w:val="35"/>
        <w:numPr>
          <w:ilvl w:val="0"/>
          <w:numId w:val="38"/>
        </w:numPr>
        <w:tabs>
          <w:tab w:val="left" w:pos="1163"/>
        </w:tabs>
        <w:spacing w:line="269" w:lineRule="exact"/>
        <w:ind w:hanging="530"/>
        <w:rPr>
          <w:sz w:val="21"/>
        </w:rPr>
      </w:pPr>
      <w:r>
        <w:rPr>
          <w:spacing w:val="-3"/>
          <w:sz w:val="21"/>
        </w:rPr>
        <w:t>发包人未能按合同约定支付价款，或拖延、拒绝批准付款申请和支付证书，导致付款延误的；</w:t>
      </w:r>
    </w:p>
    <w:p>
      <w:pPr>
        <w:pStyle w:val="10"/>
        <w:spacing w:before="7"/>
        <w:rPr>
          <w:sz w:val="15"/>
        </w:rPr>
      </w:pPr>
    </w:p>
    <w:p>
      <w:pPr>
        <w:pStyle w:val="35"/>
        <w:numPr>
          <w:ilvl w:val="0"/>
          <w:numId w:val="38"/>
        </w:numPr>
        <w:tabs>
          <w:tab w:val="left" w:pos="1163"/>
        </w:tabs>
        <w:ind w:hanging="530"/>
        <w:rPr>
          <w:sz w:val="21"/>
        </w:rPr>
      </w:pPr>
      <w:r>
        <w:rPr>
          <w:spacing w:val="-3"/>
          <w:sz w:val="21"/>
        </w:rPr>
        <w:t>监理人无正当理由没有在约定期限内发出复工指示，导致承包人无法复工的；</w:t>
      </w:r>
    </w:p>
    <w:p>
      <w:pPr>
        <w:pStyle w:val="10"/>
        <w:spacing w:before="7"/>
        <w:rPr>
          <w:sz w:val="15"/>
        </w:rPr>
      </w:pPr>
    </w:p>
    <w:p>
      <w:pPr>
        <w:pStyle w:val="35"/>
        <w:numPr>
          <w:ilvl w:val="0"/>
          <w:numId w:val="38"/>
        </w:numPr>
        <w:tabs>
          <w:tab w:val="left" w:pos="1163"/>
        </w:tabs>
        <w:ind w:hanging="530"/>
        <w:rPr>
          <w:sz w:val="21"/>
        </w:rPr>
      </w:pPr>
      <w:r>
        <w:rPr>
          <w:spacing w:val="-3"/>
          <w:sz w:val="21"/>
        </w:rPr>
        <w:t>发包人无法继续履行或明确表示不履行或实质上已停止履行合同的；</w:t>
      </w:r>
    </w:p>
    <w:p>
      <w:pPr>
        <w:pStyle w:val="10"/>
        <w:spacing w:before="6"/>
        <w:rPr>
          <w:sz w:val="15"/>
        </w:rPr>
      </w:pPr>
    </w:p>
    <w:p>
      <w:pPr>
        <w:pStyle w:val="35"/>
        <w:numPr>
          <w:ilvl w:val="0"/>
          <w:numId w:val="38"/>
        </w:numPr>
        <w:tabs>
          <w:tab w:val="left" w:pos="1163"/>
        </w:tabs>
        <w:spacing w:before="1"/>
        <w:ind w:hanging="530"/>
        <w:rPr>
          <w:sz w:val="21"/>
        </w:rPr>
      </w:pPr>
      <w:r>
        <w:rPr>
          <w:spacing w:val="-3"/>
          <w:sz w:val="21"/>
        </w:rPr>
        <w:t>发包人不履行合同约定其他义务的。</w:t>
      </w:r>
    </w:p>
    <w:p>
      <w:pPr>
        <w:pStyle w:val="10"/>
        <w:spacing w:before="7"/>
        <w:rPr>
          <w:sz w:val="15"/>
        </w:rPr>
      </w:pPr>
    </w:p>
    <w:p>
      <w:pPr>
        <w:tabs>
          <w:tab w:val="left" w:pos="1265"/>
        </w:tabs>
        <w:spacing w:line="417" w:lineRule="auto"/>
        <w:ind w:right="546" w:firstLine="196" w:firstLineChars="98"/>
        <w:jc w:val="both"/>
        <w:rPr>
          <w:sz w:val="21"/>
        </w:rPr>
      </w:pPr>
      <w:r>
        <w:rPr>
          <w:rFonts w:hint="eastAsia"/>
          <w:spacing w:val="-5"/>
          <w:sz w:val="21"/>
        </w:rPr>
        <w:t xml:space="preserve">12.2.2 </w:t>
      </w:r>
      <w:r>
        <w:rPr>
          <w:spacing w:val="-5"/>
          <w:sz w:val="21"/>
        </w:rPr>
        <w:t>由于发包人的原因发生暂停施工的紧急情况，且监理人未及时下达暂停工作指示的，承包人可</w:t>
      </w:r>
      <w:r>
        <w:rPr>
          <w:spacing w:val="-4"/>
          <w:sz w:val="21"/>
        </w:rPr>
        <w:t xml:space="preserve">先暂停施工，并及时向监理人提出暂停工作的书面请求。监理人应在收到书面请求后的 </w:t>
      </w:r>
      <w:r>
        <w:rPr>
          <w:sz w:val="21"/>
        </w:rPr>
        <w:t>24 小时内予以答</w:t>
      </w:r>
      <w:r>
        <w:rPr>
          <w:spacing w:val="-3"/>
          <w:sz w:val="21"/>
        </w:rPr>
        <w:t>复，逾期未答复的，视为同意承包人的暂停工作请求。</w:t>
      </w:r>
    </w:p>
    <w:p>
      <w:pPr>
        <w:pStyle w:val="10"/>
        <w:spacing w:before="12"/>
        <w:rPr>
          <w:sz w:val="22"/>
        </w:rPr>
      </w:pPr>
    </w:p>
    <w:p>
      <w:pPr>
        <w:rPr>
          <w:rFonts w:ascii="Times New Roman" w:eastAsia="Times New Roman"/>
        </w:rPr>
      </w:pPr>
      <w:bookmarkStart w:id="233" w:name="_bookmark171"/>
      <w:bookmarkEnd w:id="233"/>
      <w:r>
        <w:rPr>
          <w:rFonts w:hint="eastAsia"/>
          <w:spacing w:val="-2"/>
        </w:rPr>
        <w:t>12.3</w:t>
      </w:r>
      <w:r>
        <w:rPr>
          <w:spacing w:val="-2"/>
        </w:rPr>
        <w:t>暂停工作后的照管</w:t>
      </w:r>
    </w:p>
    <w:p>
      <w:pPr>
        <w:pStyle w:val="10"/>
        <w:spacing w:before="4"/>
        <w:rPr>
          <w:rFonts w:ascii="黑体"/>
          <w:sz w:val="38"/>
        </w:rPr>
      </w:pPr>
    </w:p>
    <w:p>
      <w:pPr>
        <w:pStyle w:val="10"/>
        <w:spacing w:before="1" w:line="417" w:lineRule="auto"/>
        <w:ind w:left="212" w:right="546" w:firstLine="420"/>
      </w:pPr>
      <w:r>
        <w:rPr>
          <w:spacing w:val="-6"/>
        </w:rPr>
        <w:t>不论由于何种原因引起暂停工作的，暂停工作期间，承包人应负责妥善保护工程并提供安全保障，由</w:t>
      </w:r>
      <w:r>
        <w:rPr>
          <w:spacing w:val="-4"/>
        </w:rPr>
        <w:t>此增加的费用由责任方承担。</w:t>
      </w:r>
    </w:p>
    <w:p>
      <w:pPr>
        <w:pStyle w:val="10"/>
        <w:rPr>
          <w:sz w:val="23"/>
        </w:rPr>
      </w:pPr>
    </w:p>
    <w:p>
      <w:pPr>
        <w:rPr>
          <w:rFonts w:ascii="Times New Roman" w:eastAsia="Times New Roman"/>
        </w:rPr>
      </w:pPr>
      <w:bookmarkStart w:id="234" w:name="_bookmark172"/>
      <w:bookmarkEnd w:id="234"/>
      <w:r>
        <w:rPr>
          <w:rFonts w:hint="eastAsia"/>
          <w:spacing w:val="-1"/>
        </w:rPr>
        <w:t>12.4</w:t>
      </w:r>
      <w:r>
        <w:rPr>
          <w:spacing w:val="-1"/>
        </w:rPr>
        <w:t>暂停工作后的复工</w:t>
      </w:r>
    </w:p>
    <w:p>
      <w:pPr>
        <w:pStyle w:val="10"/>
        <w:spacing w:before="2"/>
        <w:rPr>
          <w:rFonts w:ascii="黑体"/>
          <w:sz w:val="38"/>
        </w:rPr>
      </w:pPr>
    </w:p>
    <w:p>
      <w:pPr>
        <w:tabs>
          <w:tab w:val="left" w:pos="1243"/>
        </w:tabs>
        <w:spacing w:line="417" w:lineRule="auto"/>
        <w:ind w:right="546" w:firstLine="99" w:firstLineChars="49"/>
        <w:jc w:val="both"/>
        <w:rPr>
          <w:sz w:val="21"/>
        </w:rPr>
      </w:pPr>
      <w:r>
        <w:rPr>
          <w:rFonts w:hint="eastAsia"/>
          <w:spacing w:val="-3"/>
          <w:sz w:val="21"/>
        </w:rPr>
        <w:t xml:space="preserve">12.4.1 </w:t>
      </w:r>
      <w:r>
        <w:rPr>
          <w:spacing w:val="-3"/>
          <w:sz w:val="21"/>
        </w:rPr>
        <w:t>暂停工作后，监理人应与发包人和承包人协商，采取有效措施积极消除暂停工作的影响。当工</w:t>
      </w:r>
      <w:r>
        <w:rPr>
          <w:spacing w:val="-6"/>
          <w:sz w:val="21"/>
        </w:rPr>
        <w:t>程具备复工条件时，监理人应立即向承包人发出复工通知。承包人收到复工通知后，应在监理人指定的期</w:t>
      </w:r>
      <w:r>
        <w:rPr>
          <w:spacing w:val="-4"/>
          <w:sz w:val="21"/>
        </w:rPr>
        <w:t>限内复工。</w:t>
      </w:r>
    </w:p>
    <w:p>
      <w:pPr>
        <w:tabs>
          <w:tab w:val="left" w:pos="1243"/>
        </w:tabs>
        <w:spacing w:line="417" w:lineRule="auto"/>
        <w:ind w:right="546" w:firstLine="99" w:firstLineChars="49"/>
        <w:jc w:val="both"/>
        <w:rPr>
          <w:sz w:val="21"/>
        </w:rPr>
      </w:pPr>
      <w:r>
        <w:rPr>
          <w:rFonts w:hint="eastAsia"/>
          <w:spacing w:val="-3"/>
          <w:sz w:val="21"/>
        </w:rPr>
        <w:t xml:space="preserve">12.4.2 </w:t>
      </w:r>
      <w:r>
        <w:rPr>
          <w:spacing w:val="-3"/>
          <w:sz w:val="21"/>
        </w:rPr>
        <w:t>承包人无故拖延和拒绝复工的，由此增加的费用和工期延误由承包人承担；因发包人原因无法按时复工的</w:t>
      </w:r>
      <w:r>
        <w:rPr>
          <w:spacing w:val="-3"/>
          <w:sz w:val="21"/>
          <w:highlight w:val="yellow"/>
        </w:rPr>
        <w:t>，承包人有权要求发包人延长工期和（</w:t>
      </w:r>
      <w:r>
        <w:rPr>
          <w:sz w:val="21"/>
          <w:highlight w:val="yellow"/>
        </w:rPr>
        <w:t>或）</w:t>
      </w:r>
      <w:r>
        <w:rPr>
          <w:spacing w:val="-3"/>
          <w:sz w:val="21"/>
          <w:highlight w:val="yellow"/>
        </w:rPr>
        <w:t>增加费用</w:t>
      </w:r>
      <w:r>
        <w:rPr>
          <w:spacing w:val="-3"/>
          <w:sz w:val="21"/>
        </w:rPr>
        <w:t>。</w:t>
      </w:r>
    </w:p>
    <w:p>
      <w:pPr>
        <w:pStyle w:val="10"/>
        <w:spacing w:before="12"/>
        <w:rPr>
          <w:sz w:val="22"/>
        </w:rPr>
      </w:pPr>
    </w:p>
    <w:p>
      <w:pPr>
        <w:rPr>
          <w:rFonts w:ascii="Times New Roman" w:eastAsia="Times New Roman"/>
        </w:rPr>
      </w:pPr>
      <w:bookmarkStart w:id="235" w:name="_bookmark173"/>
      <w:bookmarkEnd w:id="235"/>
      <w:r>
        <w:rPr>
          <w:rFonts w:hint="eastAsia"/>
          <w:spacing w:val="-15"/>
        </w:rPr>
        <w:t xml:space="preserve">12.5 </w:t>
      </w:r>
      <w:r>
        <w:rPr>
          <w:spacing w:val="-15"/>
        </w:rPr>
        <w:t xml:space="preserve">暂停工作 </w:t>
      </w:r>
      <w:r>
        <w:t>56</w:t>
      </w:r>
      <w:r>
        <w:rPr>
          <w:spacing w:val="-18"/>
        </w:rPr>
        <w:t xml:space="preserve"> 天以上</w:t>
      </w:r>
    </w:p>
    <w:p>
      <w:pPr>
        <w:pStyle w:val="10"/>
        <w:spacing w:before="5"/>
        <w:rPr>
          <w:rFonts w:ascii="黑体"/>
          <w:sz w:val="38"/>
        </w:rPr>
      </w:pPr>
    </w:p>
    <w:p>
      <w:pPr>
        <w:tabs>
          <w:tab w:val="left" w:pos="1253"/>
        </w:tabs>
        <w:spacing w:line="417" w:lineRule="auto"/>
        <w:ind w:right="546" w:firstLine="99" w:firstLineChars="49"/>
        <w:jc w:val="both"/>
        <w:rPr>
          <w:sz w:val="21"/>
        </w:rPr>
      </w:pPr>
      <w:r>
        <w:rPr>
          <w:rFonts w:hint="eastAsia"/>
          <w:spacing w:val="-3"/>
          <w:sz w:val="21"/>
        </w:rPr>
        <w:t xml:space="preserve">12.5.1 </w:t>
      </w:r>
      <w:r>
        <w:rPr>
          <w:spacing w:val="-3"/>
          <w:sz w:val="21"/>
        </w:rPr>
        <w:t xml:space="preserve">监理人发出暂停工作指示后 </w:t>
      </w:r>
      <w:r>
        <w:rPr>
          <w:sz w:val="21"/>
        </w:rPr>
        <w:t>56</w:t>
      </w:r>
      <w:r>
        <w:rPr>
          <w:spacing w:val="-3"/>
          <w:sz w:val="21"/>
        </w:rPr>
        <w:t xml:space="preserve"> 天内未向承包人发出复工通知的，除该项暂停由于承包人违约造成之外，承包人可向监理人提交书面通知，要求监理人在收到书面通知后 </w:t>
      </w:r>
      <w:r>
        <w:rPr>
          <w:sz w:val="21"/>
        </w:rPr>
        <w:t>28</w:t>
      </w:r>
      <w:r>
        <w:rPr>
          <w:spacing w:val="-3"/>
          <w:sz w:val="21"/>
        </w:rPr>
        <w:t xml:space="preserve"> 天内准许已暂停工作的全部或部分继续工作。如监理人逾期不予批准，则承包人可以通知监理人，将工程受影响的部分按第 </w:t>
      </w:r>
      <w:r>
        <w:rPr>
          <w:sz w:val="21"/>
        </w:rPr>
        <w:t>15</w:t>
      </w:r>
      <w:r>
        <w:rPr>
          <w:spacing w:val="5"/>
          <w:sz w:val="21"/>
        </w:rPr>
        <w:t xml:space="preserve"> 条</w:t>
      </w:r>
    </w:p>
    <w:p>
      <w:pPr>
        <w:spacing w:line="417" w:lineRule="auto"/>
        <w:jc w:val="both"/>
        <w:rPr>
          <w:sz w:val="21"/>
        </w:rPr>
        <w:sectPr>
          <w:pgSz w:w="11910" w:h="16840"/>
          <w:pgMar w:top="1480" w:right="580" w:bottom="1220" w:left="920" w:header="0" w:footer="950" w:gutter="0"/>
          <w:cols w:space="720" w:num="1"/>
        </w:sectPr>
      </w:pPr>
    </w:p>
    <w:p>
      <w:pPr>
        <w:pStyle w:val="10"/>
        <w:spacing w:before="59" w:line="417" w:lineRule="auto"/>
        <w:ind w:left="212" w:right="548"/>
      </w:pPr>
      <w:r>
        <w:rPr>
          <w:spacing w:val="-7"/>
        </w:rPr>
        <w:t>的约定作为可取消工作的变更处理。暂停工作影响到整个工程的，视为发包人违约，</w:t>
      </w:r>
      <w:r>
        <w:rPr>
          <w:spacing w:val="-3"/>
          <w:szCs w:val="22"/>
          <w:highlight w:val="yellow"/>
        </w:rPr>
        <w:t>应按第 12.2.1 项的约定执行</w:t>
      </w:r>
      <w:r>
        <w:rPr>
          <w:spacing w:val="-3"/>
        </w:rPr>
        <w:t>。</w:t>
      </w:r>
    </w:p>
    <w:p>
      <w:pPr>
        <w:tabs>
          <w:tab w:val="left" w:pos="1253"/>
        </w:tabs>
        <w:spacing w:line="417" w:lineRule="auto"/>
        <w:ind w:left="202" w:leftChars="92" w:right="546" w:firstLine="99" w:firstLineChars="49"/>
        <w:rPr>
          <w:sz w:val="21"/>
        </w:rPr>
      </w:pPr>
      <w:r>
        <w:rPr>
          <w:rFonts w:hint="eastAsia"/>
          <w:spacing w:val="-3"/>
          <w:sz w:val="21"/>
        </w:rPr>
        <w:t xml:space="preserve">12.5.2 </w:t>
      </w:r>
      <w:r>
        <w:rPr>
          <w:spacing w:val="-3"/>
          <w:sz w:val="21"/>
        </w:rPr>
        <w:t xml:space="preserve">由于承包人原因引起暂停工作的，如承包人在收到监理人暂停工作指示后 </w:t>
      </w:r>
      <w:r>
        <w:rPr>
          <w:sz w:val="21"/>
        </w:rPr>
        <w:t>56 天内不采取有效</w:t>
      </w:r>
      <w:r>
        <w:rPr>
          <w:spacing w:val="-5"/>
          <w:sz w:val="21"/>
        </w:rPr>
        <w:t xml:space="preserve">的复工措施，造成工期延误的，视为承包人违约，应按第 </w:t>
      </w:r>
      <w:r>
        <w:rPr>
          <w:rFonts w:ascii="Times New Roman" w:eastAsia="Times New Roman"/>
          <w:sz w:val="21"/>
        </w:rPr>
        <w:t xml:space="preserve">12.1.2  </w:t>
      </w:r>
      <w:r>
        <w:rPr>
          <w:spacing w:val="-3"/>
          <w:sz w:val="21"/>
        </w:rPr>
        <w:t>项的约定执行</w:t>
      </w:r>
      <w:r>
        <w:rPr>
          <w:rFonts w:hint="eastAsia"/>
          <w:spacing w:val="-3"/>
          <w:sz w:val="21"/>
          <w:highlight w:val="yellow"/>
        </w:rPr>
        <w:t>，</w:t>
      </w:r>
      <w:r>
        <w:rPr>
          <w:spacing w:val="-3"/>
          <w:sz w:val="21"/>
          <w:highlight w:val="yellow"/>
        </w:rPr>
        <w:t>发包人并有权解除合同</w:t>
      </w:r>
      <w:r>
        <w:rPr>
          <w:spacing w:val="-3"/>
          <w:sz w:val="21"/>
        </w:rPr>
        <w:t>。</w:t>
      </w:r>
    </w:p>
    <w:p>
      <w:pPr>
        <w:pStyle w:val="10"/>
        <w:spacing w:before="10"/>
        <w:rPr>
          <w:sz w:val="20"/>
        </w:rPr>
      </w:pPr>
    </w:p>
    <w:p>
      <w:pPr>
        <w:pStyle w:val="4"/>
      </w:pPr>
      <w:bookmarkStart w:id="236" w:name="_bookmark174"/>
      <w:bookmarkEnd w:id="236"/>
      <w:bookmarkStart w:id="237" w:name="_Toc37926065"/>
      <w:r>
        <w:rPr>
          <w:rFonts w:hint="eastAsia"/>
        </w:rPr>
        <w:t>13</w:t>
      </w:r>
      <w:r>
        <w:t>工程质量</w:t>
      </w:r>
      <w:bookmarkEnd w:id="237"/>
    </w:p>
    <w:p>
      <w:pPr>
        <w:pStyle w:val="10"/>
        <w:spacing w:before="1"/>
        <w:rPr>
          <w:rFonts w:ascii="黑体"/>
          <w:b/>
          <w:sz w:val="39"/>
        </w:rPr>
      </w:pPr>
    </w:p>
    <w:p>
      <w:pPr>
        <w:rPr>
          <w:rFonts w:ascii="Times New Roman" w:eastAsia="Times New Roman"/>
        </w:rPr>
      </w:pPr>
      <w:bookmarkStart w:id="238" w:name="_bookmark175"/>
      <w:bookmarkEnd w:id="238"/>
      <w:r>
        <w:rPr>
          <w:rFonts w:hint="eastAsia"/>
          <w:spacing w:val="-1"/>
        </w:rPr>
        <w:t>13.1</w:t>
      </w:r>
      <w:r>
        <w:rPr>
          <w:spacing w:val="-1"/>
        </w:rPr>
        <w:t>工程质量要求</w:t>
      </w:r>
    </w:p>
    <w:p>
      <w:pPr>
        <w:pStyle w:val="10"/>
        <w:spacing w:before="4"/>
        <w:rPr>
          <w:rFonts w:ascii="黑体"/>
          <w:sz w:val="38"/>
        </w:rPr>
      </w:pPr>
    </w:p>
    <w:p>
      <w:pPr>
        <w:tabs>
          <w:tab w:val="left" w:pos="1265"/>
        </w:tabs>
        <w:ind w:firstLine="99" w:firstLineChars="49"/>
        <w:rPr>
          <w:rFonts w:ascii="Times New Roman" w:eastAsia="Times New Roman"/>
          <w:sz w:val="21"/>
        </w:rPr>
      </w:pPr>
      <w:r>
        <w:rPr>
          <w:rFonts w:hint="eastAsia"/>
          <w:spacing w:val="-3"/>
          <w:sz w:val="21"/>
        </w:rPr>
        <w:t xml:space="preserve">13.1.1 </w:t>
      </w:r>
      <w:r>
        <w:rPr>
          <w:spacing w:val="-3"/>
          <w:sz w:val="21"/>
        </w:rPr>
        <w:t>工程质量验收按法律规定和合同约定的验收标准执行。</w:t>
      </w:r>
    </w:p>
    <w:p>
      <w:pPr>
        <w:pStyle w:val="10"/>
        <w:spacing w:before="8"/>
        <w:rPr>
          <w:sz w:val="15"/>
        </w:rPr>
      </w:pPr>
    </w:p>
    <w:p>
      <w:pPr>
        <w:tabs>
          <w:tab w:val="left" w:pos="1265"/>
        </w:tabs>
        <w:spacing w:line="417" w:lineRule="auto"/>
        <w:ind w:right="546" w:firstLine="101" w:firstLineChars="50"/>
        <w:rPr>
          <w:rFonts w:ascii="Times New Roman" w:eastAsia="Times New Roman"/>
          <w:sz w:val="21"/>
        </w:rPr>
      </w:pPr>
      <w:r>
        <w:rPr>
          <w:rFonts w:hint="eastAsia"/>
          <w:spacing w:val="-4"/>
          <w:sz w:val="21"/>
        </w:rPr>
        <w:t xml:space="preserve">13.1.2 </w:t>
      </w:r>
      <w:r>
        <w:rPr>
          <w:spacing w:val="-4"/>
          <w:sz w:val="21"/>
        </w:rPr>
        <w:t>因承包人原因造成工程质量不符合法律的规定和合同约定的，监理人有权要求承包人返工直至</w:t>
      </w:r>
      <w:r>
        <w:rPr>
          <w:spacing w:val="-3"/>
          <w:sz w:val="21"/>
        </w:rPr>
        <w:t>符合合同要求为止，</w:t>
      </w:r>
      <w:r>
        <w:rPr>
          <w:spacing w:val="-3"/>
          <w:sz w:val="21"/>
          <w:highlight w:val="yellow"/>
        </w:rPr>
        <w:t>由此造成的费用增加和工期延误由承包人承担</w:t>
      </w:r>
      <w:r>
        <w:rPr>
          <w:spacing w:val="-3"/>
          <w:sz w:val="21"/>
        </w:rPr>
        <w:t>。</w:t>
      </w:r>
    </w:p>
    <w:p>
      <w:pPr>
        <w:tabs>
          <w:tab w:val="left" w:pos="1265"/>
        </w:tabs>
        <w:spacing w:line="417" w:lineRule="auto"/>
        <w:ind w:right="546" w:firstLine="101" w:firstLineChars="50"/>
        <w:rPr>
          <w:rFonts w:ascii="Times New Roman" w:eastAsia="Times New Roman"/>
          <w:sz w:val="21"/>
        </w:rPr>
      </w:pPr>
      <w:r>
        <w:rPr>
          <w:rFonts w:hint="eastAsia"/>
          <w:spacing w:val="-4"/>
          <w:sz w:val="21"/>
        </w:rPr>
        <w:t xml:space="preserve">13.1.3 </w:t>
      </w:r>
      <w:r>
        <w:rPr>
          <w:spacing w:val="-4"/>
          <w:sz w:val="21"/>
        </w:rPr>
        <w:t>因发包人原因造成工程质量达不到合同约定验收标准的，发包人应承担由于承包人返工造成的</w:t>
      </w:r>
      <w:r>
        <w:rPr>
          <w:spacing w:val="-3"/>
          <w:sz w:val="21"/>
          <w:highlight w:val="yellow"/>
        </w:rPr>
        <w:t>费用增加和工期延误</w:t>
      </w:r>
      <w:r>
        <w:rPr>
          <w:spacing w:val="-3"/>
          <w:sz w:val="21"/>
        </w:rPr>
        <w:t>。</w:t>
      </w:r>
    </w:p>
    <w:p>
      <w:pPr>
        <w:pStyle w:val="10"/>
        <w:spacing w:before="12"/>
        <w:rPr>
          <w:sz w:val="22"/>
        </w:rPr>
      </w:pPr>
    </w:p>
    <w:p>
      <w:pPr>
        <w:rPr>
          <w:rFonts w:ascii="Times New Roman" w:eastAsia="Times New Roman"/>
        </w:rPr>
      </w:pPr>
      <w:bookmarkStart w:id="239" w:name="_bookmark176"/>
      <w:bookmarkEnd w:id="239"/>
      <w:r>
        <w:rPr>
          <w:rFonts w:hint="eastAsia"/>
          <w:spacing w:val="-2"/>
        </w:rPr>
        <w:t>13.2</w:t>
      </w:r>
      <w:r>
        <w:rPr>
          <w:spacing w:val="-2"/>
        </w:rPr>
        <w:t>承包人的质量检查</w:t>
      </w:r>
    </w:p>
    <w:p>
      <w:pPr>
        <w:pStyle w:val="10"/>
        <w:spacing w:before="2"/>
        <w:rPr>
          <w:rFonts w:ascii="黑体"/>
          <w:sz w:val="38"/>
        </w:rPr>
      </w:pPr>
    </w:p>
    <w:p>
      <w:pPr>
        <w:pStyle w:val="10"/>
        <w:spacing w:line="417" w:lineRule="auto"/>
        <w:ind w:left="212" w:right="546" w:firstLine="420"/>
      </w:pPr>
      <w:r>
        <w:rPr>
          <w:spacing w:val="-5"/>
        </w:rPr>
        <w:t>承包人应按合同约定对设计、材料、工程设备以及全部工程内容及其施工工艺进行全过程的质量检查</w:t>
      </w:r>
      <w:r>
        <w:rPr>
          <w:spacing w:val="-4"/>
        </w:rPr>
        <w:t>和检验，并作详细记录，编制工程质量报表，报送监理人审查。</w:t>
      </w:r>
    </w:p>
    <w:p>
      <w:pPr>
        <w:pStyle w:val="10"/>
        <w:rPr>
          <w:sz w:val="23"/>
        </w:rPr>
      </w:pPr>
    </w:p>
    <w:p>
      <w:pPr>
        <w:rPr>
          <w:rFonts w:ascii="Times New Roman" w:eastAsia="Times New Roman"/>
        </w:rPr>
      </w:pPr>
      <w:bookmarkStart w:id="240" w:name="_bookmark177"/>
      <w:bookmarkEnd w:id="240"/>
      <w:r>
        <w:rPr>
          <w:rFonts w:hint="eastAsia"/>
          <w:spacing w:val="-2"/>
        </w:rPr>
        <w:t>13.3</w:t>
      </w:r>
      <w:r>
        <w:rPr>
          <w:spacing w:val="-2"/>
        </w:rPr>
        <w:t>监理人的质量检查</w:t>
      </w:r>
    </w:p>
    <w:p>
      <w:pPr>
        <w:pStyle w:val="10"/>
        <w:spacing w:before="4"/>
        <w:rPr>
          <w:rFonts w:ascii="黑体"/>
          <w:sz w:val="38"/>
        </w:rPr>
      </w:pPr>
    </w:p>
    <w:p>
      <w:pPr>
        <w:pStyle w:val="10"/>
        <w:spacing w:before="1" w:line="417" w:lineRule="auto"/>
        <w:ind w:left="212" w:right="546" w:firstLine="420"/>
        <w:jc w:val="both"/>
      </w:pPr>
      <w:r>
        <w:rPr>
          <w:spacing w:val="-5"/>
        </w:rPr>
        <w:t>监理人有权对全部工程内容及其施工工艺、材料和工程设备进行检查和检验。承包人应为监理人的检</w:t>
      </w:r>
      <w:r>
        <w:rPr>
          <w:spacing w:val="-7"/>
        </w:rPr>
        <w:t>查和检验提供方便，包括监理人到施工场地，或制造、加工地点，或合同约定的其他地方进行察看和查阅</w:t>
      </w:r>
      <w:r>
        <w:rPr>
          <w:spacing w:val="-8"/>
        </w:rPr>
        <w:t>施工原始记录。承包人还应按监理人指示，进行施工场地取样试验、工程复核测量和设备性能检测，提供试验样品、提交试验报告和测量成果以及监理人要求进行的其他工作。监理人的检查和检验，不免除承包</w:t>
      </w:r>
      <w:r>
        <w:rPr>
          <w:spacing w:val="-5"/>
        </w:rPr>
        <w:t>人按合同约定应负的责任。</w:t>
      </w:r>
    </w:p>
    <w:p>
      <w:pPr>
        <w:pStyle w:val="10"/>
        <w:spacing w:before="12"/>
        <w:rPr>
          <w:sz w:val="22"/>
        </w:rPr>
      </w:pPr>
    </w:p>
    <w:p>
      <w:pPr>
        <w:rPr>
          <w:rFonts w:ascii="Times New Roman" w:eastAsia="Times New Roman"/>
        </w:rPr>
      </w:pPr>
      <w:bookmarkStart w:id="241" w:name="_bookmark178"/>
      <w:bookmarkEnd w:id="241"/>
      <w:r>
        <w:rPr>
          <w:rFonts w:hint="eastAsia"/>
          <w:spacing w:val="-3"/>
        </w:rPr>
        <w:t>13.4</w:t>
      </w:r>
      <w:r>
        <w:rPr>
          <w:spacing w:val="-3"/>
        </w:rPr>
        <w:t>工程隐蔽部位覆盖前的检查</w:t>
      </w:r>
    </w:p>
    <w:p>
      <w:pPr>
        <w:pStyle w:val="10"/>
        <w:spacing w:before="4"/>
        <w:rPr>
          <w:rFonts w:ascii="黑体"/>
          <w:sz w:val="38"/>
        </w:rPr>
      </w:pPr>
    </w:p>
    <w:p>
      <w:pPr>
        <w:tabs>
          <w:tab w:val="left" w:pos="1265"/>
        </w:tabs>
        <w:spacing w:before="1"/>
        <w:ind w:firstLine="199" w:firstLineChars="98"/>
        <w:rPr>
          <w:sz w:val="21"/>
        </w:rPr>
      </w:pPr>
      <w:r>
        <w:rPr>
          <w:rFonts w:hint="eastAsia"/>
          <w:spacing w:val="-3"/>
          <w:sz w:val="21"/>
        </w:rPr>
        <w:t xml:space="preserve">13.4.1 </w:t>
      </w:r>
      <w:r>
        <w:rPr>
          <w:spacing w:val="-3"/>
          <w:sz w:val="21"/>
        </w:rPr>
        <w:t>通知监理人检查</w:t>
      </w:r>
    </w:p>
    <w:p>
      <w:pPr>
        <w:pStyle w:val="10"/>
        <w:spacing w:before="6"/>
        <w:rPr>
          <w:sz w:val="15"/>
        </w:rPr>
      </w:pPr>
    </w:p>
    <w:p>
      <w:pPr>
        <w:pStyle w:val="10"/>
        <w:ind w:left="633"/>
      </w:pPr>
      <w:r>
        <w:t>经承包人自检确认的工程隐蔽部位具备覆盖条件后，承包人应通知监理人在约定的期限内检查。承包</w:t>
      </w:r>
    </w:p>
    <w:p>
      <w:pPr>
        <w:sectPr>
          <w:pgSz w:w="11910" w:h="16840"/>
          <w:pgMar w:top="1440" w:right="580" w:bottom="1220" w:left="920" w:header="0" w:footer="950" w:gutter="0"/>
          <w:cols w:space="720" w:num="1"/>
        </w:sectPr>
      </w:pPr>
    </w:p>
    <w:p>
      <w:pPr>
        <w:pStyle w:val="10"/>
        <w:spacing w:before="59" w:line="417" w:lineRule="auto"/>
        <w:ind w:left="212" w:right="546"/>
        <w:jc w:val="both"/>
      </w:pPr>
      <w:r>
        <w:rPr>
          <w:spacing w:val="-5"/>
        </w:rPr>
        <w:t>人的通知应附有自检记录和必要的检查资料。监理人应按时到场检查。经监理人检查确认质量符合隐蔽要</w:t>
      </w:r>
      <w:r>
        <w:rPr>
          <w:spacing w:val="-6"/>
        </w:rPr>
        <w:t>求，并在检查记录上签字后，承包人才能进行覆盖。监理人检查确认质量不合格的，承包人应在监理人指</w:t>
      </w:r>
      <w:r>
        <w:rPr>
          <w:spacing w:val="-4"/>
        </w:rPr>
        <w:t>示的时间内修整返工后，由监理人重新检查。</w:t>
      </w:r>
    </w:p>
    <w:p>
      <w:pPr>
        <w:tabs>
          <w:tab w:val="left" w:pos="1265"/>
        </w:tabs>
        <w:ind w:firstLine="199" w:firstLineChars="98"/>
        <w:jc w:val="both"/>
        <w:rPr>
          <w:sz w:val="21"/>
        </w:rPr>
      </w:pPr>
      <w:r>
        <w:rPr>
          <w:rFonts w:hint="eastAsia"/>
          <w:spacing w:val="-3"/>
          <w:sz w:val="21"/>
        </w:rPr>
        <w:t xml:space="preserve">13.4.2 </w:t>
      </w:r>
      <w:r>
        <w:rPr>
          <w:spacing w:val="-3"/>
          <w:sz w:val="21"/>
        </w:rPr>
        <w:t>监理人未到场检查</w:t>
      </w:r>
    </w:p>
    <w:p>
      <w:pPr>
        <w:pStyle w:val="10"/>
        <w:spacing w:before="7"/>
        <w:rPr>
          <w:sz w:val="15"/>
        </w:rPr>
      </w:pPr>
    </w:p>
    <w:p>
      <w:pPr>
        <w:pStyle w:val="10"/>
        <w:spacing w:line="417" w:lineRule="auto"/>
        <w:ind w:left="212" w:right="517" w:firstLine="420"/>
        <w:jc w:val="both"/>
      </w:pPr>
      <w:r>
        <w:rPr>
          <w:spacing w:val="-8"/>
        </w:rPr>
        <w:t xml:space="preserve">监理人未按第 </w:t>
      </w:r>
      <w:r>
        <w:rPr>
          <w:rFonts w:ascii="Times New Roman" w:eastAsia="Times New Roman"/>
        </w:rPr>
        <w:t xml:space="preserve">13.4.l </w:t>
      </w:r>
      <w:r>
        <w:rPr>
          <w:spacing w:val="-3"/>
        </w:rPr>
        <w:t xml:space="preserve">项约定的时间进行检查的，除监理人另有指示外，承包人可自行完成覆盖工作， </w:t>
      </w:r>
      <w:r>
        <w:rPr>
          <w:spacing w:val="-8"/>
        </w:rPr>
        <w:t xml:space="preserve">并作相应记录报送监理人，监理人应签字确认。监理人事后对检查记录有疑问的，可按第 </w:t>
      </w:r>
      <w:r>
        <w:rPr>
          <w:rFonts w:ascii="Times New Roman" w:eastAsia="Times New Roman"/>
        </w:rPr>
        <w:t xml:space="preserve">13.4.3 </w:t>
      </w:r>
      <w:r>
        <w:rPr>
          <w:spacing w:val="-2"/>
        </w:rPr>
        <w:t>项的约定</w:t>
      </w:r>
      <w:r>
        <w:rPr>
          <w:spacing w:val="-3"/>
        </w:rPr>
        <w:t>重新检查。</w:t>
      </w:r>
    </w:p>
    <w:p>
      <w:pPr>
        <w:tabs>
          <w:tab w:val="left" w:pos="1265"/>
        </w:tabs>
        <w:spacing w:line="269" w:lineRule="exact"/>
        <w:ind w:firstLine="199" w:firstLineChars="98"/>
        <w:jc w:val="both"/>
        <w:rPr>
          <w:sz w:val="21"/>
        </w:rPr>
      </w:pPr>
      <w:r>
        <w:rPr>
          <w:rFonts w:hint="eastAsia"/>
          <w:spacing w:val="-3"/>
          <w:sz w:val="21"/>
        </w:rPr>
        <w:t xml:space="preserve">13.4.3 </w:t>
      </w:r>
      <w:r>
        <w:rPr>
          <w:spacing w:val="-3"/>
          <w:sz w:val="21"/>
        </w:rPr>
        <w:t>监理人重新检查</w:t>
      </w:r>
    </w:p>
    <w:p>
      <w:pPr>
        <w:pStyle w:val="10"/>
        <w:spacing w:before="7"/>
        <w:rPr>
          <w:sz w:val="15"/>
        </w:rPr>
      </w:pPr>
    </w:p>
    <w:p>
      <w:pPr>
        <w:pStyle w:val="10"/>
        <w:spacing w:line="417" w:lineRule="auto"/>
        <w:ind w:left="212" w:right="443" w:firstLine="420"/>
      </w:pPr>
      <w:r>
        <w:rPr>
          <w:spacing w:val="-2"/>
        </w:rPr>
        <w:t xml:space="preserve">承包人按第 </w:t>
      </w:r>
      <w:r>
        <w:rPr>
          <w:rFonts w:ascii="Times New Roman" w:eastAsia="Times New Roman"/>
        </w:rPr>
        <w:t xml:space="preserve">13.4.1 </w:t>
      </w:r>
      <w:r>
        <w:rPr>
          <w:spacing w:val="-3"/>
        </w:rPr>
        <w:t xml:space="preserve">项或第 </w:t>
      </w:r>
      <w:r>
        <w:rPr>
          <w:rFonts w:ascii="Times New Roman" w:eastAsia="Times New Roman"/>
        </w:rPr>
        <w:t>13.4.2</w:t>
      </w:r>
      <w:r>
        <w:rPr>
          <w:rFonts w:ascii="Times New Roman" w:eastAsia="Times New Roman"/>
          <w:spacing w:val="4"/>
        </w:rPr>
        <w:t xml:space="preserve">  </w:t>
      </w:r>
      <w:r>
        <w:rPr>
          <w:spacing w:val="-3"/>
        </w:rPr>
        <w:t>项覆盖工程隐蔽部位后，监理人对质量有疑问的，可要求承包人对</w:t>
      </w:r>
      <w:r>
        <w:rPr>
          <w:spacing w:val="-6"/>
        </w:rPr>
        <w:t>已覆盖的部位进行钻孔探测或揭开重新检验，承包人应遵照执行，并在检验后重新覆盖恢复原状。经检验</w:t>
      </w:r>
      <w:r>
        <w:rPr>
          <w:spacing w:val="-7"/>
        </w:rPr>
        <w:t>证明工程质量符合合同要求的，</w:t>
      </w:r>
      <w:r>
        <w:rPr>
          <w:spacing w:val="-7"/>
          <w:highlight w:val="yellow"/>
        </w:rPr>
        <w:t>由发包人承担由此增加的费用和</w:t>
      </w:r>
      <w:r>
        <w:rPr>
          <w:rFonts w:hint="eastAsia"/>
          <w:spacing w:val="-7"/>
          <w:highlight w:val="yellow"/>
        </w:rPr>
        <w:t>(或)</w:t>
      </w:r>
      <w:r>
        <w:rPr>
          <w:spacing w:val="-7"/>
          <w:highlight w:val="yellow"/>
        </w:rPr>
        <w:t>工期延误</w:t>
      </w:r>
      <w:r>
        <w:rPr>
          <w:spacing w:val="-7"/>
        </w:rPr>
        <w:t xml:space="preserve">； </w:t>
      </w:r>
      <w:r>
        <w:rPr>
          <w:spacing w:val="-5"/>
        </w:rPr>
        <w:t>经检验证明工程质量不符合合同要求的，由此增加的费用和</w:t>
      </w:r>
      <w:r>
        <w:rPr>
          <w:rFonts w:hint="eastAsia"/>
          <w:spacing w:val="-7"/>
        </w:rPr>
        <w:t>(或)</w:t>
      </w:r>
      <w:r>
        <w:rPr>
          <w:spacing w:val="-3"/>
        </w:rPr>
        <w:t>工期延误由承包人承担。</w:t>
      </w:r>
    </w:p>
    <w:p>
      <w:pPr>
        <w:tabs>
          <w:tab w:val="left" w:pos="1265"/>
        </w:tabs>
        <w:ind w:firstLine="199" w:firstLineChars="98"/>
        <w:rPr>
          <w:sz w:val="21"/>
        </w:rPr>
      </w:pPr>
      <w:r>
        <w:rPr>
          <w:rFonts w:hint="eastAsia"/>
          <w:spacing w:val="-3"/>
          <w:sz w:val="21"/>
        </w:rPr>
        <w:t xml:space="preserve">13.4.4 </w:t>
      </w:r>
      <w:r>
        <w:rPr>
          <w:spacing w:val="-3"/>
          <w:sz w:val="21"/>
        </w:rPr>
        <w:t>承包人私自覆盖</w:t>
      </w:r>
    </w:p>
    <w:p>
      <w:pPr>
        <w:pStyle w:val="10"/>
        <w:spacing w:before="6"/>
        <w:rPr>
          <w:sz w:val="15"/>
        </w:rPr>
      </w:pPr>
    </w:p>
    <w:p>
      <w:pPr>
        <w:pStyle w:val="10"/>
        <w:spacing w:line="417" w:lineRule="auto"/>
        <w:ind w:left="212" w:right="546" w:firstLine="420"/>
      </w:pPr>
      <w:r>
        <w:rPr>
          <w:spacing w:val="-5"/>
        </w:rPr>
        <w:t>承包人未通知监理人到场检查，私自将工程隐蔽部位覆盖的，监理人有权指示承包人钻孔探测或揭开</w:t>
      </w:r>
      <w:r>
        <w:rPr>
          <w:spacing w:val="-4"/>
        </w:rPr>
        <w:t>检查，由此增加的费用和</w:t>
      </w:r>
      <w:r>
        <w:t>（或</w:t>
      </w:r>
      <w:r>
        <w:rPr>
          <w:spacing w:val="-3"/>
        </w:rPr>
        <w:t>）工期延误由承包人承担。</w:t>
      </w:r>
    </w:p>
    <w:p>
      <w:pPr>
        <w:pStyle w:val="10"/>
        <w:rPr>
          <w:sz w:val="23"/>
        </w:rPr>
      </w:pPr>
    </w:p>
    <w:p>
      <w:pPr>
        <w:rPr>
          <w:rFonts w:ascii="Times New Roman" w:eastAsia="Times New Roman"/>
        </w:rPr>
      </w:pPr>
      <w:bookmarkStart w:id="242" w:name="_bookmark179"/>
      <w:bookmarkEnd w:id="242"/>
      <w:r>
        <w:rPr>
          <w:rFonts w:hint="eastAsia"/>
          <w:spacing w:val="-2"/>
        </w:rPr>
        <w:t>13.5</w:t>
      </w:r>
      <w:r>
        <w:rPr>
          <w:spacing w:val="-2"/>
        </w:rPr>
        <w:t>清除不合格工程</w:t>
      </w:r>
    </w:p>
    <w:p>
      <w:pPr>
        <w:pStyle w:val="10"/>
        <w:spacing w:before="2"/>
        <w:rPr>
          <w:rFonts w:ascii="黑体"/>
          <w:sz w:val="38"/>
        </w:rPr>
      </w:pPr>
    </w:p>
    <w:p>
      <w:pPr>
        <w:tabs>
          <w:tab w:val="left" w:pos="1265"/>
        </w:tabs>
        <w:spacing w:before="1" w:line="417" w:lineRule="auto"/>
        <w:ind w:right="546" w:firstLine="198" w:firstLineChars="100"/>
        <w:jc w:val="both"/>
        <w:rPr>
          <w:sz w:val="21"/>
        </w:rPr>
      </w:pPr>
      <w:r>
        <w:rPr>
          <w:rFonts w:hint="eastAsia"/>
          <w:spacing w:val="-6"/>
          <w:sz w:val="21"/>
        </w:rPr>
        <w:t xml:space="preserve">13.5.1 </w:t>
      </w:r>
      <w:r>
        <w:rPr>
          <w:spacing w:val="-6"/>
          <w:sz w:val="21"/>
        </w:rPr>
        <w:t>因承包人设计失误，使用不合格材料、工程设备，或采用不适当的施工工艺，或施工不当，造</w:t>
      </w:r>
      <w:r>
        <w:rPr>
          <w:spacing w:val="-7"/>
          <w:sz w:val="21"/>
        </w:rPr>
        <w:t>成工程不合格的，监理人可以随时发出指示，要求承包人立即采取措施进行补救，直至达到合同要求的质</w:t>
      </w:r>
      <w:r>
        <w:rPr>
          <w:spacing w:val="-5"/>
          <w:sz w:val="21"/>
        </w:rPr>
        <w:t>量标准，</w:t>
      </w:r>
      <w:r>
        <w:rPr>
          <w:spacing w:val="-5"/>
          <w:sz w:val="21"/>
          <w:highlight w:val="yellow"/>
        </w:rPr>
        <w:t>由此增加的费用和</w:t>
      </w:r>
      <w:r>
        <w:rPr>
          <w:spacing w:val="-3"/>
          <w:sz w:val="21"/>
          <w:highlight w:val="yellow"/>
        </w:rPr>
        <w:t>工期延误由承包人承担。</w:t>
      </w:r>
    </w:p>
    <w:p>
      <w:pPr>
        <w:tabs>
          <w:tab w:val="left" w:pos="1265"/>
        </w:tabs>
        <w:spacing w:line="417" w:lineRule="auto"/>
        <w:ind w:right="546" w:firstLine="196" w:firstLineChars="98"/>
        <w:jc w:val="both"/>
        <w:rPr>
          <w:sz w:val="21"/>
        </w:rPr>
      </w:pPr>
      <w:r>
        <w:rPr>
          <w:rFonts w:hint="eastAsia"/>
          <w:spacing w:val="-5"/>
          <w:sz w:val="21"/>
        </w:rPr>
        <w:t xml:space="preserve">13.5.2 </w:t>
      </w:r>
      <w:r>
        <w:rPr>
          <w:spacing w:val="-5"/>
          <w:sz w:val="21"/>
        </w:rPr>
        <w:t>由于发包人提供的材料或工程设备不合格造成的工程不合格，需要承包人采取措施补救的，发</w:t>
      </w:r>
      <w:r>
        <w:rPr>
          <w:spacing w:val="-4"/>
          <w:sz w:val="21"/>
        </w:rPr>
        <w:t>包人</w:t>
      </w:r>
      <w:r>
        <w:rPr>
          <w:spacing w:val="-4"/>
          <w:sz w:val="21"/>
          <w:highlight w:val="yellow"/>
        </w:rPr>
        <w:t>应承担由此增加的费用和</w:t>
      </w:r>
      <w:r>
        <w:rPr>
          <w:spacing w:val="-3"/>
          <w:sz w:val="21"/>
          <w:highlight w:val="yellow"/>
        </w:rPr>
        <w:t>工期延误</w:t>
      </w:r>
      <w:r>
        <w:rPr>
          <w:spacing w:val="-3"/>
          <w:sz w:val="21"/>
        </w:rPr>
        <w:t>。</w:t>
      </w:r>
    </w:p>
    <w:p>
      <w:pPr>
        <w:pStyle w:val="10"/>
        <w:spacing w:before="9"/>
        <w:rPr>
          <w:sz w:val="20"/>
        </w:rPr>
      </w:pPr>
    </w:p>
    <w:p>
      <w:pPr>
        <w:pStyle w:val="4"/>
      </w:pPr>
      <w:bookmarkStart w:id="243" w:name="_bookmark180"/>
      <w:bookmarkEnd w:id="243"/>
      <w:bookmarkStart w:id="244" w:name="_Toc37926066"/>
      <w:r>
        <w:rPr>
          <w:rFonts w:hint="eastAsia"/>
        </w:rPr>
        <w:t>14</w:t>
      </w:r>
      <w:r>
        <w:t>试验和检验</w:t>
      </w:r>
      <w:bookmarkEnd w:id="244"/>
    </w:p>
    <w:p>
      <w:pPr>
        <w:pStyle w:val="10"/>
        <w:spacing w:before="5"/>
        <w:rPr>
          <w:rFonts w:ascii="黑体"/>
          <w:b/>
          <w:sz w:val="39"/>
        </w:rPr>
      </w:pPr>
    </w:p>
    <w:p>
      <w:pPr>
        <w:rPr>
          <w:rFonts w:ascii="Times New Roman" w:eastAsia="Times New Roman"/>
        </w:rPr>
      </w:pPr>
      <w:bookmarkStart w:id="245" w:name="_bookmark181"/>
      <w:bookmarkEnd w:id="245"/>
      <w:r>
        <w:rPr>
          <w:rFonts w:hint="eastAsia"/>
          <w:spacing w:val="-3"/>
        </w:rPr>
        <w:t>14.1</w:t>
      </w:r>
      <w:r>
        <w:rPr>
          <w:spacing w:val="-3"/>
        </w:rPr>
        <w:t>材料、工程设备和工程的试验和检验</w:t>
      </w:r>
    </w:p>
    <w:p>
      <w:pPr>
        <w:pStyle w:val="10"/>
        <w:spacing w:before="2"/>
        <w:rPr>
          <w:rFonts w:ascii="黑体"/>
          <w:sz w:val="38"/>
        </w:rPr>
      </w:pPr>
    </w:p>
    <w:p>
      <w:pPr>
        <w:tabs>
          <w:tab w:val="left" w:pos="1265"/>
        </w:tabs>
        <w:ind w:firstLine="199" w:firstLineChars="98"/>
        <w:rPr>
          <w:rFonts w:ascii="Times New Roman" w:eastAsia="Times New Roman"/>
          <w:sz w:val="21"/>
        </w:rPr>
      </w:pPr>
      <w:r>
        <w:rPr>
          <w:rFonts w:hint="eastAsia"/>
          <w:spacing w:val="-3"/>
          <w:sz w:val="21"/>
        </w:rPr>
        <w:t xml:space="preserve">14.1.1 </w:t>
      </w:r>
      <w:r>
        <w:rPr>
          <w:spacing w:val="-3"/>
          <w:sz w:val="21"/>
        </w:rPr>
        <w:t>本款适用于竣工试验之前的试验和检验。</w:t>
      </w:r>
    </w:p>
    <w:p>
      <w:pPr>
        <w:pStyle w:val="10"/>
        <w:spacing w:before="6"/>
        <w:rPr>
          <w:sz w:val="15"/>
        </w:rPr>
      </w:pPr>
    </w:p>
    <w:p>
      <w:pPr>
        <w:tabs>
          <w:tab w:val="left" w:pos="1265"/>
        </w:tabs>
        <w:spacing w:line="417" w:lineRule="auto"/>
        <w:ind w:right="546" w:firstLine="198" w:firstLineChars="100"/>
        <w:jc w:val="both"/>
        <w:rPr>
          <w:rFonts w:ascii="Times New Roman" w:eastAsia="Times New Roman"/>
          <w:sz w:val="21"/>
        </w:rPr>
      </w:pPr>
      <w:r>
        <w:rPr>
          <w:rFonts w:hint="eastAsia"/>
          <w:spacing w:val="-6"/>
          <w:sz w:val="21"/>
        </w:rPr>
        <w:t xml:space="preserve">14.1.2 </w:t>
      </w:r>
      <w:r>
        <w:rPr>
          <w:spacing w:val="-6"/>
          <w:sz w:val="21"/>
        </w:rPr>
        <w:t>承包人应按合同约定进行材料、工程设备和工程的试验和检验，并为监理人对上述材料、工程</w:t>
      </w:r>
      <w:r>
        <w:rPr>
          <w:spacing w:val="-5"/>
          <w:sz w:val="21"/>
        </w:rPr>
        <w:t>设备和工程的质量检查提供必要的试验资料和原始记录。按合同约定应由监理人与承包人共同进行试验和</w:t>
      </w:r>
    </w:p>
    <w:p>
      <w:pPr>
        <w:spacing w:line="417" w:lineRule="auto"/>
        <w:jc w:val="both"/>
        <w:rPr>
          <w:rFonts w:ascii="Times New Roman" w:eastAsia="Times New Roman"/>
          <w:sz w:val="21"/>
        </w:rPr>
        <w:sectPr>
          <w:pgSz w:w="11910" w:h="16840"/>
          <w:pgMar w:top="1440" w:right="580" w:bottom="1220" w:left="920" w:header="0" w:footer="950" w:gutter="0"/>
          <w:cols w:space="720" w:num="1"/>
        </w:sectPr>
      </w:pPr>
    </w:p>
    <w:p>
      <w:pPr>
        <w:pStyle w:val="10"/>
        <w:spacing w:before="59"/>
        <w:ind w:left="212"/>
      </w:pPr>
      <w:r>
        <w:t>检验的，由承包人负责提供必要的试验资料和原始记录。</w:t>
      </w:r>
    </w:p>
    <w:p>
      <w:pPr>
        <w:pStyle w:val="10"/>
        <w:spacing w:before="7"/>
        <w:rPr>
          <w:sz w:val="15"/>
        </w:rPr>
      </w:pPr>
    </w:p>
    <w:p>
      <w:pPr>
        <w:tabs>
          <w:tab w:val="left" w:pos="1265"/>
        </w:tabs>
        <w:spacing w:line="417" w:lineRule="auto"/>
        <w:ind w:right="440" w:firstLine="194" w:firstLineChars="100"/>
        <w:rPr>
          <w:rFonts w:ascii="Times New Roman" w:eastAsia="Times New Roman"/>
          <w:sz w:val="21"/>
        </w:rPr>
      </w:pPr>
      <w:r>
        <w:rPr>
          <w:rFonts w:hint="eastAsia"/>
          <w:spacing w:val="-8"/>
          <w:sz w:val="21"/>
        </w:rPr>
        <w:t xml:space="preserve">14.1.3 </w:t>
      </w:r>
      <w:r>
        <w:rPr>
          <w:spacing w:val="-8"/>
          <w:sz w:val="21"/>
        </w:rPr>
        <w:t xml:space="preserve">监理人未按合同约定派员参加试验和检验的，除监理人另有指示外，承包人可自行试验和检验， </w:t>
      </w:r>
      <w:r>
        <w:rPr>
          <w:spacing w:val="-5"/>
          <w:sz w:val="21"/>
        </w:rPr>
        <w:t>并应立即将试验和检验结果报送监理人，监理人应签字确认。</w:t>
      </w:r>
    </w:p>
    <w:p>
      <w:pPr>
        <w:tabs>
          <w:tab w:val="left" w:pos="1265"/>
        </w:tabs>
        <w:spacing w:line="417" w:lineRule="auto"/>
        <w:ind w:right="441" w:firstLine="202" w:firstLineChars="100"/>
        <w:rPr>
          <w:rFonts w:ascii="Times New Roman" w:eastAsia="Times New Roman"/>
          <w:sz w:val="21"/>
        </w:rPr>
      </w:pPr>
      <w:r>
        <w:rPr>
          <w:rFonts w:hint="eastAsia"/>
          <w:spacing w:val="-4"/>
          <w:sz w:val="21"/>
        </w:rPr>
        <w:t xml:space="preserve">14.1.4 </w:t>
      </w:r>
      <w:r>
        <w:rPr>
          <w:spacing w:val="-4"/>
          <w:sz w:val="21"/>
        </w:rPr>
        <w:t>监理人对承包人的试验和检验结果有疑问的，或为查清承包人试验和检验成果的可靠性要求承</w:t>
      </w:r>
      <w:r>
        <w:rPr>
          <w:spacing w:val="-11"/>
          <w:sz w:val="21"/>
        </w:rPr>
        <w:t>包人重新试验和检验的，可按合同约定由监理人与承包人共同进行。重新试验和检验的结果证明该项材料、</w:t>
      </w:r>
      <w:r>
        <w:rPr>
          <w:spacing w:val="-8"/>
          <w:sz w:val="21"/>
        </w:rPr>
        <w:t>工程设备或工程的质量不符合合同要求的，</w:t>
      </w:r>
      <w:r>
        <w:rPr>
          <w:spacing w:val="-8"/>
          <w:sz w:val="21"/>
          <w:highlight w:val="yellow"/>
        </w:rPr>
        <w:t>由此增加的费用和</w:t>
      </w:r>
      <w:r>
        <w:rPr>
          <w:spacing w:val="-4"/>
          <w:sz w:val="21"/>
          <w:highlight w:val="yellow"/>
        </w:rPr>
        <w:t>工期延误由承包人承担</w:t>
      </w:r>
      <w:r>
        <w:rPr>
          <w:spacing w:val="-4"/>
          <w:sz w:val="21"/>
        </w:rPr>
        <w:t>；重新试验和</w:t>
      </w:r>
      <w:r>
        <w:rPr>
          <w:spacing w:val="-9"/>
          <w:sz w:val="21"/>
        </w:rPr>
        <w:t>检验结果证明该项材料、工程设备和工程符合合同要求，</w:t>
      </w:r>
      <w:r>
        <w:rPr>
          <w:spacing w:val="-9"/>
          <w:sz w:val="21"/>
          <w:highlight w:val="yellow"/>
        </w:rPr>
        <w:t>由发包人承担由此增加的费用和</w:t>
      </w:r>
      <w:r>
        <w:rPr>
          <w:rFonts w:hint="eastAsia"/>
          <w:spacing w:val="-7"/>
          <w:highlight w:val="yellow"/>
        </w:rPr>
        <w:t>(或)</w:t>
      </w:r>
      <w:r>
        <w:rPr>
          <w:spacing w:val="-2"/>
          <w:sz w:val="21"/>
          <w:highlight w:val="yellow"/>
        </w:rPr>
        <w:t>工期延误</w:t>
      </w:r>
      <w:r>
        <w:rPr>
          <w:spacing w:val="-3"/>
          <w:sz w:val="21"/>
        </w:rPr>
        <w:t>。</w:t>
      </w:r>
    </w:p>
    <w:p>
      <w:pPr>
        <w:pStyle w:val="10"/>
        <w:rPr>
          <w:sz w:val="23"/>
        </w:rPr>
      </w:pPr>
    </w:p>
    <w:p>
      <w:pPr>
        <w:rPr>
          <w:rFonts w:ascii="Times New Roman" w:eastAsia="Times New Roman"/>
        </w:rPr>
      </w:pPr>
      <w:bookmarkStart w:id="246" w:name="_bookmark182"/>
      <w:bookmarkEnd w:id="246"/>
      <w:r>
        <w:rPr>
          <w:rFonts w:hint="eastAsia"/>
          <w:spacing w:val="-1"/>
        </w:rPr>
        <w:t>14.2</w:t>
      </w:r>
      <w:r>
        <w:rPr>
          <w:spacing w:val="-1"/>
        </w:rPr>
        <w:t>现场材料试验</w:t>
      </w:r>
    </w:p>
    <w:p>
      <w:pPr>
        <w:pStyle w:val="10"/>
        <w:spacing w:before="2"/>
        <w:rPr>
          <w:rFonts w:ascii="黑体"/>
          <w:sz w:val="38"/>
        </w:rPr>
      </w:pPr>
    </w:p>
    <w:p>
      <w:pPr>
        <w:tabs>
          <w:tab w:val="left" w:pos="1373"/>
        </w:tabs>
        <w:spacing w:line="417" w:lineRule="auto"/>
        <w:ind w:right="554" w:firstLine="203" w:firstLineChars="98"/>
        <w:rPr>
          <w:sz w:val="21"/>
        </w:rPr>
      </w:pPr>
      <w:r>
        <w:rPr>
          <w:rFonts w:hint="eastAsia"/>
          <w:spacing w:val="-1"/>
          <w:sz w:val="21"/>
        </w:rPr>
        <w:t xml:space="preserve">14.2.1 </w:t>
      </w:r>
      <w:r>
        <w:rPr>
          <w:spacing w:val="-1"/>
          <w:sz w:val="21"/>
        </w:rPr>
        <w:t>承包人根据合同约定或监理人指示进行的现场材料试验，应由承包人提供试验场所、试验人</w:t>
      </w:r>
      <w:r>
        <w:rPr>
          <w:spacing w:val="-3"/>
          <w:sz w:val="21"/>
        </w:rPr>
        <w:t>员、试验设备器材以及其他必要的试验条件。</w:t>
      </w:r>
    </w:p>
    <w:p>
      <w:pPr>
        <w:tabs>
          <w:tab w:val="left" w:pos="1373"/>
        </w:tabs>
        <w:spacing w:line="417" w:lineRule="auto"/>
        <w:ind w:right="554" w:firstLine="203" w:firstLineChars="98"/>
        <w:rPr>
          <w:sz w:val="21"/>
        </w:rPr>
      </w:pPr>
      <w:r>
        <w:rPr>
          <w:rFonts w:hint="eastAsia"/>
          <w:spacing w:val="-1"/>
          <w:sz w:val="21"/>
        </w:rPr>
        <w:t xml:space="preserve">14.2.2 </w:t>
      </w:r>
      <w:r>
        <w:rPr>
          <w:spacing w:val="-1"/>
          <w:sz w:val="21"/>
        </w:rPr>
        <w:t>监理人在必要时可以使用承包人的试验场所、试验设备器材以及其他试验条件，进行以工程</w:t>
      </w:r>
      <w:r>
        <w:rPr>
          <w:spacing w:val="-3"/>
          <w:sz w:val="21"/>
        </w:rPr>
        <w:t>质量检查为目的复核性材料试验，承包人应予以协助。</w:t>
      </w:r>
    </w:p>
    <w:p>
      <w:pPr>
        <w:pStyle w:val="10"/>
        <w:spacing w:before="12"/>
        <w:rPr>
          <w:sz w:val="22"/>
        </w:rPr>
      </w:pPr>
    </w:p>
    <w:p>
      <w:pPr>
        <w:rPr>
          <w:rFonts w:ascii="Times New Roman" w:eastAsia="Times New Roman"/>
        </w:rPr>
      </w:pPr>
      <w:bookmarkStart w:id="247" w:name="_bookmark183"/>
      <w:bookmarkEnd w:id="247"/>
      <w:r>
        <w:rPr>
          <w:rFonts w:hint="eastAsia"/>
          <w:spacing w:val="-1"/>
        </w:rPr>
        <w:t>14.3</w:t>
      </w:r>
      <w:r>
        <w:rPr>
          <w:spacing w:val="-1"/>
        </w:rPr>
        <w:t>现场工艺试验</w:t>
      </w:r>
    </w:p>
    <w:p>
      <w:pPr>
        <w:pStyle w:val="10"/>
        <w:spacing w:before="5"/>
        <w:rPr>
          <w:rFonts w:ascii="黑体"/>
          <w:sz w:val="38"/>
        </w:rPr>
      </w:pPr>
    </w:p>
    <w:p>
      <w:pPr>
        <w:pStyle w:val="10"/>
        <w:spacing w:line="417" w:lineRule="auto"/>
        <w:ind w:left="212" w:right="525" w:firstLine="420"/>
      </w:pPr>
      <w:r>
        <w:t>承包人应按合同约定或监理人指示进行现场工艺试验。对大型的现场工艺试验，监理人认为必要时， 应由承包人根据监理人提出的工艺试验要求，编制工艺试验措施计划，报送监理人批准。</w:t>
      </w:r>
    </w:p>
    <w:p>
      <w:pPr>
        <w:pStyle w:val="10"/>
        <w:spacing w:before="10"/>
        <w:rPr>
          <w:sz w:val="20"/>
        </w:rPr>
      </w:pPr>
    </w:p>
    <w:p>
      <w:pPr>
        <w:pStyle w:val="4"/>
        <w:numPr>
          <w:ilvl w:val="0"/>
          <w:numId w:val="39"/>
        </w:numPr>
      </w:pPr>
      <w:bookmarkStart w:id="248" w:name="_bookmark184"/>
      <w:bookmarkEnd w:id="248"/>
      <w:bookmarkStart w:id="249" w:name="_Toc37926067"/>
      <w:r>
        <w:t>变更</w:t>
      </w:r>
      <w:bookmarkEnd w:id="249"/>
    </w:p>
    <w:p>
      <w:pPr>
        <w:pStyle w:val="10"/>
        <w:spacing w:before="4"/>
        <w:rPr>
          <w:rFonts w:ascii="黑体"/>
          <w:b/>
          <w:sz w:val="39"/>
        </w:rPr>
      </w:pPr>
    </w:p>
    <w:p>
      <w:pPr>
        <w:ind w:firstLine="220" w:firstLineChars="100"/>
      </w:pPr>
      <w:bookmarkStart w:id="250" w:name="_bookmark185"/>
      <w:bookmarkEnd w:id="250"/>
      <w:r>
        <w:rPr>
          <w:rFonts w:hint="eastAsia"/>
        </w:rPr>
        <w:t xml:space="preserve">15.1 </w:t>
      </w:r>
      <w:r>
        <w:t>变更权</w:t>
      </w:r>
    </w:p>
    <w:p>
      <w:pPr>
        <w:pStyle w:val="10"/>
        <w:spacing w:before="2"/>
        <w:rPr>
          <w:rFonts w:ascii="黑体"/>
          <w:sz w:val="38"/>
        </w:rPr>
      </w:pPr>
    </w:p>
    <w:p>
      <w:pPr>
        <w:pStyle w:val="10"/>
        <w:spacing w:line="417" w:lineRule="auto"/>
        <w:ind w:left="212" w:right="441" w:firstLine="420"/>
      </w:pPr>
      <w:r>
        <w:rPr>
          <w:spacing w:val="-3"/>
        </w:rPr>
        <w:t xml:space="preserve">在履行合同过程中，经发包人同意，监理人可按第 </w:t>
      </w:r>
      <w:r>
        <w:rPr>
          <w:rFonts w:ascii="Times New Roman" w:eastAsia="Times New Roman"/>
        </w:rPr>
        <w:t xml:space="preserve">15.3 </w:t>
      </w:r>
      <w:r>
        <w:rPr>
          <w:spacing w:val="-3"/>
        </w:rPr>
        <w:t>款约定的变更程序向承包人作出有关发包人</w:t>
      </w:r>
      <w:r>
        <w:rPr>
          <w:spacing w:val="-12"/>
        </w:rPr>
        <w:t>要求改变的变更指示，承包人应遵照执行。变更应在相应内容实施前提出，否则发包人应承担承包人损失。</w:t>
      </w:r>
      <w:r>
        <w:rPr>
          <w:spacing w:val="-6"/>
        </w:rPr>
        <w:t>没有监理人的变更指示，承包人不得擅自变更。</w:t>
      </w:r>
    </w:p>
    <w:p>
      <w:pPr>
        <w:pStyle w:val="10"/>
        <w:rPr>
          <w:sz w:val="23"/>
        </w:rPr>
      </w:pPr>
    </w:p>
    <w:p>
      <w:pPr>
        <w:ind w:firstLine="216" w:firstLineChars="100"/>
        <w:rPr>
          <w:rFonts w:ascii="Times New Roman" w:eastAsia="Times New Roman"/>
        </w:rPr>
      </w:pPr>
      <w:bookmarkStart w:id="251" w:name="_bookmark186"/>
      <w:bookmarkEnd w:id="251"/>
      <w:r>
        <w:rPr>
          <w:rFonts w:hint="eastAsia"/>
          <w:spacing w:val="-2"/>
        </w:rPr>
        <w:t xml:space="preserve">15.2 </w:t>
      </w:r>
      <w:r>
        <w:rPr>
          <w:spacing w:val="-2"/>
        </w:rPr>
        <w:t>承包人的合理化建议</w:t>
      </w:r>
    </w:p>
    <w:p>
      <w:pPr>
        <w:pStyle w:val="10"/>
        <w:spacing w:before="4"/>
        <w:rPr>
          <w:rFonts w:ascii="黑体"/>
          <w:sz w:val="38"/>
        </w:rPr>
      </w:pPr>
    </w:p>
    <w:p>
      <w:pPr>
        <w:tabs>
          <w:tab w:val="left" w:pos="1265"/>
        </w:tabs>
        <w:spacing w:before="1"/>
        <w:ind w:firstLine="297" w:firstLineChars="150"/>
        <w:rPr>
          <w:rFonts w:ascii="Times New Roman" w:eastAsia="Times New Roman"/>
          <w:sz w:val="21"/>
        </w:rPr>
      </w:pPr>
      <w:r>
        <w:rPr>
          <w:rFonts w:hint="eastAsia"/>
          <w:spacing w:val="-6"/>
          <w:sz w:val="21"/>
        </w:rPr>
        <w:t xml:space="preserve">15.2.1 </w:t>
      </w:r>
      <w:r>
        <w:rPr>
          <w:spacing w:val="-6"/>
          <w:sz w:val="21"/>
        </w:rPr>
        <w:t>在履行合同过程中，承包人对发包人要求的合理化建议，均应以书面形式提交监理人。合理化</w:t>
      </w:r>
    </w:p>
    <w:p>
      <w:pPr>
        <w:rPr>
          <w:rFonts w:ascii="Times New Roman" w:eastAsia="Times New Roman"/>
          <w:sz w:val="21"/>
        </w:rPr>
        <w:sectPr>
          <w:pgSz w:w="11910" w:h="16840"/>
          <w:pgMar w:top="1440" w:right="580" w:bottom="1220" w:left="920" w:header="0" w:footer="950" w:gutter="0"/>
          <w:cols w:space="720" w:num="1"/>
        </w:sectPr>
      </w:pPr>
    </w:p>
    <w:p>
      <w:pPr>
        <w:pStyle w:val="10"/>
        <w:spacing w:before="59" w:line="417" w:lineRule="auto"/>
        <w:ind w:left="212" w:right="546"/>
        <w:jc w:val="both"/>
      </w:pPr>
      <w:r>
        <w:rPr>
          <w:spacing w:val="-5"/>
        </w:rPr>
        <w:t>建议书的内容应包括建议工作的详细说明、进度计划和效益以及与其他工作的协调等，并附必要的设计文</w:t>
      </w:r>
      <w:r>
        <w:rPr>
          <w:spacing w:val="-11"/>
        </w:rPr>
        <w:t xml:space="preserve">件。监理人应与发包人协商是否采纳建议。建议被采纳并构成变更的，应按第 </w:t>
      </w:r>
      <w:r>
        <w:rPr>
          <w:rFonts w:ascii="Times New Roman" w:eastAsia="Times New Roman"/>
        </w:rPr>
        <w:t xml:space="preserve">15.3 </w:t>
      </w:r>
      <w:r>
        <w:rPr>
          <w:spacing w:val="-3"/>
        </w:rPr>
        <w:t>款约定向承包人发出变更指示。</w:t>
      </w:r>
    </w:p>
    <w:p>
      <w:pPr>
        <w:tabs>
          <w:tab w:val="left" w:pos="1265"/>
        </w:tabs>
        <w:spacing w:line="417" w:lineRule="auto"/>
        <w:ind w:right="546" w:firstLine="196" w:firstLineChars="98"/>
        <w:jc w:val="both"/>
        <w:rPr>
          <w:rFonts w:ascii="Times New Roman" w:eastAsia="Times New Roman"/>
          <w:sz w:val="21"/>
        </w:rPr>
      </w:pPr>
      <w:r>
        <w:rPr>
          <w:rFonts w:hint="eastAsia"/>
          <w:spacing w:val="-5"/>
          <w:sz w:val="21"/>
        </w:rPr>
        <w:t xml:space="preserve">15.2.2 </w:t>
      </w:r>
      <w:r>
        <w:rPr>
          <w:spacing w:val="-5"/>
          <w:sz w:val="21"/>
        </w:rPr>
        <w:t>承包人提出的合理化建议降低了合同价格、缩短了工期或者提高了工程经济效益的，发包人可</w:t>
      </w:r>
      <w:r>
        <w:rPr>
          <w:spacing w:val="-4"/>
          <w:sz w:val="21"/>
        </w:rPr>
        <w:t>按国家有关规定在专用合同条款中约定给予奖励。</w:t>
      </w:r>
    </w:p>
    <w:p>
      <w:pPr>
        <w:pStyle w:val="10"/>
        <w:rPr>
          <w:sz w:val="23"/>
        </w:rPr>
      </w:pPr>
    </w:p>
    <w:p>
      <w:pPr>
        <w:pStyle w:val="35"/>
        <w:numPr>
          <w:ilvl w:val="1"/>
          <w:numId w:val="40"/>
        </w:numPr>
        <w:rPr>
          <w:rFonts w:ascii="Times New Roman" w:eastAsia="Times New Roman"/>
        </w:rPr>
      </w:pPr>
      <w:bookmarkStart w:id="252" w:name="_bookmark187"/>
      <w:bookmarkEnd w:id="252"/>
      <w:r>
        <w:rPr>
          <w:spacing w:val="-1"/>
        </w:rPr>
        <w:t>变更程序</w:t>
      </w:r>
    </w:p>
    <w:p>
      <w:pPr>
        <w:pStyle w:val="10"/>
        <w:spacing w:before="2"/>
        <w:rPr>
          <w:rFonts w:ascii="黑体"/>
          <w:sz w:val="38"/>
        </w:rPr>
      </w:pPr>
    </w:p>
    <w:p>
      <w:pPr>
        <w:tabs>
          <w:tab w:val="left" w:pos="1265"/>
        </w:tabs>
        <w:ind w:firstLine="399" w:firstLineChars="196"/>
        <w:rPr>
          <w:rFonts w:ascii="Times New Roman" w:eastAsia="Times New Roman"/>
          <w:sz w:val="21"/>
        </w:rPr>
      </w:pPr>
      <w:r>
        <w:rPr>
          <w:rFonts w:hint="eastAsia"/>
          <w:spacing w:val="-3"/>
          <w:sz w:val="21"/>
        </w:rPr>
        <w:t xml:space="preserve">15.3.1 </w:t>
      </w:r>
      <w:r>
        <w:rPr>
          <w:spacing w:val="-3"/>
          <w:sz w:val="21"/>
        </w:rPr>
        <w:t>变更的提出</w:t>
      </w:r>
    </w:p>
    <w:p>
      <w:pPr>
        <w:pStyle w:val="10"/>
        <w:spacing w:before="7"/>
        <w:rPr>
          <w:sz w:val="15"/>
        </w:rPr>
      </w:pPr>
    </w:p>
    <w:p>
      <w:pPr>
        <w:pStyle w:val="35"/>
        <w:numPr>
          <w:ilvl w:val="0"/>
          <w:numId w:val="41"/>
        </w:numPr>
        <w:tabs>
          <w:tab w:val="left" w:pos="1165"/>
        </w:tabs>
        <w:spacing w:line="417" w:lineRule="auto"/>
        <w:ind w:right="546" w:firstLine="420"/>
        <w:jc w:val="both"/>
        <w:rPr>
          <w:sz w:val="21"/>
        </w:rPr>
      </w:pPr>
      <w:r>
        <w:rPr>
          <w:sz w:val="21"/>
        </w:rPr>
        <w:t>在合同履行过程中，监理人可向承包人发出变更意向书。变更意向书应说明变更的具体内容和</w:t>
      </w:r>
      <w:r>
        <w:rPr>
          <w:spacing w:val="-5"/>
          <w:sz w:val="21"/>
        </w:rPr>
        <w:t>发包人对变更的时间要求，并附必要的相关资料。变更意向书应要求承包人提交包括拟实施变更工作的设</w:t>
      </w:r>
      <w:r>
        <w:rPr>
          <w:spacing w:val="-7"/>
          <w:sz w:val="21"/>
        </w:rPr>
        <w:t>计和计划、措施和竣工时间等内容的实施方案。发包人同意承包人根据变更意向书要求提交的变更实施方</w:t>
      </w:r>
      <w:r>
        <w:rPr>
          <w:spacing w:val="-10"/>
          <w:sz w:val="21"/>
        </w:rPr>
        <w:t xml:space="preserve">案的，由监理人按第 </w:t>
      </w:r>
      <w:r>
        <w:rPr>
          <w:rFonts w:ascii="Times New Roman" w:eastAsia="Times New Roman"/>
          <w:sz w:val="21"/>
        </w:rPr>
        <w:t xml:space="preserve">15.3.3 </w:t>
      </w:r>
      <w:r>
        <w:rPr>
          <w:spacing w:val="-3"/>
          <w:sz w:val="21"/>
        </w:rPr>
        <w:t>项约定发出变更指示。</w:t>
      </w:r>
    </w:p>
    <w:p>
      <w:pPr>
        <w:pStyle w:val="35"/>
        <w:numPr>
          <w:ilvl w:val="0"/>
          <w:numId w:val="41"/>
        </w:numPr>
        <w:tabs>
          <w:tab w:val="left" w:pos="1165"/>
        </w:tabs>
        <w:spacing w:line="417" w:lineRule="auto"/>
        <w:ind w:right="525" w:firstLine="420"/>
        <w:jc w:val="both"/>
        <w:rPr>
          <w:sz w:val="21"/>
        </w:rPr>
      </w:pPr>
      <w:r>
        <w:rPr>
          <w:sz w:val="21"/>
        </w:rPr>
        <w:t>承包人收到监理人按合同约定发出的文件，经检查认为其中存在对发包人要求变更情形的，可</w:t>
      </w:r>
      <w:r>
        <w:rPr>
          <w:spacing w:val="-5"/>
          <w:sz w:val="21"/>
        </w:rPr>
        <w:t>向监理人提出书面变更建议。变更建议应阐明要求变更的依据，以及实施该变更工作对合同价款和工期的</w:t>
      </w:r>
      <w:r>
        <w:rPr>
          <w:spacing w:val="-4"/>
          <w:sz w:val="21"/>
        </w:rPr>
        <w:t xml:space="preserve">影响，并附必要的图纸和说明。监理人收到承包人书面建议后，应与发包人共同研究，确认存在变更的， 应在收到承包人书面建议后的 </w:t>
      </w:r>
      <w:r>
        <w:rPr>
          <w:rFonts w:ascii="Times New Roman" w:eastAsia="Times New Roman"/>
          <w:sz w:val="21"/>
        </w:rPr>
        <w:t>14</w:t>
      </w:r>
      <w:r>
        <w:rPr>
          <w:rFonts w:ascii="Times New Roman" w:eastAsia="Times New Roman"/>
          <w:spacing w:val="22"/>
          <w:sz w:val="21"/>
        </w:rPr>
        <w:t xml:space="preserve"> </w:t>
      </w:r>
      <w:r>
        <w:rPr>
          <w:spacing w:val="-3"/>
          <w:sz w:val="21"/>
        </w:rPr>
        <w:t>天内作出变更指示。经研究后不同意作为变更的，应由监理人书面答复承包人。</w:t>
      </w:r>
    </w:p>
    <w:p>
      <w:pPr>
        <w:pStyle w:val="35"/>
        <w:numPr>
          <w:ilvl w:val="0"/>
          <w:numId w:val="41"/>
        </w:numPr>
        <w:tabs>
          <w:tab w:val="left" w:pos="1165"/>
        </w:tabs>
        <w:spacing w:line="417" w:lineRule="auto"/>
        <w:ind w:right="555" w:firstLine="420"/>
        <w:rPr>
          <w:sz w:val="21"/>
        </w:rPr>
      </w:pPr>
      <w:r>
        <w:rPr>
          <w:spacing w:val="-1"/>
          <w:sz w:val="21"/>
        </w:rPr>
        <w:t>承包人收到监理人的变更意向书后认为难以实施此项变更的，应立即通知监理人，说明原因并</w:t>
      </w:r>
      <w:r>
        <w:rPr>
          <w:spacing w:val="-3"/>
          <w:sz w:val="21"/>
        </w:rPr>
        <w:t>附详细依据。监理人与承包人和发包人协商后确定撤销、改变或不改变原变更意向书。</w:t>
      </w:r>
    </w:p>
    <w:p>
      <w:pPr>
        <w:tabs>
          <w:tab w:val="left" w:pos="1265"/>
        </w:tabs>
        <w:spacing w:line="269" w:lineRule="exact"/>
        <w:ind w:firstLine="412" w:firstLineChars="200"/>
        <w:rPr>
          <w:rFonts w:ascii="Times New Roman" w:eastAsia="Times New Roman"/>
          <w:sz w:val="21"/>
        </w:rPr>
      </w:pPr>
      <w:r>
        <w:rPr>
          <w:rFonts w:hint="eastAsia"/>
          <w:spacing w:val="-2"/>
          <w:sz w:val="21"/>
        </w:rPr>
        <w:t xml:space="preserve">15.3.2 </w:t>
      </w:r>
      <w:r>
        <w:rPr>
          <w:spacing w:val="-2"/>
          <w:sz w:val="21"/>
        </w:rPr>
        <w:t>变更估价</w:t>
      </w:r>
    </w:p>
    <w:p>
      <w:pPr>
        <w:pStyle w:val="10"/>
        <w:spacing w:before="6"/>
        <w:rPr>
          <w:sz w:val="15"/>
        </w:rPr>
      </w:pPr>
      <w:r>
        <w:rPr>
          <w:rFonts w:hint="eastAsia"/>
          <w:sz w:val="15"/>
        </w:rPr>
        <w:t xml:space="preserve"> </w:t>
      </w:r>
    </w:p>
    <w:p>
      <w:pPr>
        <w:pStyle w:val="10"/>
        <w:ind w:left="633"/>
        <w:rPr>
          <w:rFonts w:ascii="Times New Roman" w:eastAsia="Times New Roman"/>
        </w:rPr>
      </w:pPr>
      <w:r>
        <w:t xml:space="preserve">监理人应按照第 </w:t>
      </w:r>
      <w:r>
        <w:rPr>
          <w:rFonts w:ascii="Times New Roman" w:eastAsia="Times New Roman"/>
        </w:rPr>
        <w:t xml:space="preserve">3.5 </w:t>
      </w:r>
      <w:r>
        <w:t xml:space="preserve">款商定或确定变更价格。变更价格应包括合理的利润，并应考虑承包人根据第 </w:t>
      </w:r>
      <w:r>
        <w:rPr>
          <w:rFonts w:ascii="Times New Roman" w:eastAsia="Times New Roman"/>
        </w:rPr>
        <w:t>15.2</w:t>
      </w:r>
    </w:p>
    <w:p>
      <w:pPr>
        <w:pStyle w:val="10"/>
        <w:spacing w:before="3"/>
        <w:rPr>
          <w:rFonts w:ascii="Times New Roman"/>
          <w:sz w:val="17"/>
        </w:rPr>
      </w:pPr>
    </w:p>
    <w:p>
      <w:pPr>
        <w:pStyle w:val="10"/>
        <w:ind w:left="212"/>
      </w:pPr>
      <w:r>
        <w:t>款提出的合理化建议。</w:t>
      </w:r>
    </w:p>
    <w:p>
      <w:pPr>
        <w:pStyle w:val="10"/>
        <w:spacing w:before="7"/>
        <w:rPr>
          <w:sz w:val="15"/>
        </w:rPr>
      </w:pPr>
    </w:p>
    <w:p>
      <w:pPr>
        <w:tabs>
          <w:tab w:val="left" w:pos="1265"/>
        </w:tabs>
        <w:ind w:firstLine="412" w:firstLineChars="200"/>
        <w:rPr>
          <w:rFonts w:ascii="Times New Roman" w:eastAsia="Times New Roman"/>
          <w:sz w:val="21"/>
        </w:rPr>
      </w:pPr>
      <w:r>
        <w:rPr>
          <w:rFonts w:hint="eastAsia"/>
          <w:spacing w:val="-2"/>
          <w:sz w:val="21"/>
        </w:rPr>
        <w:t xml:space="preserve">15.3.3 </w:t>
      </w:r>
      <w:r>
        <w:rPr>
          <w:spacing w:val="-2"/>
          <w:sz w:val="21"/>
        </w:rPr>
        <w:t>变更指示</w:t>
      </w:r>
    </w:p>
    <w:p>
      <w:pPr>
        <w:pStyle w:val="10"/>
        <w:spacing w:before="7"/>
        <w:rPr>
          <w:sz w:val="15"/>
        </w:rPr>
      </w:pPr>
    </w:p>
    <w:p>
      <w:pPr>
        <w:pStyle w:val="35"/>
        <w:numPr>
          <w:ilvl w:val="0"/>
          <w:numId w:val="42"/>
        </w:numPr>
        <w:tabs>
          <w:tab w:val="left" w:pos="1163"/>
        </w:tabs>
        <w:ind w:hanging="530"/>
        <w:rPr>
          <w:sz w:val="21"/>
        </w:rPr>
      </w:pPr>
      <w:r>
        <w:rPr>
          <w:spacing w:val="-3"/>
          <w:sz w:val="21"/>
        </w:rPr>
        <w:t>变更指示只能由监理人发出。</w:t>
      </w:r>
    </w:p>
    <w:p>
      <w:pPr>
        <w:pStyle w:val="10"/>
        <w:spacing w:before="6"/>
        <w:rPr>
          <w:sz w:val="15"/>
        </w:rPr>
      </w:pPr>
    </w:p>
    <w:p>
      <w:pPr>
        <w:pStyle w:val="35"/>
        <w:numPr>
          <w:ilvl w:val="0"/>
          <w:numId w:val="42"/>
        </w:numPr>
        <w:tabs>
          <w:tab w:val="left" w:pos="1165"/>
        </w:tabs>
        <w:spacing w:before="1" w:line="417" w:lineRule="auto"/>
        <w:ind w:left="212" w:right="556" w:firstLine="420"/>
        <w:rPr>
          <w:sz w:val="21"/>
        </w:rPr>
      </w:pPr>
      <w:r>
        <w:rPr>
          <w:spacing w:val="-1"/>
          <w:sz w:val="21"/>
        </w:rPr>
        <w:t>变更指示应说明变更的目的、范围、变更内容以及变更的工程量及其进度和技术要求，并附有</w:t>
      </w:r>
      <w:r>
        <w:rPr>
          <w:spacing w:val="-3"/>
          <w:sz w:val="21"/>
        </w:rPr>
        <w:t>关图纸和文件。承包人收到变更指示后，应按变更指示进行变更工作。</w:t>
      </w:r>
    </w:p>
    <w:p>
      <w:pPr>
        <w:pStyle w:val="10"/>
        <w:rPr>
          <w:sz w:val="23"/>
        </w:rPr>
      </w:pPr>
    </w:p>
    <w:p>
      <w:pPr>
        <w:ind w:firstLine="427" w:firstLineChars="196"/>
        <w:rPr>
          <w:rFonts w:ascii="Times New Roman" w:eastAsia="Times New Roman"/>
        </w:rPr>
      </w:pPr>
      <w:bookmarkStart w:id="253" w:name="_bookmark188"/>
      <w:bookmarkEnd w:id="253"/>
      <w:r>
        <w:rPr>
          <w:rFonts w:hint="eastAsia"/>
          <w:spacing w:val="-1"/>
        </w:rPr>
        <w:t xml:space="preserve">15.4 </w:t>
      </w:r>
      <w:r>
        <w:rPr>
          <w:spacing w:val="-1"/>
        </w:rPr>
        <w:t>暂列金额</w:t>
      </w:r>
    </w:p>
    <w:p>
      <w:pPr>
        <w:pStyle w:val="10"/>
        <w:spacing w:before="4"/>
        <w:rPr>
          <w:rFonts w:ascii="黑体"/>
          <w:sz w:val="38"/>
        </w:rPr>
      </w:pPr>
    </w:p>
    <w:p>
      <w:pPr>
        <w:pStyle w:val="10"/>
        <w:ind w:left="633"/>
      </w:pPr>
      <w:r>
        <w:t xml:space="preserve">经发包人同意，承包人可使用暂列金额，但应按照第 </w:t>
      </w:r>
      <w:r>
        <w:rPr>
          <w:rFonts w:ascii="Times New Roman" w:eastAsia="Times New Roman"/>
        </w:rPr>
        <w:t xml:space="preserve">15.6 </w:t>
      </w:r>
      <w:r>
        <w:t>款规定的程序进行，并对合同价格进行相应</w:t>
      </w:r>
    </w:p>
    <w:p>
      <w:pPr>
        <w:sectPr>
          <w:pgSz w:w="11910" w:h="16840"/>
          <w:pgMar w:top="1440" w:right="580" w:bottom="1220" w:left="920" w:header="0" w:footer="950" w:gutter="0"/>
          <w:cols w:space="720" w:num="1"/>
        </w:sectPr>
      </w:pPr>
    </w:p>
    <w:p>
      <w:pPr>
        <w:pStyle w:val="10"/>
        <w:spacing w:before="59"/>
        <w:ind w:left="212"/>
      </w:pPr>
      <w:r>
        <w:t>调整。</w:t>
      </w:r>
    </w:p>
    <w:p>
      <w:pPr>
        <w:pStyle w:val="10"/>
        <w:rPr>
          <w:sz w:val="20"/>
        </w:rPr>
      </w:pPr>
    </w:p>
    <w:p>
      <w:pPr>
        <w:pStyle w:val="10"/>
        <w:spacing w:before="2"/>
        <w:rPr>
          <w:sz w:val="19"/>
        </w:rPr>
      </w:pPr>
    </w:p>
    <w:p>
      <w:pPr>
        <w:ind w:firstLine="440" w:firstLineChars="200"/>
        <w:rPr>
          <w:rFonts w:ascii="Times New Roman" w:eastAsia="Times New Roman"/>
          <w:sz w:val="32"/>
        </w:rPr>
      </w:pPr>
      <w:r>
        <w:rPr>
          <w:rFonts w:hint="eastAsia"/>
        </w:rPr>
        <w:t xml:space="preserve">15.5 </w:t>
      </w:r>
      <w:r>
        <w:t>计日工</w:t>
      </w:r>
    </w:p>
    <w:p>
      <w:pPr>
        <w:pStyle w:val="10"/>
        <w:spacing w:before="1"/>
        <w:rPr>
          <w:rFonts w:ascii="黑体"/>
          <w:sz w:val="40"/>
        </w:rPr>
      </w:pPr>
    </w:p>
    <w:p>
      <w:pPr>
        <w:pStyle w:val="10"/>
        <w:ind w:left="633"/>
      </w:pPr>
      <w:r>
        <w:t>签约合同价包括计日工的，按合同约定进行支付。</w:t>
      </w:r>
    </w:p>
    <w:p>
      <w:pPr>
        <w:pStyle w:val="10"/>
        <w:rPr>
          <w:sz w:val="20"/>
        </w:rPr>
      </w:pPr>
    </w:p>
    <w:p>
      <w:pPr>
        <w:pStyle w:val="10"/>
        <w:spacing w:before="1"/>
        <w:rPr>
          <w:sz w:val="19"/>
        </w:rPr>
      </w:pPr>
    </w:p>
    <w:p>
      <w:pPr>
        <w:ind w:firstLine="440" w:firstLineChars="200"/>
        <w:rPr>
          <w:rFonts w:ascii="Times New Roman" w:eastAsia="Times New Roman"/>
          <w:sz w:val="32"/>
        </w:rPr>
      </w:pPr>
      <w:r>
        <w:rPr>
          <w:rFonts w:hint="eastAsia"/>
        </w:rPr>
        <w:t xml:space="preserve">15.6 </w:t>
      </w:r>
      <w:r>
        <w:t>暂估价</w:t>
      </w:r>
    </w:p>
    <w:p>
      <w:pPr>
        <w:pStyle w:val="10"/>
        <w:spacing w:before="3"/>
        <w:rPr>
          <w:rFonts w:ascii="黑体"/>
          <w:sz w:val="40"/>
        </w:rPr>
      </w:pPr>
    </w:p>
    <w:p>
      <w:pPr>
        <w:pStyle w:val="10"/>
        <w:ind w:left="633"/>
      </w:pPr>
      <w:r>
        <w:t>签约合同价包括暂估价的，按合同约定进行支付。</w:t>
      </w:r>
    </w:p>
    <w:p>
      <w:pPr>
        <w:pStyle w:val="10"/>
        <w:rPr>
          <w:sz w:val="20"/>
        </w:rPr>
      </w:pPr>
    </w:p>
    <w:p>
      <w:pPr>
        <w:pStyle w:val="10"/>
        <w:spacing w:before="5"/>
        <w:rPr>
          <w:sz w:val="16"/>
        </w:rPr>
      </w:pPr>
    </w:p>
    <w:p>
      <w:pPr>
        <w:pStyle w:val="4"/>
      </w:pPr>
      <w:bookmarkStart w:id="254" w:name="_bookmark189"/>
      <w:bookmarkEnd w:id="254"/>
      <w:bookmarkStart w:id="255" w:name="_Toc37926068"/>
      <w:r>
        <w:rPr>
          <w:rFonts w:hint="eastAsia"/>
        </w:rPr>
        <w:t>16.</w:t>
      </w:r>
      <w:r>
        <w:t>价格调整</w:t>
      </w:r>
      <w:bookmarkEnd w:id="255"/>
    </w:p>
    <w:p>
      <w:pPr>
        <w:pStyle w:val="10"/>
        <w:spacing w:before="2"/>
        <w:rPr>
          <w:rFonts w:ascii="黑体"/>
          <w:b/>
          <w:sz w:val="39"/>
        </w:rPr>
      </w:pPr>
    </w:p>
    <w:p>
      <w:pPr>
        <w:ind w:firstLine="324" w:firstLineChars="150"/>
        <w:rPr>
          <w:rFonts w:ascii="Times New Roman" w:eastAsia="Times New Roman"/>
        </w:rPr>
      </w:pPr>
      <w:bookmarkStart w:id="256" w:name="_bookmark190"/>
      <w:bookmarkEnd w:id="256"/>
      <w:r>
        <w:rPr>
          <w:rFonts w:hint="eastAsia"/>
          <w:spacing w:val="-2"/>
        </w:rPr>
        <w:t xml:space="preserve">16.1 </w:t>
      </w:r>
      <w:r>
        <w:rPr>
          <w:spacing w:val="-2"/>
        </w:rPr>
        <w:t>物价波动引起的</w:t>
      </w:r>
      <w:r>
        <w:rPr>
          <w:rFonts w:hint="eastAsia"/>
          <w:spacing w:val="-2"/>
        </w:rPr>
        <w:t>价格</w:t>
      </w:r>
      <w:r>
        <w:rPr>
          <w:spacing w:val="-2"/>
        </w:rPr>
        <w:t>调整</w:t>
      </w:r>
    </w:p>
    <w:p>
      <w:pPr>
        <w:pStyle w:val="10"/>
        <w:spacing w:before="4"/>
        <w:rPr>
          <w:rFonts w:ascii="黑体"/>
          <w:sz w:val="38"/>
        </w:rPr>
      </w:pPr>
    </w:p>
    <w:p>
      <w:pPr>
        <w:pStyle w:val="10"/>
        <w:spacing w:before="1" w:line="417" w:lineRule="auto"/>
        <w:ind w:left="212" w:right="546" w:firstLine="420"/>
        <w:jc w:val="both"/>
        <w:rPr>
          <w:color w:val="FF0000"/>
        </w:rPr>
      </w:pPr>
      <w:r>
        <w:rPr>
          <w:rFonts w:hint="eastAsia"/>
          <w:color w:val="FF0000"/>
          <w:highlight w:val="yellow"/>
        </w:rPr>
        <w:t>合同</w:t>
      </w:r>
      <w:r>
        <w:rPr>
          <w:color w:val="FF0000"/>
          <w:spacing w:val="-6"/>
          <w:highlight w:val="yellow"/>
        </w:rPr>
        <w:t>履行期间</w:t>
      </w:r>
      <w:r>
        <w:rPr>
          <w:rFonts w:hint="eastAsia"/>
          <w:color w:val="FF0000"/>
          <w:highlight w:val="yellow"/>
        </w:rPr>
        <w:t>不予调价</w:t>
      </w:r>
      <w:r>
        <w:rPr>
          <w:rFonts w:hint="eastAsia"/>
          <w:highlight w:val="yellow"/>
        </w:rPr>
        <w:t>。</w:t>
      </w:r>
    </w:p>
    <w:p>
      <w:pPr>
        <w:pStyle w:val="10"/>
        <w:spacing w:before="12"/>
        <w:rPr>
          <w:sz w:val="22"/>
        </w:rPr>
      </w:pPr>
    </w:p>
    <w:p>
      <w:pPr>
        <w:ind w:firstLine="432" w:firstLineChars="200"/>
        <w:rPr>
          <w:rFonts w:ascii="Times New Roman" w:eastAsia="Times New Roman"/>
        </w:rPr>
      </w:pPr>
      <w:bookmarkStart w:id="257" w:name="_bookmark191"/>
      <w:bookmarkEnd w:id="257"/>
      <w:r>
        <w:rPr>
          <w:rFonts w:hint="eastAsia"/>
          <w:spacing w:val="-2"/>
        </w:rPr>
        <w:t xml:space="preserve">16.2 </w:t>
      </w:r>
      <w:r>
        <w:rPr>
          <w:spacing w:val="-2"/>
        </w:rPr>
        <w:t>法律变化引起的调整</w:t>
      </w:r>
    </w:p>
    <w:p>
      <w:pPr>
        <w:pStyle w:val="10"/>
        <w:spacing w:before="2"/>
        <w:rPr>
          <w:rFonts w:ascii="黑体"/>
          <w:sz w:val="38"/>
        </w:rPr>
      </w:pPr>
    </w:p>
    <w:p>
      <w:pPr>
        <w:pStyle w:val="10"/>
        <w:ind w:left="633"/>
      </w:pPr>
      <w:r>
        <w:t>在基准日后，因法律变化导致承包人在合同履行中所需费用发生除第 16.1 款约定以外的增减时，监</w:t>
      </w:r>
    </w:p>
    <w:p>
      <w:pPr>
        <w:pStyle w:val="10"/>
        <w:spacing w:before="7"/>
        <w:rPr>
          <w:sz w:val="15"/>
        </w:rPr>
      </w:pPr>
    </w:p>
    <w:p>
      <w:pPr>
        <w:pStyle w:val="10"/>
        <w:ind w:left="212"/>
      </w:pPr>
      <w:r>
        <w:t>理人应根据法律、国家或省、自治区、直辖市有关部门的规定，按第 3.5 款商定或确定需调整的合同价格。</w:t>
      </w:r>
    </w:p>
    <w:p>
      <w:pPr>
        <w:pStyle w:val="10"/>
        <w:rPr>
          <w:sz w:val="20"/>
        </w:rPr>
      </w:pPr>
    </w:p>
    <w:p>
      <w:pPr>
        <w:pStyle w:val="10"/>
        <w:spacing w:before="5"/>
        <w:rPr>
          <w:sz w:val="16"/>
        </w:rPr>
      </w:pPr>
    </w:p>
    <w:p>
      <w:pPr>
        <w:pStyle w:val="4"/>
        <w:ind w:left="586" w:leftChars="224" w:hanging="93" w:hangingChars="33"/>
      </w:pPr>
      <w:bookmarkStart w:id="258" w:name="_bookmark192"/>
      <w:bookmarkEnd w:id="258"/>
      <w:bookmarkStart w:id="259" w:name="_Toc37926069"/>
      <w:r>
        <w:rPr>
          <w:rFonts w:hint="eastAsia"/>
        </w:rPr>
        <w:t xml:space="preserve">17 </w:t>
      </w:r>
      <w:r>
        <w:t>合同价格与支付</w:t>
      </w:r>
      <w:bookmarkEnd w:id="259"/>
    </w:p>
    <w:p>
      <w:pPr>
        <w:pStyle w:val="10"/>
        <w:spacing w:before="4"/>
        <w:rPr>
          <w:rFonts w:ascii="黑体"/>
          <w:b/>
          <w:sz w:val="39"/>
        </w:rPr>
      </w:pPr>
    </w:p>
    <w:p>
      <w:pPr>
        <w:ind w:firstLine="427" w:firstLineChars="196"/>
        <w:rPr>
          <w:rFonts w:ascii="Times New Roman" w:eastAsia="Times New Roman"/>
        </w:rPr>
      </w:pPr>
      <w:bookmarkStart w:id="260" w:name="_bookmark193"/>
      <w:bookmarkEnd w:id="260"/>
      <w:r>
        <w:rPr>
          <w:rFonts w:hint="eastAsia"/>
          <w:spacing w:val="-1"/>
        </w:rPr>
        <w:t xml:space="preserve">17.1 </w:t>
      </w:r>
      <w:r>
        <w:rPr>
          <w:spacing w:val="-1"/>
        </w:rPr>
        <w:t>合同价格</w:t>
      </w:r>
    </w:p>
    <w:p>
      <w:pPr>
        <w:pStyle w:val="10"/>
        <w:spacing w:before="2"/>
        <w:rPr>
          <w:rFonts w:ascii="黑体"/>
          <w:sz w:val="38"/>
        </w:rPr>
      </w:pPr>
    </w:p>
    <w:p>
      <w:pPr>
        <w:pStyle w:val="10"/>
        <w:ind w:left="633"/>
      </w:pPr>
      <w:r>
        <w:t>除专用合同条款另有约定外，</w:t>
      </w:r>
    </w:p>
    <w:p>
      <w:pPr>
        <w:pStyle w:val="10"/>
        <w:spacing w:before="7"/>
        <w:rPr>
          <w:sz w:val="15"/>
        </w:rPr>
      </w:pPr>
    </w:p>
    <w:p>
      <w:pPr>
        <w:pStyle w:val="35"/>
        <w:numPr>
          <w:ilvl w:val="0"/>
          <w:numId w:val="43"/>
        </w:numPr>
        <w:tabs>
          <w:tab w:val="left" w:pos="1163"/>
        </w:tabs>
        <w:ind w:hanging="530"/>
        <w:rPr>
          <w:sz w:val="21"/>
        </w:rPr>
      </w:pPr>
      <w:r>
        <w:rPr>
          <w:spacing w:val="-3"/>
          <w:sz w:val="21"/>
        </w:rPr>
        <w:t>合同价格包括签约合同价以及按照合同约定进行的调整；</w:t>
      </w:r>
    </w:p>
    <w:p>
      <w:pPr>
        <w:pStyle w:val="10"/>
        <w:spacing w:before="6"/>
        <w:rPr>
          <w:sz w:val="15"/>
        </w:rPr>
      </w:pPr>
    </w:p>
    <w:p>
      <w:pPr>
        <w:pStyle w:val="35"/>
        <w:numPr>
          <w:ilvl w:val="0"/>
          <w:numId w:val="43"/>
        </w:numPr>
        <w:tabs>
          <w:tab w:val="left" w:pos="1163"/>
        </w:tabs>
        <w:spacing w:before="1"/>
        <w:ind w:hanging="530"/>
        <w:rPr>
          <w:sz w:val="21"/>
        </w:rPr>
      </w:pPr>
      <w:r>
        <w:rPr>
          <w:spacing w:val="-3"/>
          <w:sz w:val="21"/>
        </w:rPr>
        <w:t>合同价格包括承包人依据法律规定或合同约定应支付的规费和税金；</w:t>
      </w:r>
    </w:p>
    <w:p>
      <w:pPr>
        <w:pStyle w:val="35"/>
        <w:rPr>
          <w:sz w:val="21"/>
        </w:rPr>
      </w:pPr>
    </w:p>
    <w:p>
      <w:pPr>
        <w:pStyle w:val="35"/>
        <w:numPr>
          <w:ilvl w:val="0"/>
          <w:numId w:val="43"/>
        </w:numPr>
        <w:spacing w:line="360" w:lineRule="auto"/>
        <w:rPr>
          <w:szCs w:val="21"/>
        </w:rPr>
      </w:pPr>
      <w:r>
        <w:rPr>
          <w:rFonts w:hint="eastAsia"/>
        </w:rPr>
        <w:t>价格清单列出的任何数量仅为估算的工作量，不得将其视为要求承包人实施的工程的实际或准确的工作量。在价格</w:t>
      </w:r>
      <w:r>
        <w:rPr>
          <w:rFonts w:hint="eastAsia"/>
          <w:szCs w:val="21"/>
        </w:rPr>
        <w:t>清单中列出的任何工作量和价格数据应仅限用于变更和支付的参考资料，而不能用于其他目的。</w:t>
      </w:r>
    </w:p>
    <w:p>
      <w:pPr>
        <w:pStyle w:val="35"/>
        <w:spacing w:line="360" w:lineRule="auto"/>
        <w:ind w:left="1162" w:firstLine="0"/>
        <w:rPr>
          <w:szCs w:val="21"/>
        </w:rPr>
      </w:pPr>
      <w:r>
        <w:rPr>
          <w:rFonts w:hint="eastAsia"/>
          <w:szCs w:val="21"/>
        </w:rPr>
        <w:t>合同约定工程的某部分按照实际完成的工程量进行支付的，应按照专用合同条款的约定进行计量和估价，并据此调整合同价格。</w:t>
      </w:r>
    </w:p>
    <w:p>
      <w:pPr>
        <w:pStyle w:val="35"/>
        <w:spacing w:line="360" w:lineRule="auto"/>
        <w:ind w:left="1162" w:firstLine="0"/>
        <w:rPr>
          <w:szCs w:val="21"/>
        </w:rPr>
      </w:pPr>
    </w:p>
    <w:p>
      <w:pPr>
        <w:ind w:firstLine="440" w:firstLineChars="200"/>
        <w:rPr>
          <w:rFonts w:ascii="Times New Roman" w:eastAsia="Times New Roman"/>
        </w:rPr>
      </w:pPr>
      <w:bookmarkStart w:id="261" w:name="_bookmark194"/>
      <w:bookmarkEnd w:id="261"/>
      <w:r>
        <w:rPr>
          <w:rFonts w:hint="eastAsia"/>
        </w:rPr>
        <w:t xml:space="preserve">17.2 </w:t>
      </w:r>
      <w:r>
        <w:t>预付款</w:t>
      </w:r>
    </w:p>
    <w:p>
      <w:pPr>
        <w:pStyle w:val="10"/>
        <w:spacing w:before="4"/>
        <w:rPr>
          <w:rFonts w:ascii="黑体"/>
          <w:sz w:val="38"/>
        </w:rPr>
      </w:pPr>
    </w:p>
    <w:p>
      <w:pPr>
        <w:spacing w:line="360" w:lineRule="auto"/>
        <w:ind w:firstLine="440" w:firstLineChars="200"/>
        <w:rPr>
          <w:szCs w:val="21"/>
        </w:rPr>
      </w:pPr>
      <w:r>
        <w:rPr>
          <w:rFonts w:hint="eastAsia"/>
        </w:rPr>
        <w:t>17.2.1</w:t>
      </w:r>
      <w:r>
        <w:rPr>
          <w:rFonts w:hint="eastAsia"/>
          <w:szCs w:val="21"/>
        </w:rPr>
        <w:t xml:space="preserve"> 预付款</w:t>
      </w:r>
    </w:p>
    <w:p>
      <w:pPr>
        <w:spacing w:line="360" w:lineRule="auto"/>
        <w:ind w:firstLine="440" w:firstLineChars="200"/>
        <w:rPr>
          <w:szCs w:val="21"/>
        </w:rPr>
      </w:pPr>
      <w:r>
        <w:rPr>
          <w:rFonts w:hint="eastAsia"/>
          <w:szCs w:val="21"/>
        </w:rPr>
        <w:t>预付款用于承包人为合同工程的设计和工程实施购置材料、工程设备、施工设备、修建临时设施以及组织施工队伍进场等。预付款的额度和支付在专用合同条款中约定。预付款必须专用于合同工作。</w:t>
      </w:r>
    </w:p>
    <w:p>
      <w:pPr>
        <w:spacing w:line="360" w:lineRule="auto"/>
        <w:ind w:firstLine="440" w:firstLineChars="200"/>
        <w:rPr>
          <w:szCs w:val="21"/>
        </w:rPr>
      </w:pPr>
      <w:r>
        <w:rPr>
          <w:rFonts w:hint="eastAsia"/>
        </w:rPr>
        <w:t xml:space="preserve">17.2.2 </w:t>
      </w:r>
      <w:r>
        <w:rPr>
          <w:rFonts w:hint="eastAsia"/>
          <w:szCs w:val="21"/>
        </w:rPr>
        <w:t xml:space="preserve"> 预付款保函</w:t>
      </w:r>
    </w:p>
    <w:p>
      <w:pPr>
        <w:spacing w:line="360" w:lineRule="auto"/>
        <w:ind w:firstLine="440" w:firstLineChars="200"/>
      </w:pPr>
      <w:r>
        <w:rPr>
          <w:rFonts w:hint="eastAsia"/>
          <w:szCs w:val="21"/>
        </w:rPr>
        <w:t>除专用合同条款另有约定外，承包人应在收到预付款的同时向发包人提交预付款保函，预付款保函的担保</w:t>
      </w:r>
      <w:r>
        <w:rPr>
          <w:rFonts w:hint="eastAsia"/>
        </w:rPr>
        <w:t>金额应与预付款金额相同。保函的担保金额可根据预付款扣回的金额相应递减。</w:t>
      </w:r>
    </w:p>
    <w:p>
      <w:pPr>
        <w:spacing w:line="360" w:lineRule="auto"/>
        <w:ind w:firstLine="440" w:firstLineChars="200"/>
        <w:rPr>
          <w:szCs w:val="21"/>
        </w:rPr>
      </w:pPr>
      <w:r>
        <w:rPr>
          <w:rFonts w:hint="eastAsia"/>
        </w:rPr>
        <w:t xml:space="preserve">17.2.3 </w:t>
      </w:r>
      <w:r>
        <w:rPr>
          <w:rFonts w:hint="eastAsia"/>
          <w:szCs w:val="21"/>
        </w:rPr>
        <w:t xml:space="preserve"> 预付款的扣回与还清</w:t>
      </w:r>
    </w:p>
    <w:p>
      <w:pPr>
        <w:pStyle w:val="10"/>
        <w:spacing w:line="417" w:lineRule="auto"/>
        <w:ind w:right="546" w:firstLine="210" w:firstLineChars="100"/>
      </w:pPr>
      <w:r>
        <w:rPr>
          <w:rFonts w:hint="eastAsia"/>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10"/>
        <w:rPr>
          <w:sz w:val="23"/>
        </w:rPr>
      </w:pPr>
    </w:p>
    <w:p>
      <w:pPr>
        <w:pStyle w:val="35"/>
        <w:numPr>
          <w:ilvl w:val="1"/>
          <w:numId w:val="44"/>
        </w:numPr>
        <w:rPr>
          <w:rFonts w:ascii="Times New Roman" w:eastAsia="Times New Roman"/>
        </w:rPr>
      </w:pPr>
      <w:bookmarkStart w:id="262" w:name="_bookmark195"/>
      <w:bookmarkEnd w:id="262"/>
      <w:r>
        <w:rPr>
          <w:rFonts w:hint="eastAsia"/>
          <w:spacing w:val="-1"/>
        </w:rPr>
        <w:t xml:space="preserve"> </w:t>
      </w:r>
      <w:r>
        <w:rPr>
          <w:spacing w:val="-1"/>
        </w:rPr>
        <w:t>工程进度付款</w:t>
      </w:r>
    </w:p>
    <w:p>
      <w:pPr>
        <w:pStyle w:val="10"/>
        <w:spacing w:before="4"/>
        <w:rPr>
          <w:rFonts w:ascii="黑体"/>
          <w:sz w:val="38"/>
        </w:rPr>
      </w:pPr>
    </w:p>
    <w:p>
      <w:pPr>
        <w:tabs>
          <w:tab w:val="left" w:pos="1265"/>
        </w:tabs>
        <w:ind w:firstLine="412" w:firstLineChars="200"/>
        <w:rPr>
          <w:rFonts w:ascii="Times New Roman" w:eastAsia="Times New Roman"/>
          <w:sz w:val="21"/>
        </w:rPr>
      </w:pPr>
      <w:r>
        <w:rPr>
          <w:rFonts w:hint="eastAsia"/>
          <w:spacing w:val="-2"/>
          <w:sz w:val="21"/>
        </w:rPr>
        <w:t xml:space="preserve">17.3.1 </w:t>
      </w:r>
      <w:r>
        <w:rPr>
          <w:spacing w:val="-2"/>
          <w:sz w:val="21"/>
        </w:rPr>
        <w:t>付款时间</w:t>
      </w:r>
    </w:p>
    <w:p>
      <w:pPr>
        <w:pStyle w:val="10"/>
        <w:spacing w:before="7"/>
        <w:rPr>
          <w:sz w:val="15"/>
        </w:rPr>
      </w:pPr>
    </w:p>
    <w:p>
      <w:pPr>
        <w:pStyle w:val="10"/>
        <w:ind w:left="633"/>
      </w:pPr>
      <w:r>
        <w:t>除专用合同条款另有约定外，工程进度付款按月支付。</w:t>
      </w:r>
    </w:p>
    <w:p>
      <w:pPr>
        <w:pStyle w:val="10"/>
        <w:spacing w:before="7"/>
        <w:rPr>
          <w:sz w:val="15"/>
        </w:rPr>
      </w:pPr>
    </w:p>
    <w:p>
      <w:pPr>
        <w:tabs>
          <w:tab w:val="left" w:pos="1265"/>
        </w:tabs>
        <w:ind w:firstLine="399" w:firstLineChars="196"/>
        <w:rPr>
          <w:rFonts w:ascii="Times New Roman" w:eastAsia="Times New Roman"/>
          <w:sz w:val="21"/>
        </w:rPr>
      </w:pPr>
      <w:r>
        <w:rPr>
          <w:rFonts w:hint="eastAsia"/>
          <w:spacing w:val="-3"/>
          <w:sz w:val="21"/>
        </w:rPr>
        <w:t xml:space="preserve">17.3.2 </w:t>
      </w:r>
      <w:r>
        <w:rPr>
          <w:spacing w:val="-3"/>
          <w:sz w:val="21"/>
        </w:rPr>
        <w:t>支付分解表</w:t>
      </w:r>
    </w:p>
    <w:p>
      <w:pPr>
        <w:pStyle w:val="10"/>
        <w:spacing w:before="6"/>
        <w:rPr>
          <w:sz w:val="15"/>
        </w:rPr>
      </w:pPr>
    </w:p>
    <w:p>
      <w:pPr>
        <w:pStyle w:val="10"/>
        <w:spacing w:before="1" w:line="417" w:lineRule="auto"/>
        <w:ind w:left="212" w:right="546" w:firstLine="420"/>
        <w:jc w:val="both"/>
      </w:pPr>
      <w:r>
        <w:rPr>
          <w:spacing w:val="-6"/>
        </w:rPr>
        <w:t>除专用合同条款另有约定外，承包人应根据价格清单的价格构成、费用性质、计划发生时间和相应工</w:t>
      </w:r>
      <w:r>
        <w:rPr>
          <w:spacing w:val="-8"/>
        </w:rPr>
        <w:t xml:space="preserve">作量等因素，按照以下分类和分解原则，结合第 </w:t>
      </w:r>
      <w:r>
        <w:rPr>
          <w:rFonts w:ascii="Times New Roman" w:eastAsia="Times New Roman"/>
        </w:rPr>
        <w:t xml:space="preserve">4.12.1 </w:t>
      </w:r>
      <w:r>
        <w:rPr>
          <w:spacing w:val="-4"/>
        </w:rPr>
        <w:t>项约定的合同进度计划，汇总形成</w:t>
      </w:r>
      <w:r>
        <w:rPr>
          <w:rFonts w:hint="eastAsia"/>
          <w:spacing w:val="-4"/>
        </w:rPr>
        <w:t>季度</w:t>
      </w:r>
      <w:r>
        <w:rPr>
          <w:spacing w:val="-4"/>
        </w:rPr>
        <w:t>支付分解报告。</w:t>
      </w:r>
    </w:p>
    <w:p>
      <w:pPr>
        <w:pStyle w:val="35"/>
        <w:numPr>
          <w:ilvl w:val="0"/>
          <w:numId w:val="45"/>
        </w:numPr>
        <w:tabs>
          <w:tab w:val="left" w:pos="1165"/>
        </w:tabs>
        <w:spacing w:line="417" w:lineRule="auto"/>
        <w:ind w:left="212" w:right="556" w:firstLine="420"/>
        <w:rPr>
          <w:sz w:val="21"/>
        </w:rPr>
      </w:pPr>
      <w:r>
        <w:rPr>
          <w:spacing w:val="-1"/>
          <w:sz w:val="21"/>
        </w:rPr>
        <w:t>材料和工程设备费。分别按订立采购合同、进场验收合格、安装就位、工程竣工等阶段和专用</w:t>
      </w:r>
      <w:r>
        <w:rPr>
          <w:spacing w:val="-3"/>
          <w:sz w:val="21"/>
        </w:rPr>
        <w:t>条款约定的比例进行分解。</w:t>
      </w:r>
    </w:p>
    <w:p>
      <w:pPr>
        <w:pStyle w:val="35"/>
        <w:numPr>
          <w:ilvl w:val="0"/>
          <w:numId w:val="45"/>
        </w:numPr>
        <w:tabs>
          <w:tab w:val="left" w:pos="1163"/>
        </w:tabs>
        <w:spacing w:line="417" w:lineRule="auto"/>
        <w:ind w:left="212" w:right="548" w:firstLine="420"/>
        <w:rPr>
          <w:sz w:val="21"/>
        </w:rPr>
      </w:pPr>
      <w:r>
        <w:rPr>
          <w:spacing w:val="-3"/>
          <w:sz w:val="21"/>
        </w:rPr>
        <w:t xml:space="preserve">技术服务培训费。按照价格清单中的单价，结合第 </w:t>
      </w:r>
      <w:r>
        <w:rPr>
          <w:rFonts w:ascii="Times New Roman" w:eastAsia="Times New Roman"/>
          <w:sz w:val="21"/>
        </w:rPr>
        <w:t>4.12.1</w:t>
      </w:r>
      <w:r>
        <w:rPr>
          <w:rFonts w:ascii="Times New Roman" w:eastAsia="Times New Roman"/>
          <w:spacing w:val="9"/>
          <w:sz w:val="21"/>
        </w:rPr>
        <w:t xml:space="preserve"> </w:t>
      </w:r>
      <w:r>
        <w:rPr>
          <w:spacing w:val="-3"/>
          <w:sz w:val="21"/>
        </w:rPr>
        <w:t>项约定的合同进度计划对应的工作量进行分解。</w:t>
      </w:r>
    </w:p>
    <w:p>
      <w:pPr>
        <w:pStyle w:val="35"/>
        <w:numPr>
          <w:ilvl w:val="0"/>
          <w:numId w:val="45"/>
        </w:numPr>
        <w:tabs>
          <w:tab w:val="left" w:pos="1163"/>
        </w:tabs>
        <w:spacing w:line="269" w:lineRule="exact"/>
        <w:ind w:hanging="530"/>
        <w:rPr>
          <w:sz w:val="21"/>
        </w:rPr>
      </w:pPr>
      <w:r>
        <w:rPr>
          <w:spacing w:val="-7"/>
          <w:sz w:val="21"/>
        </w:rPr>
        <w:t xml:space="preserve">其他工程价款。除第 </w:t>
      </w:r>
      <w:r>
        <w:rPr>
          <w:rFonts w:ascii="Times New Roman" w:eastAsia="Times New Roman"/>
          <w:sz w:val="21"/>
        </w:rPr>
        <w:t>17.1</w:t>
      </w:r>
      <w:r>
        <w:rPr>
          <w:rFonts w:ascii="Times New Roman" w:eastAsia="Times New Roman"/>
          <w:spacing w:val="19"/>
          <w:sz w:val="21"/>
        </w:rPr>
        <w:t xml:space="preserve"> </w:t>
      </w:r>
      <w:r>
        <w:rPr>
          <w:spacing w:val="-3"/>
          <w:sz w:val="21"/>
        </w:rPr>
        <w:t>款约定按已完成工程量计量支付的工程价款外，按照价格清单中的价</w:t>
      </w:r>
    </w:p>
    <w:p>
      <w:pPr>
        <w:pStyle w:val="10"/>
        <w:spacing w:before="7"/>
        <w:rPr>
          <w:sz w:val="15"/>
        </w:rPr>
      </w:pPr>
    </w:p>
    <w:p>
      <w:pPr>
        <w:pStyle w:val="10"/>
        <w:ind w:left="212"/>
      </w:pPr>
      <w:r>
        <w:t xml:space="preserve">格，结合第 </w:t>
      </w:r>
      <w:r>
        <w:rPr>
          <w:rFonts w:ascii="Times New Roman" w:eastAsia="Times New Roman"/>
        </w:rPr>
        <w:t xml:space="preserve">4.12.1 </w:t>
      </w:r>
      <w:r>
        <w:t>项约定的合同进度计划拟完成的工程量或者比例进行分解。</w:t>
      </w:r>
    </w:p>
    <w:p>
      <w:pPr>
        <w:pStyle w:val="10"/>
        <w:spacing w:before="7"/>
        <w:rPr>
          <w:sz w:val="15"/>
        </w:rPr>
      </w:pPr>
    </w:p>
    <w:p>
      <w:pPr>
        <w:pStyle w:val="10"/>
        <w:ind w:left="633"/>
      </w:pPr>
      <w:r>
        <w:rPr>
          <w:spacing w:val="-5"/>
        </w:rPr>
        <w:t xml:space="preserve">承包人应当在收到经监理人批复的合同进度计划后 </w:t>
      </w:r>
      <w:r>
        <w:t>7</w:t>
      </w:r>
      <w:r>
        <w:rPr>
          <w:spacing w:val="-8"/>
        </w:rPr>
        <w:t xml:space="preserve"> 天内，将支付分解报告以及形成支付分解报告的</w:t>
      </w:r>
    </w:p>
    <w:p>
      <w:pPr>
        <w:pStyle w:val="10"/>
        <w:spacing w:before="6"/>
        <w:rPr>
          <w:sz w:val="15"/>
        </w:rPr>
      </w:pPr>
    </w:p>
    <w:p>
      <w:pPr>
        <w:pStyle w:val="10"/>
        <w:spacing w:before="1" w:line="417" w:lineRule="auto"/>
        <w:ind w:left="212" w:right="546"/>
      </w:pPr>
      <w:r>
        <w:rPr>
          <w:spacing w:val="-6"/>
        </w:rPr>
        <w:t xml:space="preserve">支持性资料报监理人审批，监理人应当在收到承包人报送的支付分解报告后 </w:t>
      </w:r>
      <w:r>
        <w:t>7</w:t>
      </w:r>
      <w:r>
        <w:rPr>
          <w:spacing w:val="-7"/>
        </w:rPr>
        <w:t xml:space="preserve"> 天内给予批复或提出修改意见，经监理人批准的支付分解报告为有合同约束力的支付分解表。合同进度计划进行了修订的，应相应修</w:t>
      </w:r>
      <w:r>
        <w:t>改支付分解表，并按本目规定报监理人批复。</w:t>
      </w:r>
    </w:p>
    <w:p>
      <w:pPr>
        <w:pStyle w:val="10"/>
        <w:spacing w:before="7"/>
        <w:rPr>
          <w:sz w:val="15"/>
        </w:rPr>
      </w:pPr>
    </w:p>
    <w:p>
      <w:pPr>
        <w:tabs>
          <w:tab w:val="left" w:pos="1265"/>
        </w:tabs>
        <w:ind w:firstLine="399" w:firstLineChars="196"/>
        <w:rPr>
          <w:rFonts w:ascii="Times New Roman" w:eastAsia="Times New Roman"/>
          <w:sz w:val="21"/>
        </w:rPr>
      </w:pPr>
      <w:r>
        <w:rPr>
          <w:rFonts w:hint="eastAsia"/>
          <w:spacing w:val="-3"/>
          <w:sz w:val="21"/>
        </w:rPr>
        <w:t xml:space="preserve">17.3.3 </w:t>
      </w:r>
      <w:r>
        <w:rPr>
          <w:spacing w:val="-3"/>
          <w:sz w:val="21"/>
        </w:rPr>
        <w:t>进度付款申请单</w:t>
      </w:r>
    </w:p>
    <w:p>
      <w:pPr>
        <w:pStyle w:val="10"/>
        <w:spacing w:before="7"/>
        <w:rPr>
          <w:sz w:val="15"/>
        </w:rPr>
      </w:pPr>
    </w:p>
    <w:p>
      <w:pPr>
        <w:pStyle w:val="10"/>
        <w:spacing w:line="417" w:lineRule="auto"/>
        <w:ind w:left="212" w:right="546" w:firstLine="420"/>
      </w:pPr>
      <w:r>
        <w:rPr>
          <w:spacing w:val="-5"/>
        </w:rPr>
        <w:t>承包人应在每笔进度款支付前，按监理人批准的格式和专用合同条款约定的份数，向监理人提交进度</w:t>
      </w:r>
      <w:r>
        <w:rPr>
          <w:spacing w:val="-4"/>
        </w:rPr>
        <w:t>付款申请单，并附相应的支持性证明文件。除合同另有约定外，进度付款申请单应包括下列内容：</w:t>
      </w:r>
    </w:p>
    <w:p>
      <w:pPr>
        <w:pStyle w:val="35"/>
        <w:numPr>
          <w:ilvl w:val="0"/>
          <w:numId w:val="46"/>
        </w:numPr>
        <w:tabs>
          <w:tab w:val="left" w:pos="1163"/>
        </w:tabs>
        <w:spacing w:line="269" w:lineRule="exact"/>
        <w:ind w:hanging="530"/>
        <w:rPr>
          <w:sz w:val="21"/>
        </w:rPr>
      </w:pPr>
      <w:r>
        <w:rPr>
          <w:spacing w:val="-3"/>
          <w:sz w:val="21"/>
        </w:rPr>
        <w:t>当期应支付金额总额，以及截至当期期末累计应支付金额总额、已支付的进度付款金额总额；</w:t>
      </w:r>
    </w:p>
    <w:p>
      <w:pPr>
        <w:pStyle w:val="10"/>
        <w:spacing w:before="7"/>
        <w:rPr>
          <w:sz w:val="15"/>
        </w:rPr>
      </w:pPr>
    </w:p>
    <w:p>
      <w:pPr>
        <w:pStyle w:val="35"/>
        <w:numPr>
          <w:ilvl w:val="0"/>
          <w:numId w:val="46"/>
        </w:numPr>
        <w:tabs>
          <w:tab w:val="left" w:pos="1163"/>
        </w:tabs>
        <w:ind w:hanging="530"/>
        <w:rPr>
          <w:sz w:val="21"/>
        </w:rPr>
      </w:pPr>
      <w:r>
        <w:rPr>
          <w:spacing w:val="-3"/>
          <w:sz w:val="21"/>
        </w:rPr>
        <w:t>当期根据支付分解表应支付金额，以及截至当期期末累计应支付金额；</w:t>
      </w:r>
    </w:p>
    <w:p>
      <w:pPr>
        <w:pStyle w:val="10"/>
        <w:spacing w:before="7"/>
        <w:rPr>
          <w:sz w:val="15"/>
        </w:rPr>
      </w:pPr>
    </w:p>
    <w:p>
      <w:pPr>
        <w:pStyle w:val="35"/>
        <w:numPr>
          <w:ilvl w:val="0"/>
          <w:numId w:val="46"/>
        </w:numPr>
        <w:tabs>
          <w:tab w:val="left" w:pos="1163"/>
        </w:tabs>
        <w:ind w:hanging="530"/>
        <w:rPr>
          <w:sz w:val="21"/>
        </w:rPr>
      </w:pPr>
      <w:r>
        <w:rPr>
          <w:spacing w:val="-11"/>
          <w:sz w:val="21"/>
        </w:rPr>
        <w:t xml:space="preserve">当期根据第 </w:t>
      </w:r>
      <w:r>
        <w:rPr>
          <w:rFonts w:ascii="Times New Roman" w:eastAsia="Times New Roman"/>
          <w:sz w:val="21"/>
        </w:rPr>
        <w:t>17.1</w:t>
      </w:r>
      <w:r>
        <w:rPr>
          <w:rFonts w:ascii="Times New Roman" w:eastAsia="Times New Roman"/>
          <w:spacing w:val="3"/>
          <w:sz w:val="21"/>
        </w:rPr>
        <w:t xml:space="preserve"> </w:t>
      </w:r>
      <w:r>
        <w:rPr>
          <w:spacing w:val="-3"/>
          <w:sz w:val="21"/>
        </w:rPr>
        <w:t>款约定计量的已实施工程应支付金额，以及截至当期期末累计应支付金额；</w:t>
      </w:r>
    </w:p>
    <w:p>
      <w:pPr>
        <w:pStyle w:val="10"/>
        <w:spacing w:before="6"/>
        <w:rPr>
          <w:sz w:val="15"/>
        </w:rPr>
      </w:pPr>
    </w:p>
    <w:p>
      <w:pPr>
        <w:pStyle w:val="35"/>
        <w:numPr>
          <w:ilvl w:val="0"/>
          <w:numId w:val="46"/>
        </w:numPr>
        <w:tabs>
          <w:tab w:val="left" w:pos="1163"/>
        </w:tabs>
        <w:ind w:hanging="530"/>
        <w:rPr>
          <w:sz w:val="21"/>
        </w:rPr>
      </w:pPr>
      <w:r>
        <w:rPr>
          <w:spacing w:val="-12"/>
          <w:sz w:val="21"/>
        </w:rPr>
        <w:t xml:space="preserve">当期根据第 </w:t>
      </w:r>
      <w:r>
        <w:rPr>
          <w:rFonts w:ascii="Times New Roman" w:eastAsia="Times New Roman"/>
          <w:sz w:val="21"/>
        </w:rPr>
        <w:t>15</w:t>
      </w:r>
      <w:r>
        <w:rPr>
          <w:rFonts w:ascii="Times New Roman" w:eastAsia="Times New Roman"/>
          <w:spacing w:val="-3"/>
          <w:sz w:val="21"/>
        </w:rPr>
        <w:t xml:space="preserve"> </w:t>
      </w:r>
      <w:r>
        <w:rPr>
          <w:spacing w:val="-3"/>
          <w:sz w:val="21"/>
        </w:rPr>
        <w:t>条应增加和扣减的变更金额，以及截至当期期末累计变更金额；</w:t>
      </w:r>
    </w:p>
    <w:p>
      <w:pPr>
        <w:pStyle w:val="10"/>
        <w:spacing w:before="7"/>
        <w:rPr>
          <w:sz w:val="15"/>
        </w:rPr>
      </w:pPr>
    </w:p>
    <w:p>
      <w:pPr>
        <w:pStyle w:val="35"/>
        <w:numPr>
          <w:ilvl w:val="0"/>
          <w:numId w:val="46"/>
        </w:numPr>
        <w:tabs>
          <w:tab w:val="left" w:pos="1163"/>
        </w:tabs>
        <w:ind w:hanging="530"/>
        <w:rPr>
          <w:sz w:val="21"/>
        </w:rPr>
      </w:pPr>
      <w:r>
        <w:rPr>
          <w:spacing w:val="-12"/>
          <w:sz w:val="21"/>
        </w:rPr>
        <w:t xml:space="preserve">当期根据第 </w:t>
      </w:r>
      <w:r>
        <w:rPr>
          <w:rFonts w:ascii="Times New Roman" w:eastAsia="Times New Roman"/>
          <w:sz w:val="21"/>
        </w:rPr>
        <w:t>23</w:t>
      </w:r>
      <w:r>
        <w:rPr>
          <w:rFonts w:ascii="Times New Roman" w:eastAsia="Times New Roman"/>
          <w:spacing w:val="52"/>
          <w:sz w:val="21"/>
        </w:rPr>
        <w:t xml:space="preserve"> </w:t>
      </w:r>
      <w:r>
        <w:rPr>
          <w:spacing w:val="-3"/>
          <w:sz w:val="21"/>
        </w:rPr>
        <w:t>条应增加和扣减的索赔金额，以及截至当期期末累计索赔金额；</w:t>
      </w:r>
    </w:p>
    <w:p>
      <w:pPr>
        <w:pStyle w:val="10"/>
        <w:spacing w:before="7"/>
        <w:rPr>
          <w:sz w:val="15"/>
        </w:rPr>
      </w:pPr>
    </w:p>
    <w:p>
      <w:pPr>
        <w:pStyle w:val="35"/>
        <w:numPr>
          <w:ilvl w:val="0"/>
          <w:numId w:val="46"/>
        </w:numPr>
        <w:tabs>
          <w:tab w:val="left" w:pos="1163"/>
        </w:tabs>
        <w:spacing w:before="1" w:line="417" w:lineRule="auto"/>
        <w:ind w:left="212" w:right="546" w:firstLine="420"/>
        <w:rPr>
          <w:sz w:val="21"/>
        </w:rPr>
      </w:pPr>
      <w:r>
        <w:rPr>
          <w:spacing w:val="-10"/>
          <w:sz w:val="21"/>
        </w:rPr>
        <w:t xml:space="preserve">当期根据第 </w:t>
      </w:r>
      <w:r>
        <w:rPr>
          <w:rFonts w:ascii="Times New Roman" w:eastAsia="Times New Roman"/>
          <w:sz w:val="21"/>
        </w:rPr>
        <w:t>17.2</w:t>
      </w:r>
      <w:r>
        <w:rPr>
          <w:rFonts w:ascii="Times New Roman" w:eastAsia="Times New Roman"/>
          <w:spacing w:val="29"/>
          <w:sz w:val="21"/>
        </w:rPr>
        <w:t xml:space="preserve"> </w:t>
      </w:r>
      <w:r>
        <w:rPr>
          <w:spacing w:val="-4"/>
          <w:sz w:val="21"/>
        </w:rPr>
        <w:t>款约定应支付的预付款和扣减的返还预付款金额，以及截至当期期末累计返还</w:t>
      </w:r>
      <w:r>
        <w:rPr>
          <w:spacing w:val="-3"/>
          <w:sz w:val="21"/>
        </w:rPr>
        <w:t>预付款金额；</w:t>
      </w:r>
    </w:p>
    <w:p>
      <w:pPr>
        <w:pStyle w:val="35"/>
        <w:numPr>
          <w:ilvl w:val="0"/>
          <w:numId w:val="46"/>
        </w:numPr>
        <w:tabs>
          <w:tab w:val="left" w:pos="1163"/>
        </w:tabs>
        <w:spacing w:line="417" w:lineRule="auto"/>
        <w:ind w:left="212" w:right="546" w:firstLine="420"/>
        <w:rPr>
          <w:sz w:val="21"/>
        </w:rPr>
      </w:pPr>
      <w:r>
        <w:rPr>
          <w:spacing w:val="-4"/>
          <w:sz w:val="21"/>
        </w:rPr>
        <w:t xml:space="preserve">当期根据第 </w:t>
      </w:r>
      <w:r>
        <w:rPr>
          <w:rFonts w:ascii="Times New Roman" w:eastAsia="Times New Roman"/>
          <w:sz w:val="21"/>
        </w:rPr>
        <w:t>17.4.1</w:t>
      </w:r>
      <w:r>
        <w:rPr>
          <w:rFonts w:ascii="Times New Roman" w:eastAsia="Times New Roman"/>
          <w:spacing w:val="18"/>
          <w:sz w:val="21"/>
        </w:rPr>
        <w:t xml:space="preserve"> </w:t>
      </w:r>
      <w:r>
        <w:rPr>
          <w:spacing w:val="-3"/>
          <w:sz w:val="21"/>
        </w:rPr>
        <w:t>项约定应扣减的质量保证金金额，以及截至当期期末累计扣减的质量保证金金额；</w:t>
      </w:r>
    </w:p>
    <w:p>
      <w:pPr>
        <w:pStyle w:val="35"/>
        <w:numPr>
          <w:ilvl w:val="0"/>
          <w:numId w:val="46"/>
        </w:numPr>
        <w:tabs>
          <w:tab w:val="left" w:pos="1163"/>
        </w:tabs>
        <w:spacing w:line="269" w:lineRule="exact"/>
        <w:ind w:hanging="530"/>
        <w:rPr>
          <w:sz w:val="21"/>
        </w:rPr>
      </w:pPr>
      <w:r>
        <w:rPr>
          <w:spacing w:val="-3"/>
          <w:sz w:val="21"/>
        </w:rPr>
        <w:t>当期根据合同应增加和扣减的其他金额，以及截至当期期末累计增加和扣减的金额。</w:t>
      </w:r>
    </w:p>
    <w:p>
      <w:pPr>
        <w:pStyle w:val="10"/>
        <w:spacing w:before="6"/>
        <w:rPr>
          <w:sz w:val="15"/>
        </w:rPr>
      </w:pPr>
    </w:p>
    <w:p>
      <w:pPr>
        <w:tabs>
          <w:tab w:val="left" w:pos="1265"/>
        </w:tabs>
        <w:ind w:firstLine="399" w:firstLineChars="196"/>
        <w:jc w:val="both"/>
        <w:rPr>
          <w:rFonts w:ascii="Times New Roman" w:eastAsia="Times New Roman"/>
          <w:sz w:val="21"/>
        </w:rPr>
      </w:pPr>
      <w:r>
        <w:rPr>
          <w:rFonts w:hint="eastAsia"/>
          <w:spacing w:val="-3"/>
          <w:sz w:val="21"/>
        </w:rPr>
        <w:t xml:space="preserve">17.3.4 </w:t>
      </w:r>
      <w:r>
        <w:rPr>
          <w:spacing w:val="-3"/>
          <w:sz w:val="21"/>
        </w:rPr>
        <w:t>进度付款证书和支付时间</w:t>
      </w:r>
    </w:p>
    <w:p>
      <w:pPr>
        <w:pStyle w:val="10"/>
        <w:spacing w:before="7"/>
        <w:rPr>
          <w:sz w:val="15"/>
        </w:rPr>
      </w:pPr>
    </w:p>
    <w:p>
      <w:pPr>
        <w:pStyle w:val="35"/>
        <w:numPr>
          <w:ilvl w:val="0"/>
          <w:numId w:val="47"/>
        </w:numPr>
        <w:tabs>
          <w:tab w:val="left" w:pos="1163"/>
        </w:tabs>
        <w:spacing w:line="417" w:lineRule="auto"/>
        <w:ind w:right="525" w:firstLine="420"/>
        <w:jc w:val="both"/>
        <w:rPr>
          <w:sz w:val="21"/>
        </w:rPr>
      </w:pPr>
      <w:r>
        <w:rPr>
          <w:spacing w:val="-5"/>
          <w:sz w:val="21"/>
        </w:rPr>
        <w:t xml:space="preserve">监理人在收到承包人进度付款申请单以及相应的支持性证明文件后的 </w:t>
      </w:r>
      <w:r>
        <w:rPr>
          <w:rFonts w:ascii="Times New Roman" w:eastAsia="Times New Roman"/>
          <w:sz w:val="21"/>
        </w:rPr>
        <w:t>14</w:t>
      </w:r>
      <w:r>
        <w:rPr>
          <w:rFonts w:ascii="Times New Roman" w:eastAsia="Times New Roman"/>
          <w:spacing w:val="14"/>
          <w:sz w:val="21"/>
        </w:rPr>
        <w:t xml:space="preserve"> </w:t>
      </w:r>
      <w:r>
        <w:rPr>
          <w:spacing w:val="-4"/>
          <w:sz w:val="21"/>
        </w:rPr>
        <w:t>天内完成审核，提出发</w:t>
      </w:r>
      <w:r>
        <w:rPr>
          <w:spacing w:val="-5"/>
          <w:sz w:val="21"/>
        </w:rPr>
        <w:t>包人到期应支付给承包人的金额以及相应的支持性材料，经发包人审批同意后，由监理人向承包人出具经</w:t>
      </w:r>
      <w:r>
        <w:rPr>
          <w:spacing w:val="-4"/>
          <w:sz w:val="21"/>
        </w:rPr>
        <w:t>发包人签认的进度付款证书。监理人未能在前述时间完成审核的，视为监理人同意承包人进度付款申请。</w:t>
      </w:r>
      <w:r>
        <w:rPr>
          <w:spacing w:val="-3"/>
          <w:sz w:val="21"/>
        </w:rPr>
        <w:t>监理人有权核减承包人未能按照合同要求履行任何工作或义务的相应金额。</w:t>
      </w:r>
    </w:p>
    <w:p>
      <w:pPr>
        <w:pStyle w:val="35"/>
        <w:numPr>
          <w:ilvl w:val="0"/>
          <w:numId w:val="47"/>
        </w:numPr>
        <w:tabs>
          <w:tab w:val="left" w:pos="1160"/>
        </w:tabs>
        <w:spacing w:line="417" w:lineRule="auto"/>
        <w:ind w:right="546" w:firstLine="420"/>
        <w:jc w:val="both"/>
        <w:rPr>
          <w:sz w:val="21"/>
          <w:highlight w:val="yellow"/>
        </w:rPr>
      </w:pPr>
      <w:r>
        <w:rPr>
          <w:spacing w:val="-5"/>
          <w:sz w:val="21"/>
          <w:highlight w:val="yellow"/>
        </w:rPr>
        <w:t xml:space="preserve">发包人最迟应在监理人收到进度付款申请单后的 </w:t>
      </w:r>
      <w:r>
        <w:rPr>
          <w:rFonts w:ascii="Times New Roman" w:eastAsia="Times New Roman"/>
          <w:sz w:val="21"/>
          <w:highlight w:val="yellow"/>
        </w:rPr>
        <w:t>28</w:t>
      </w:r>
      <w:r>
        <w:rPr>
          <w:rFonts w:ascii="Times New Roman" w:eastAsia="Times New Roman"/>
          <w:spacing w:val="12"/>
          <w:sz w:val="21"/>
          <w:highlight w:val="yellow"/>
        </w:rPr>
        <w:t xml:space="preserve">  </w:t>
      </w:r>
      <w:r>
        <w:rPr>
          <w:spacing w:val="-9"/>
          <w:sz w:val="21"/>
          <w:highlight w:val="yellow"/>
        </w:rPr>
        <w:t>天内，将进度应付款支付给承包人。发包</w:t>
      </w:r>
      <w:r>
        <w:rPr>
          <w:spacing w:val="-8"/>
          <w:sz w:val="21"/>
          <w:highlight w:val="yellow"/>
        </w:rPr>
        <w:t>人未能在前述时间内完成审批或不予答复的，视为发包人同意进度付款申请。</w:t>
      </w:r>
    </w:p>
    <w:p>
      <w:pPr>
        <w:pStyle w:val="35"/>
        <w:numPr>
          <w:ilvl w:val="0"/>
          <w:numId w:val="47"/>
        </w:numPr>
        <w:tabs>
          <w:tab w:val="left" w:pos="1165"/>
        </w:tabs>
        <w:spacing w:line="417" w:lineRule="auto"/>
        <w:ind w:right="547" w:firstLine="420"/>
        <w:jc w:val="both"/>
        <w:rPr>
          <w:sz w:val="21"/>
        </w:rPr>
      </w:pPr>
      <w:r>
        <w:rPr>
          <w:sz w:val="21"/>
        </w:rPr>
        <w:t>监理逾期付款违约金在对以往历次已签发的进度付款证书进行汇总和复核中发现错、漏或重复</w:t>
      </w:r>
      <w:r>
        <w:rPr>
          <w:spacing w:val="-5"/>
          <w:sz w:val="21"/>
        </w:rPr>
        <w:t>的，监理人有权予以修正，承包人也有权提出修正申请。经监理人、承包人复核同意的修正，应在本次进</w:t>
      </w:r>
      <w:r>
        <w:rPr>
          <w:spacing w:val="-4"/>
          <w:sz w:val="21"/>
        </w:rPr>
        <w:t>度付款中支付或扣除。</w:t>
      </w:r>
    </w:p>
    <w:p>
      <w:pPr>
        <w:pStyle w:val="35"/>
        <w:numPr>
          <w:ilvl w:val="0"/>
          <w:numId w:val="47"/>
        </w:numPr>
        <w:tabs>
          <w:tab w:val="left" w:pos="1163"/>
        </w:tabs>
        <w:ind w:left="1162" w:hanging="530"/>
        <w:rPr>
          <w:sz w:val="21"/>
        </w:rPr>
      </w:pPr>
      <w:r>
        <w:rPr>
          <w:spacing w:val="-4"/>
          <w:sz w:val="21"/>
        </w:rPr>
        <w:t>进度付款涉及政府投资资金的，按照国库集中支付等国家相关规定和专用合同条款的约定执行。</w:t>
      </w:r>
    </w:p>
    <w:p>
      <w:pPr>
        <w:pStyle w:val="10"/>
        <w:rPr>
          <w:sz w:val="20"/>
        </w:rPr>
      </w:pPr>
    </w:p>
    <w:p>
      <w:pPr>
        <w:pStyle w:val="35"/>
        <w:numPr>
          <w:ilvl w:val="1"/>
          <w:numId w:val="44"/>
        </w:numPr>
        <w:rPr>
          <w:rFonts w:ascii="Times New Roman" w:eastAsia="Times New Roman"/>
        </w:rPr>
      </w:pPr>
      <w:bookmarkStart w:id="263" w:name="_bookmark196"/>
      <w:bookmarkEnd w:id="263"/>
      <w:r>
        <w:rPr>
          <w:rFonts w:hint="eastAsia"/>
          <w:spacing w:val="-1"/>
        </w:rPr>
        <w:t xml:space="preserve"> </w:t>
      </w:r>
      <w:r>
        <w:rPr>
          <w:spacing w:val="-1"/>
        </w:rPr>
        <w:t>质量保证金</w:t>
      </w:r>
    </w:p>
    <w:p>
      <w:pPr>
        <w:pStyle w:val="10"/>
        <w:spacing w:before="2"/>
        <w:rPr>
          <w:rFonts w:ascii="黑体"/>
          <w:sz w:val="38"/>
        </w:rPr>
      </w:pPr>
    </w:p>
    <w:p>
      <w:pPr>
        <w:tabs>
          <w:tab w:val="left" w:pos="1265"/>
        </w:tabs>
        <w:ind w:firstLine="392" w:firstLineChars="196"/>
        <w:jc w:val="both"/>
      </w:pPr>
      <w:r>
        <w:rPr>
          <w:rFonts w:hint="eastAsia"/>
          <w:spacing w:val="-5"/>
          <w:sz w:val="21"/>
        </w:rPr>
        <w:t xml:space="preserve">17.4.1 </w:t>
      </w:r>
      <w:r>
        <w:rPr>
          <w:spacing w:val="-5"/>
          <w:sz w:val="21"/>
        </w:rPr>
        <w:t>监理人应从发包人的每笔进度付款中，按专用合同条款的约定扣留质量保证金，直至扣留的质</w:t>
      </w:r>
      <w:r>
        <w:rPr>
          <w:spacing w:val="-5"/>
        </w:rPr>
        <w:t>量保证金总额达到专用合同条款约定的金额或比例为止。质量保证金的计算额度不包括预付款的支付、扣</w:t>
      </w:r>
      <w:r>
        <w:rPr>
          <w:spacing w:val="-4"/>
        </w:rPr>
        <w:t>回以及价格调整的金额。</w:t>
      </w:r>
    </w:p>
    <w:p>
      <w:pPr>
        <w:pStyle w:val="35"/>
        <w:numPr>
          <w:ilvl w:val="2"/>
          <w:numId w:val="44"/>
        </w:numPr>
        <w:tabs>
          <w:tab w:val="left" w:pos="1267"/>
        </w:tabs>
        <w:spacing w:line="417" w:lineRule="auto"/>
        <w:ind w:left="212" w:right="546" w:firstLine="420"/>
        <w:jc w:val="both"/>
        <w:rPr>
          <w:rFonts w:ascii="Times New Roman" w:eastAsia="Times New Roman"/>
          <w:sz w:val="21"/>
        </w:rPr>
      </w:pPr>
      <w:r>
        <w:rPr>
          <w:spacing w:val="5"/>
          <w:sz w:val="21"/>
        </w:rPr>
        <w:t xml:space="preserve">在第 </w:t>
      </w:r>
      <w:r>
        <w:rPr>
          <w:rFonts w:ascii="Times New Roman" w:eastAsia="Times New Roman"/>
          <w:sz w:val="21"/>
        </w:rPr>
        <w:t>1.1.4.5</w:t>
      </w:r>
      <w:r>
        <w:rPr>
          <w:rFonts w:ascii="Times New Roman" w:eastAsia="Times New Roman"/>
          <w:spacing w:val="21"/>
          <w:sz w:val="21"/>
        </w:rPr>
        <w:t xml:space="preserve"> </w:t>
      </w:r>
      <w:r>
        <w:rPr>
          <w:spacing w:val="-3"/>
          <w:sz w:val="21"/>
        </w:rPr>
        <w:t>目约定的缺陷责任期满时，承包人向发包人申请到期应返还承包人剩余的质量保</w:t>
      </w:r>
      <w:r>
        <w:rPr>
          <w:spacing w:val="-2"/>
          <w:sz w:val="21"/>
        </w:rPr>
        <w:t xml:space="preserve">证金，发包人应在 </w:t>
      </w:r>
      <w:r>
        <w:rPr>
          <w:sz w:val="21"/>
        </w:rPr>
        <w:t>14</w:t>
      </w:r>
      <w:r>
        <w:rPr>
          <w:spacing w:val="-3"/>
          <w:sz w:val="21"/>
        </w:rPr>
        <w:t xml:space="preserve"> 天内会同承包人按照合同约定的内容核实承包人是否完成缺陷责任。如无异议，发包人应当在核实后将剩余质量保证金返还承包人。</w:t>
      </w:r>
    </w:p>
    <w:p>
      <w:pPr>
        <w:pStyle w:val="35"/>
        <w:numPr>
          <w:ilvl w:val="2"/>
          <w:numId w:val="44"/>
        </w:numPr>
        <w:tabs>
          <w:tab w:val="left" w:pos="1267"/>
        </w:tabs>
        <w:spacing w:line="417" w:lineRule="auto"/>
        <w:ind w:left="212" w:right="546" w:firstLine="420"/>
        <w:jc w:val="both"/>
        <w:rPr>
          <w:rFonts w:ascii="Times New Roman" w:eastAsia="Times New Roman"/>
          <w:sz w:val="21"/>
        </w:rPr>
      </w:pPr>
      <w:r>
        <w:rPr>
          <w:spacing w:val="5"/>
          <w:sz w:val="21"/>
        </w:rPr>
        <w:t xml:space="preserve">在第 </w:t>
      </w:r>
      <w:r>
        <w:rPr>
          <w:rFonts w:ascii="Times New Roman" w:eastAsia="Times New Roman"/>
          <w:sz w:val="21"/>
        </w:rPr>
        <w:t>1.1.4.5</w:t>
      </w:r>
      <w:r>
        <w:rPr>
          <w:rFonts w:ascii="Times New Roman" w:eastAsia="Times New Roman"/>
          <w:spacing w:val="21"/>
          <w:sz w:val="21"/>
        </w:rPr>
        <w:t xml:space="preserve"> </w:t>
      </w:r>
      <w:r>
        <w:rPr>
          <w:spacing w:val="-3"/>
          <w:sz w:val="21"/>
        </w:rPr>
        <w:t xml:space="preserve">目约定的缺陷责任期满时，承包人没有完成缺陷责任的，发包人有权扣留与未履行责任剩余工作所需金额相应的质量保证金余额，并有权根据第 </w:t>
      </w:r>
      <w:r>
        <w:rPr>
          <w:sz w:val="21"/>
        </w:rPr>
        <w:t>19.3</w:t>
      </w:r>
      <w:r>
        <w:rPr>
          <w:spacing w:val="-3"/>
          <w:sz w:val="21"/>
        </w:rPr>
        <w:t xml:space="preserve"> 款约定要求延长缺陷责任期，直至完成剩余工作为止。</w:t>
      </w:r>
    </w:p>
    <w:p>
      <w:pPr>
        <w:pStyle w:val="10"/>
        <w:rPr>
          <w:sz w:val="23"/>
        </w:rPr>
      </w:pPr>
    </w:p>
    <w:p>
      <w:pPr>
        <w:ind w:firstLine="427" w:firstLineChars="196"/>
        <w:rPr>
          <w:rFonts w:ascii="Times New Roman" w:eastAsia="Times New Roman"/>
        </w:rPr>
      </w:pPr>
      <w:bookmarkStart w:id="264" w:name="_bookmark197"/>
      <w:bookmarkEnd w:id="264"/>
      <w:r>
        <w:rPr>
          <w:rFonts w:hint="eastAsia"/>
          <w:spacing w:val="-1"/>
        </w:rPr>
        <w:t xml:space="preserve">17.5 </w:t>
      </w:r>
      <w:r>
        <w:rPr>
          <w:spacing w:val="-1"/>
        </w:rPr>
        <w:t>竣工结算</w:t>
      </w:r>
    </w:p>
    <w:p>
      <w:pPr>
        <w:pStyle w:val="10"/>
        <w:spacing w:before="2"/>
        <w:rPr>
          <w:rFonts w:ascii="黑体"/>
          <w:sz w:val="38"/>
        </w:rPr>
      </w:pPr>
    </w:p>
    <w:p>
      <w:pPr>
        <w:tabs>
          <w:tab w:val="left" w:pos="1265"/>
        </w:tabs>
        <w:ind w:firstLine="399" w:firstLineChars="196"/>
        <w:jc w:val="both"/>
        <w:rPr>
          <w:rFonts w:ascii="Times New Roman" w:eastAsia="Times New Roman"/>
          <w:sz w:val="21"/>
        </w:rPr>
      </w:pPr>
      <w:r>
        <w:rPr>
          <w:rFonts w:hint="eastAsia"/>
          <w:spacing w:val="-3"/>
          <w:sz w:val="21"/>
        </w:rPr>
        <w:t xml:space="preserve">17.5.1 </w:t>
      </w:r>
      <w:r>
        <w:rPr>
          <w:spacing w:val="-3"/>
          <w:sz w:val="21"/>
        </w:rPr>
        <w:t>竣工付款申请单</w:t>
      </w:r>
    </w:p>
    <w:p>
      <w:pPr>
        <w:pStyle w:val="10"/>
        <w:spacing w:before="7"/>
        <w:rPr>
          <w:sz w:val="15"/>
        </w:rPr>
      </w:pPr>
    </w:p>
    <w:p>
      <w:pPr>
        <w:pStyle w:val="35"/>
        <w:numPr>
          <w:ilvl w:val="0"/>
          <w:numId w:val="48"/>
        </w:numPr>
        <w:tabs>
          <w:tab w:val="left" w:pos="1165"/>
        </w:tabs>
        <w:spacing w:line="417" w:lineRule="auto"/>
        <w:ind w:right="551" w:firstLine="420"/>
        <w:jc w:val="both"/>
        <w:rPr>
          <w:sz w:val="21"/>
        </w:rPr>
      </w:pPr>
      <w:r>
        <w:rPr>
          <w:sz w:val="21"/>
        </w:rPr>
        <w:t>工程接收证书颁发后，承包人应按专用合同条款约定的份数和期限向监理人提交竣工付款申请</w:t>
      </w:r>
      <w:r>
        <w:rPr>
          <w:spacing w:val="-5"/>
          <w:sz w:val="21"/>
        </w:rPr>
        <w:t>单，并提供相关证明材料。除专用合同条款另有约定外，竣工付款申请单应包括下列内容：竣工结算合同</w:t>
      </w:r>
      <w:r>
        <w:rPr>
          <w:spacing w:val="-4"/>
          <w:sz w:val="21"/>
        </w:rPr>
        <w:t>总价、发包人已支付承包人的工程价款、应扣留的质量保证金、应支付的竣工付款金额。</w:t>
      </w:r>
    </w:p>
    <w:p>
      <w:pPr>
        <w:pStyle w:val="35"/>
        <w:numPr>
          <w:ilvl w:val="0"/>
          <w:numId w:val="48"/>
        </w:numPr>
        <w:tabs>
          <w:tab w:val="left" w:pos="1165"/>
        </w:tabs>
        <w:spacing w:line="417" w:lineRule="auto"/>
        <w:ind w:right="555" w:firstLine="420"/>
        <w:rPr>
          <w:sz w:val="21"/>
        </w:rPr>
      </w:pPr>
      <w:r>
        <w:rPr>
          <w:spacing w:val="-1"/>
          <w:sz w:val="21"/>
        </w:rPr>
        <w:t>监理人对竣工付款申请单有异议的，有权要求承包人进行修正和提供补充资料。经监理人和承</w:t>
      </w:r>
      <w:r>
        <w:rPr>
          <w:spacing w:val="-3"/>
          <w:sz w:val="21"/>
        </w:rPr>
        <w:t>包人协商后，由承包人向监理人提交修正后的竣工付款申请单。</w:t>
      </w:r>
    </w:p>
    <w:p>
      <w:pPr>
        <w:tabs>
          <w:tab w:val="left" w:pos="1265"/>
        </w:tabs>
        <w:spacing w:line="269" w:lineRule="exact"/>
        <w:ind w:firstLine="399" w:firstLineChars="196"/>
        <w:rPr>
          <w:rFonts w:ascii="Times New Roman" w:eastAsia="Times New Roman"/>
          <w:sz w:val="21"/>
        </w:rPr>
      </w:pPr>
      <w:r>
        <w:rPr>
          <w:rFonts w:hint="eastAsia"/>
          <w:spacing w:val="-3"/>
          <w:sz w:val="21"/>
        </w:rPr>
        <w:t xml:space="preserve">17.5.2 </w:t>
      </w:r>
      <w:r>
        <w:rPr>
          <w:spacing w:val="-3"/>
          <w:sz w:val="21"/>
        </w:rPr>
        <w:t>竣工付款证书及支付时间</w:t>
      </w:r>
    </w:p>
    <w:p>
      <w:pPr>
        <w:pStyle w:val="10"/>
        <w:spacing w:before="6"/>
        <w:rPr>
          <w:sz w:val="15"/>
        </w:rPr>
      </w:pPr>
    </w:p>
    <w:p>
      <w:pPr>
        <w:pStyle w:val="35"/>
        <w:numPr>
          <w:ilvl w:val="0"/>
          <w:numId w:val="49"/>
        </w:numPr>
        <w:tabs>
          <w:tab w:val="left" w:pos="1163"/>
        </w:tabs>
        <w:ind w:hanging="530"/>
        <w:jc w:val="both"/>
        <w:rPr>
          <w:sz w:val="21"/>
        </w:rPr>
      </w:pPr>
      <w:r>
        <w:rPr>
          <w:spacing w:val="-6"/>
          <w:sz w:val="21"/>
        </w:rPr>
        <w:t xml:space="preserve">监理人在收到承包人提交的竣工付款申请单后的 </w:t>
      </w:r>
      <w:r>
        <w:rPr>
          <w:rFonts w:ascii="Times New Roman" w:eastAsia="Times New Roman"/>
          <w:sz w:val="21"/>
        </w:rPr>
        <w:t>14</w:t>
      </w:r>
      <w:r>
        <w:rPr>
          <w:rFonts w:ascii="Times New Roman" w:eastAsia="Times New Roman"/>
          <w:spacing w:val="2"/>
          <w:sz w:val="21"/>
        </w:rPr>
        <w:t xml:space="preserve"> </w:t>
      </w:r>
      <w:r>
        <w:rPr>
          <w:spacing w:val="-5"/>
          <w:sz w:val="21"/>
        </w:rPr>
        <w:t>天内完成核查，提出发包人到期应支付给承</w:t>
      </w:r>
    </w:p>
    <w:p>
      <w:pPr>
        <w:pStyle w:val="10"/>
        <w:spacing w:before="7"/>
        <w:rPr>
          <w:sz w:val="15"/>
        </w:rPr>
      </w:pPr>
    </w:p>
    <w:p>
      <w:pPr>
        <w:pStyle w:val="10"/>
        <w:spacing w:line="417" w:lineRule="auto"/>
        <w:ind w:left="212" w:right="546"/>
        <w:jc w:val="both"/>
      </w:pPr>
      <w:r>
        <w:rPr>
          <w:spacing w:val="-3"/>
        </w:rPr>
        <w:t xml:space="preserve">包人的价款送发包人审核并抄送承包人。发包人应在收到后 </w:t>
      </w:r>
      <w:r>
        <w:rPr>
          <w:rFonts w:ascii="Times New Roman" w:eastAsia="Times New Roman"/>
        </w:rPr>
        <w:t xml:space="preserve">14 </w:t>
      </w:r>
      <w:r>
        <w:rPr>
          <w:spacing w:val="-3"/>
        </w:rPr>
        <w:t>天内审核完毕，由监理人向承包人出具经</w:t>
      </w:r>
      <w:r>
        <w:rPr>
          <w:spacing w:val="-6"/>
        </w:rPr>
        <w:t>发包人签认的竣工付款证书。</w:t>
      </w:r>
    </w:p>
    <w:p>
      <w:pPr>
        <w:pStyle w:val="35"/>
        <w:numPr>
          <w:ilvl w:val="0"/>
          <w:numId w:val="49"/>
        </w:numPr>
        <w:tabs>
          <w:tab w:val="left" w:pos="1160"/>
        </w:tabs>
        <w:spacing w:line="417" w:lineRule="auto"/>
        <w:ind w:left="212" w:right="549" w:firstLine="420"/>
        <w:rPr>
          <w:sz w:val="21"/>
        </w:rPr>
      </w:pPr>
      <w:r>
        <w:rPr>
          <w:spacing w:val="-5"/>
          <w:sz w:val="21"/>
        </w:rPr>
        <w:t xml:space="preserve">发包人应在监理人出具竣工付款证书后的 </w:t>
      </w:r>
      <w:r>
        <w:rPr>
          <w:rFonts w:ascii="Times New Roman" w:eastAsia="Times New Roman"/>
          <w:sz w:val="21"/>
        </w:rPr>
        <w:t>14</w:t>
      </w:r>
      <w:r>
        <w:rPr>
          <w:rFonts w:ascii="Times New Roman" w:eastAsia="Times New Roman"/>
          <w:spacing w:val="12"/>
          <w:sz w:val="21"/>
        </w:rPr>
        <w:t xml:space="preserve">  </w:t>
      </w:r>
      <w:r>
        <w:rPr>
          <w:spacing w:val="-9"/>
          <w:sz w:val="21"/>
        </w:rPr>
        <w:t>天内，将应支付款支付给承包人。发包人不按期</w:t>
      </w:r>
      <w:r>
        <w:rPr>
          <w:spacing w:val="-10"/>
          <w:sz w:val="21"/>
        </w:rPr>
        <w:t xml:space="preserve">支付的，按第 </w:t>
      </w:r>
      <w:r>
        <w:rPr>
          <w:rFonts w:ascii="Times New Roman" w:eastAsia="Times New Roman"/>
          <w:sz w:val="21"/>
        </w:rPr>
        <w:t>17.3.4</w:t>
      </w:r>
      <w:r>
        <w:rPr>
          <w:sz w:val="21"/>
        </w:rPr>
        <w:t>（</w:t>
      </w:r>
      <w:r>
        <w:rPr>
          <w:rFonts w:ascii="Times New Roman" w:eastAsia="Times New Roman"/>
          <w:sz w:val="21"/>
        </w:rPr>
        <w:t>2</w:t>
      </w:r>
      <w:r>
        <w:rPr>
          <w:sz w:val="21"/>
        </w:rPr>
        <w:t>）</w:t>
      </w:r>
      <w:r>
        <w:rPr>
          <w:spacing w:val="-3"/>
          <w:sz w:val="21"/>
        </w:rPr>
        <w:t>目的约定，将逾期付款违约金支付给承包人。</w:t>
      </w:r>
    </w:p>
    <w:p>
      <w:pPr>
        <w:pStyle w:val="35"/>
        <w:numPr>
          <w:ilvl w:val="0"/>
          <w:numId w:val="49"/>
        </w:numPr>
        <w:tabs>
          <w:tab w:val="left" w:pos="1165"/>
        </w:tabs>
        <w:spacing w:line="417" w:lineRule="auto"/>
        <w:ind w:left="212" w:right="556" w:firstLine="420"/>
        <w:rPr>
          <w:sz w:val="21"/>
        </w:rPr>
      </w:pPr>
      <w:r>
        <w:rPr>
          <w:spacing w:val="-1"/>
          <w:sz w:val="21"/>
        </w:rPr>
        <w:t>承包人对发包人签认的竣工付款证书有异议的，发包人可出具竣工付款申请单中承包人已同意</w:t>
      </w:r>
      <w:r>
        <w:rPr>
          <w:spacing w:val="-6"/>
          <w:sz w:val="21"/>
        </w:rPr>
        <w:t xml:space="preserve">部分的临时付款证书。存在争议的部分，按第 </w:t>
      </w:r>
      <w:r>
        <w:rPr>
          <w:rFonts w:ascii="Times New Roman" w:eastAsia="Times New Roman"/>
          <w:sz w:val="21"/>
        </w:rPr>
        <w:t>24</w:t>
      </w:r>
      <w:r>
        <w:rPr>
          <w:rFonts w:ascii="Times New Roman" w:eastAsia="Times New Roman"/>
          <w:spacing w:val="-3"/>
          <w:sz w:val="21"/>
        </w:rPr>
        <w:t xml:space="preserve"> </w:t>
      </w:r>
      <w:r>
        <w:rPr>
          <w:spacing w:val="-3"/>
          <w:sz w:val="21"/>
        </w:rPr>
        <w:t>条的约定执行。</w:t>
      </w:r>
    </w:p>
    <w:p>
      <w:pPr>
        <w:tabs>
          <w:tab w:val="left" w:pos="982"/>
          <w:tab w:val="left" w:pos="1163"/>
        </w:tabs>
        <w:spacing w:before="53"/>
        <w:ind w:firstLine="594" w:firstLineChars="300"/>
        <w:rPr>
          <w:rFonts w:ascii="Times New Roman" w:eastAsia="Times New Roman"/>
        </w:rPr>
      </w:pPr>
      <w:r>
        <w:rPr>
          <w:rFonts w:hint="eastAsia"/>
          <w:spacing w:val="-6"/>
          <w:sz w:val="21"/>
        </w:rPr>
        <w:t>（4）</w:t>
      </w:r>
      <w:r>
        <w:rPr>
          <w:spacing w:val="-6"/>
          <w:sz w:val="21"/>
        </w:rPr>
        <w:t xml:space="preserve">竣工付款涉及政府投资资金的，按第 </w:t>
      </w:r>
      <w:r>
        <w:rPr>
          <w:rFonts w:ascii="Times New Roman" w:eastAsia="Times New Roman"/>
          <w:sz w:val="21"/>
        </w:rPr>
        <w:t>17.3.4</w:t>
      </w:r>
      <w:r>
        <w:rPr>
          <w:sz w:val="21"/>
        </w:rPr>
        <w:t>（</w:t>
      </w:r>
      <w:r>
        <w:rPr>
          <w:rFonts w:ascii="Times New Roman" w:eastAsia="Times New Roman"/>
          <w:sz w:val="21"/>
        </w:rPr>
        <w:t>4</w:t>
      </w:r>
      <w:r>
        <w:rPr>
          <w:sz w:val="21"/>
        </w:rPr>
        <w:t>）</w:t>
      </w:r>
      <w:r>
        <w:rPr>
          <w:spacing w:val="-3"/>
          <w:sz w:val="21"/>
        </w:rPr>
        <w:t>目的约定执行。</w:t>
      </w:r>
      <w:bookmarkStart w:id="265" w:name="_bookmark198"/>
      <w:bookmarkEnd w:id="265"/>
    </w:p>
    <w:p>
      <w:pPr>
        <w:tabs>
          <w:tab w:val="left" w:pos="982"/>
          <w:tab w:val="left" w:pos="1163"/>
        </w:tabs>
        <w:spacing w:before="53"/>
        <w:rPr>
          <w:rFonts w:ascii="Times New Roman" w:eastAsiaTheme="minorEastAsia"/>
        </w:rPr>
      </w:pPr>
    </w:p>
    <w:p>
      <w:pPr>
        <w:tabs>
          <w:tab w:val="left" w:pos="982"/>
          <w:tab w:val="left" w:pos="1163"/>
        </w:tabs>
        <w:spacing w:before="53"/>
        <w:ind w:firstLine="499" w:firstLineChars="245"/>
        <w:rPr>
          <w:rFonts w:ascii="Times New Roman" w:eastAsia="Times New Roman"/>
        </w:rPr>
      </w:pPr>
      <w:r>
        <w:rPr>
          <w:rFonts w:hint="eastAsia"/>
          <w:spacing w:val="-3"/>
          <w:sz w:val="21"/>
        </w:rPr>
        <w:t>17.6</w:t>
      </w:r>
      <w:r>
        <w:rPr>
          <w:spacing w:val="-1"/>
        </w:rPr>
        <w:t>最终结清</w:t>
      </w:r>
    </w:p>
    <w:p>
      <w:pPr>
        <w:pStyle w:val="10"/>
        <w:spacing w:before="4"/>
        <w:rPr>
          <w:rFonts w:ascii="黑体"/>
          <w:sz w:val="38"/>
        </w:rPr>
      </w:pPr>
    </w:p>
    <w:p>
      <w:pPr>
        <w:tabs>
          <w:tab w:val="left" w:pos="1265"/>
        </w:tabs>
        <w:ind w:firstLine="399" w:firstLineChars="196"/>
        <w:rPr>
          <w:rFonts w:ascii="Times New Roman" w:eastAsia="Times New Roman"/>
          <w:sz w:val="21"/>
        </w:rPr>
      </w:pPr>
      <w:r>
        <w:rPr>
          <w:rFonts w:hint="eastAsia"/>
          <w:spacing w:val="-3"/>
          <w:sz w:val="21"/>
        </w:rPr>
        <w:t xml:space="preserve">17.6.1 </w:t>
      </w:r>
      <w:r>
        <w:rPr>
          <w:spacing w:val="-3"/>
          <w:sz w:val="21"/>
        </w:rPr>
        <w:t>最终结清申请单</w:t>
      </w:r>
    </w:p>
    <w:p>
      <w:pPr>
        <w:pStyle w:val="10"/>
        <w:spacing w:before="7"/>
        <w:rPr>
          <w:sz w:val="15"/>
        </w:rPr>
      </w:pPr>
    </w:p>
    <w:p>
      <w:pPr>
        <w:pStyle w:val="35"/>
        <w:numPr>
          <w:ilvl w:val="0"/>
          <w:numId w:val="50"/>
        </w:numPr>
        <w:tabs>
          <w:tab w:val="left" w:pos="1165"/>
        </w:tabs>
        <w:spacing w:line="417" w:lineRule="auto"/>
        <w:ind w:right="556" w:firstLine="420"/>
        <w:rPr>
          <w:sz w:val="21"/>
        </w:rPr>
      </w:pPr>
      <w:r>
        <w:rPr>
          <w:spacing w:val="-1"/>
          <w:sz w:val="21"/>
        </w:rPr>
        <w:t>缺陷责任期终止证书签发后，承包人可按专用合同条款约定的份数和期限向监理人提交最终结</w:t>
      </w:r>
      <w:r>
        <w:rPr>
          <w:spacing w:val="-3"/>
          <w:sz w:val="21"/>
        </w:rPr>
        <w:t>清申请单，并提供相关证明材料。</w:t>
      </w:r>
    </w:p>
    <w:p>
      <w:pPr>
        <w:pStyle w:val="35"/>
        <w:numPr>
          <w:ilvl w:val="0"/>
          <w:numId w:val="50"/>
        </w:numPr>
        <w:tabs>
          <w:tab w:val="left" w:pos="1165"/>
        </w:tabs>
        <w:spacing w:line="417" w:lineRule="auto"/>
        <w:ind w:right="556" w:firstLine="420"/>
        <w:rPr>
          <w:sz w:val="21"/>
        </w:rPr>
      </w:pPr>
      <w:r>
        <w:rPr>
          <w:spacing w:val="-1"/>
          <w:sz w:val="21"/>
        </w:rPr>
        <w:t>发包人对最终结清申请单内容有异议的，有权要求承包人进行修正和提供补充资料，由承包人</w:t>
      </w:r>
      <w:r>
        <w:rPr>
          <w:spacing w:val="-3"/>
          <w:sz w:val="21"/>
        </w:rPr>
        <w:t>向监理人提交修正后的最终结清申请单。</w:t>
      </w:r>
    </w:p>
    <w:p>
      <w:pPr>
        <w:tabs>
          <w:tab w:val="left" w:pos="1265"/>
        </w:tabs>
        <w:spacing w:line="269" w:lineRule="exact"/>
        <w:ind w:firstLine="399" w:firstLineChars="196"/>
        <w:rPr>
          <w:rFonts w:ascii="Times New Roman" w:eastAsia="Times New Roman"/>
          <w:sz w:val="21"/>
        </w:rPr>
      </w:pPr>
      <w:r>
        <w:rPr>
          <w:rFonts w:hint="eastAsia"/>
          <w:spacing w:val="-3"/>
          <w:sz w:val="21"/>
        </w:rPr>
        <w:t xml:space="preserve">17.6.2 </w:t>
      </w:r>
      <w:r>
        <w:rPr>
          <w:spacing w:val="-3"/>
          <w:sz w:val="21"/>
        </w:rPr>
        <w:t>最终结清证书和支付时间</w:t>
      </w:r>
    </w:p>
    <w:p>
      <w:pPr>
        <w:pStyle w:val="10"/>
        <w:spacing w:before="6"/>
        <w:rPr>
          <w:sz w:val="15"/>
        </w:rPr>
      </w:pPr>
    </w:p>
    <w:p>
      <w:pPr>
        <w:pStyle w:val="35"/>
        <w:numPr>
          <w:ilvl w:val="0"/>
          <w:numId w:val="51"/>
        </w:numPr>
        <w:tabs>
          <w:tab w:val="left" w:pos="1163"/>
        </w:tabs>
        <w:ind w:hanging="530"/>
        <w:jc w:val="both"/>
        <w:rPr>
          <w:sz w:val="21"/>
          <w:highlight w:val="yellow"/>
        </w:rPr>
      </w:pPr>
      <w:r>
        <w:rPr>
          <w:spacing w:val="-6"/>
          <w:sz w:val="21"/>
          <w:highlight w:val="yellow"/>
        </w:rPr>
        <w:t xml:space="preserve">监理人收到承包人提交的最终结清申请单后的 </w:t>
      </w:r>
      <w:r>
        <w:rPr>
          <w:rFonts w:ascii="Times New Roman" w:eastAsia="Times New Roman"/>
          <w:sz w:val="21"/>
          <w:highlight w:val="yellow"/>
        </w:rPr>
        <w:t>14</w:t>
      </w:r>
      <w:r>
        <w:rPr>
          <w:rFonts w:ascii="Times New Roman" w:eastAsia="Times New Roman"/>
          <w:spacing w:val="4"/>
          <w:sz w:val="21"/>
          <w:highlight w:val="yellow"/>
        </w:rPr>
        <w:t xml:space="preserve"> </w:t>
      </w:r>
      <w:r>
        <w:rPr>
          <w:spacing w:val="-5"/>
          <w:sz w:val="21"/>
          <w:highlight w:val="yellow"/>
        </w:rPr>
        <w:t>天内，提出发包人应支付给承包人的价款送发</w:t>
      </w:r>
    </w:p>
    <w:p>
      <w:pPr>
        <w:pStyle w:val="10"/>
        <w:spacing w:before="8"/>
        <w:rPr>
          <w:sz w:val="15"/>
          <w:highlight w:val="yellow"/>
        </w:rPr>
      </w:pPr>
    </w:p>
    <w:p>
      <w:pPr>
        <w:pStyle w:val="10"/>
        <w:spacing w:line="417" w:lineRule="auto"/>
        <w:ind w:left="212" w:right="546"/>
        <w:jc w:val="both"/>
      </w:pPr>
      <w:r>
        <w:rPr>
          <w:spacing w:val="-3"/>
          <w:highlight w:val="yellow"/>
        </w:rPr>
        <w:t xml:space="preserve">包人审核并抄送承包人。发包人应在收到后 </w:t>
      </w:r>
      <w:r>
        <w:rPr>
          <w:rFonts w:ascii="Times New Roman" w:eastAsia="Times New Roman"/>
          <w:highlight w:val="yellow"/>
        </w:rPr>
        <w:t xml:space="preserve">14 </w:t>
      </w:r>
      <w:r>
        <w:rPr>
          <w:spacing w:val="-3"/>
          <w:highlight w:val="yellow"/>
        </w:rPr>
        <w:t>天内审核完毕，由监理人向承包人出具经发包人签认的最</w:t>
      </w:r>
      <w:r>
        <w:rPr>
          <w:spacing w:val="-7"/>
          <w:highlight w:val="yellow"/>
        </w:rPr>
        <w:t>终结清证书。</w:t>
      </w:r>
    </w:p>
    <w:p>
      <w:pPr>
        <w:pStyle w:val="35"/>
        <w:numPr>
          <w:ilvl w:val="0"/>
          <w:numId w:val="51"/>
        </w:numPr>
        <w:tabs>
          <w:tab w:val="left" w:pos="1163"/>
        </w:tabs>
        <w:spacing w:line="417" w:lineRule="auto"/>
        <w:ind w:left="633" w:right="1943" w:firstLine="0"/>
        <w:jc w:val="both"/>
        <w:rPr>
          <w:sz w:val="21"/>
        </w:rPr>
      </w:pPr>
      <w:r>
        <w:rPr>
          <w:spacing w:val="-5"/>
          <w:sz w:val="21"/>
        </w:rPr>
        <w:t xml:space="preserve">发包人应在监理人出具最终结清证书后的 </w:t>
      </w:r>
      <w:r>
        <w:rPr>
          <w:rFonts w:ascii="Times New Roman" w:eastAsia="Times New Roman"/>
          <w:sz w:val="21"/>
        </w:rPr>
        <w:t>14</w:t>
      </w:r>
      <w:r>
        <w:rPr>
          <w:rFonts w:ascii="Times New Roman" w:eastAsia="Times New Roman"/>
          <w:spacing w:val="23"/>
          <w:sz w:val="21"/>
        </w:rPr>
        <w:t xml:space="preserve"> </w:t>
      </w:r>
      <w:r>
        <w:rPr>
          <w:spacing w:val="-3"/>
          <w:sz w:val="21"/>
        </w:rPr>
        <w:t>天内，将应支付款支付给承包人。</w:t>
      </w:r>
      <w:r>
        <w:rPr>
          <w:spacing w:val="-5"/>
          <w:sz w:val="21"/>
        </w:rPr>
        <w:t xml:space="preserve">发包人不按期支付的，按第 </w:t>
      </w:r>
      <w:r>
        <w:rPr>
          <w:rFonts w:ascii="Times New Roman" w:eastAsia="Times New Roman"/>
          <w:sz w:val="21"/>
        </w:rPr>
        <w:t>17.3.4</w:t>
      </w:r>
      <w:r>
        <w:rPr>
          <w:sz w:val="21"/>
        </w:rPr>
        <w:t>（</w:t>
      </w:r>
      <w:r>
        <w:rPr>
          <w:rFonts w:ascii="Times New Roman" w:eastAsia="Times New Roman"/>
          <w:sz w:val="21"/>
        </w:rPr>
        <w:t>2</w:t>
      </w:r>
      <w:r>
        <w:rPr>
          <w:sz w:val="21"/>
        </w:rPr>
        <w:t>）</w:t>
      </w:r>
      <w:r>
        <w:rPr>
          <w:spacing w:val="-3"/>
          <w:sz w:val="21"/>
        </w:rPr>
        <w:t>目的约定，将逾期付款违约金支付给承包人。</w:t>
      </w:r>
    </w:p>
    <w:p>
      <w:pPr>
        <w:pStyle w:val="35"/>
        <w:numPr>
          <w:ilvl w:val="0"/>
          <w:numId w:val="51"/>
        </w:numPr>
        <w:tabs>
          <w:tab w:val="left" w:pos="1163"/>
        </w:tabs>
        <w:spacing w:line="269" w:lineRule="exact"/>
        <w:ind w:hanging="530"/>
        <w:jc w:val="both"/>
        <w:rPr>
          <w:sz w:val="21"/>
        </w:rPr>
      </w:pPr>
      <w:r>
        <w:rPr>
          <w:spacing w:val="-6"/>
          <w:sz w:val="21"/>
        </w:rPr>
        <w:t xml:space="preserve">承包人对发包人签认的最终结清证书有异议的，按第 </w:t>
      </w:r>
      <w:r>
        <w:rPr>
          <w:rFonts w:ascii="Times New Roman" w:eastAsia="Times New Roman"/>
          <w:sz w:val="21"/>
        </w:rPr>
        <w:t>24</w:t>
      </w:r>
      <w:r>
        <w:rPr>
          <w:rFonts w:ascii="Times New Roman" w:eastAsia="Times New Roman"/>
          <w:spacing w:val="-2"/>
          <w:sz w:val="21"/>
        </w:rPr>
        <w:t xml:space="preserve"> </w:t>
      </w:r>
      <w:r>
        <w:rPr>
          <w:spacing w:val="-3"/>
          <w:sz w:val="21"/>
        </w:rPr>
        <w:t>条的约定执行。</w:t>
      </w:r>
    </w:p>
    <w:p>
      <w:pPr>
        <w:pStyle w:val="10"/>
        <w:spacing w:before="6"/>
        <w:rPr>
          <w:sz w:val="15"/>
        </w:rPr>
      </w:pPr>
    </w:p>
    <w:p>
      <w:pPr>
        <w:pStyle w:val="35"/>
        <w:numPr>
          <w:ilvl w:val="0"/>
          <w:numId w:val="51"/>
        </w:numPr>
        <w:tabs>
          <w:tab w:val="left" w:pos="1163"/>
        </w:tabs>
        <w:ind w:hanging="530"/>
        <w:jc w:val="both"/>
        <w:rPr>
          <w:sz w:val="21"/>
        </w:rPr>
      </w:pPr>
      <w:r>
        <w:rPr>
          <w:spacing w:val="-6"/>
          <w:sz w:val="21"/>
        </w:rPr>
        <w:t xml:space="preserve">最终结清付款涉及政府投资资金的，按第 </w:t>
      </w:r>
      <w:r>
        <w:rPr>
          <w:rFonts w:ascii="Times New Roman" w:eastAsia="Times New Roman"/>
          <w:sz w:val="21"/>
        </w:rPr>
        <w:t>17.3.4</w:t>
      </w:r>
      <w:r>
        <w:rPr>
          <w:sz w:val="21"/>
        </w:rPr>
        <w:t>（</w:t>
      </w:r>
      <w:r>
        <w:rPr>
          <w:rFonts w:ascii="Times New Roman" w:eastAsia="Times New Roman"/>
          <w:sz w:val="21"/>
        </w:rPr>
        <w:t>4</w:t>
      </w:r>
      <w:r>
        <w:rPr>
          <w:sz w:val="21"/>
        </w:rPr>
        <w:t>）</w:t>
      </w:r>
      <w:r>
        <w:rPr>
          <w:spacing w:val="-3"/>
          <w:sz w:val="21"/>
        </w:rPr>
        <w:t>目的约定执行。</w:t>
      </w:r>
    </w:p>
    <w:p>
      <w:pPr>
        <w:pStyle w:val="10"/>
        <w:rPr>
          <w:sz w:val="22"/>
        </w:rPr>
      </w:pPr>
    </w:p>
    <w:p>
      <w:pPr>
        <w:pStyle w:val="4"/>
        <w:ind w:left="586" w:leftChars="224" w:hanging="93" w:hangingChars="33"/>
      </w:pPr>
      <w:bookmarkStart w:id="266" w:name="_bookmark199"/>
      <w:bookmarkEnd w:id="266"/>
      <w:bookmarkStart w:id="267" w:name="_Toc37926070"/>
      <w:r>
        <w:rPr>
          <w:rFonts w:hint="eastAsia"/>
        </w:rPr>
        <w:t xml:space="preserve">18 </w:t>
      </w:r>
      <w:r>
        <w:t>竣工试验和竣工验收</w:t>
      </w:r>
      <w:bookmarkEnd w:id="267"/>
    </w:p>
    <w:p>
      <w:pPr>
        <w:pStyle w:val="10"/>
        <w:spacing w:before="4"/>
        <w:rPr>
          <w:rFonts w:ascii="黑体"/>
          <w:b/>
          <w:sz w:val="39"/>
        </w:rPr>
      </w:pPr>
    </w:p>
    <w:p>
      <w:pPr>
        <w:pStyle w:val="35"/>
        <w:numPr>
          <w:ilvl w:val="1"/>
          <w:numId w:val="52"/>
        </w:numPr>
        <w:rPr>
          <w:rFonts w:ascii="Times New Roman" w:eastAsia="Times New Roman"/>
        </w:rPr>
      </w:pPr>
      <w:bookmarkStart w:id="268" w:name="_bookmark200"/>
      <w:bookmarkEnd w:id="268"/>
      <w:r>
        <w:rPr>
          <w:spacing w:val="-1"/>
        </w:rPr>
        <w:t>竣工试验</w:t>
      </w:r>
    </w:p>
    <w:p>
      <w:pPr>
        <w:pStyle w:val="10"/>
        <w:spacing w:before="2"/>
        <w:rPr>
          <w:rFonts w:ascii="黑体"/>
          <w:sz w:val="38"/>
        </w:rPr>
      </w:pPr>
    </w:p>
    <w:p>
      <w:pPr>
        <w:tabs>
          <w:tab w:val="left" w:pos="1212"/>
        </w:tabs>
        <w:ind w:firstLine="460" w:firstLineChars="245"/>
        <w:rPr>
          <w:rFonts w:ascii="Times New Roman" w:eastAsia="Times New Roman"/>
          <w:sz w:val="21"/>
        </w:rPr>
      </w:pPr>
      <w:r>
        <w:rPr>
          <w:rFonts w:hint="eastAsia"/>
          <w:spacing w:val="-11"/>
          <w:sz w:val="21"/>
        </w:rPr>
        <w:t xml:space="preserve">18.1.1 </w:t>
      </w:r>
      <w:r>
        <w:rPr>
          <w:spacing w:val="-11"/>
          <w:sz w:val="21"/>
        </w:rPr>
        <w:t xml:space="preserve">承包人按照第 </w:t>
      </w:r>
      <w:r>
        <w:rPr>
          <w:rFonts w:ascii="Times New Roman" w:eastAsia="Times New Roman"/>
          <w:sz w:val="21"/>
        </w:rPr>
        <w:t>5.5</w:t>
      </w:r>
      <w:r>
        <w:rPr>
          <w:rFonts w:ascii="Times New Roman" w:eastAsia="Times New Roman"/>
          <w:spacing w:val="-3"/>
          <w:sz w:val="21"/>
        </w:rPr>
        <w:t xml:space="preserve"> </w:t>
      </w:r>
      <w:r>
        <w:rPr>
          <w:spacing w:val="-15"/>
          <w:sz w:val="21"/>
        </w:rPr>
        <w:t xml:space="preserve">款和第 </w:t>
      </w:r>
      <w:r>
        <w:rPr>
          <w:rFonts w:ascii="Times New Roman" w:eastAsia="Times New Roman"/>
          <w:sz w:val="21"/>
        </w:rPr>
        <w:t xml:space="preserve">5.6 </w:t>
      </w:r>
      <w:r>
        <w:rPr>
          <w:spacing w:val="-3"/>
          <w:sz w:val="21"/>
        </w:rPr>
        <w:t>款提交文件后，进行竣工试验。</w:t>
      </w:r>
    </w:p>
    <w:p>
      <w:pPr>
        <w:pStyle w:val="10"/>
        <w:spacing w:before="7"/>
        <w:rPr>
          <w:sz w:val="15"/>
        </w:rPr>
      </w:pPr>
    </w:p>
    <w:p>
      <w:pPr>
        <w:tabs>
          <w:tab w:val="left" w:pos="1212"/>
        </w:tabs>
        <w:spacing w:line="417" w:lineRule="auto"/>
        <w:ind w:right="443" w:firstLine="470" w:firstLineChars="245"/>
        <w:rPr>
          <w:rFonts w:ascii="Times New Roman" w:eastAsia="Times New Roman"/>
          <w:sz w:val="21"/>
        </w:rPr>
      </w:pPr>
      <w:r>
        <w:rPr>
          <w:rFonts w:hint="eastAsia"/>
          <w:spacing w:val="-9"/>
          <w:sz w:val="21"/>
        </w:rPr>
        <w:t xml:space="preserve">18.1.2 </w:t>
      </w:r>
      <w:r>
        <w:rPr>
          <w:spacing w:val="-9"/>
          <w:sz w:val="21"/>
        </w:rPr>
        <w:t xml:space="preserve">承包人应提前 </w:t>
      </w:r>
      <w:r>
        <w:rPr>
          <w:rFonts w:ascii="Times New Roman" w:eastAsia="Times New Roman"/>
          <w:sz w:val="21"/>
        </w:rPr>
        <w:t>21</w:t>
      </w:r>
      <w:r>
        <w:rPr>
          <w:rFonts w:ascii="Times New Roman" w:eastAsia="Times New Roman"/>
          <w:spacing w:val="7"/>
          <w:sz w:val="21"/>
        </w:rPr>
        <w:t xml:space="preserve"> </w:t>
      </w:r>
      <w:r>
        <w:rPr>
          <w:spacing w:val="-9"/>
          <w:sz w:val="21"/>
        </w:rPr>
        <w:t xml:space="preserve">天将可以开始进行竣工试验的日期通知监理人，监理人应在该日期后 </w:t>
      </w:r>
      <w:r>
        <w:rPr>
          <w:sz w:val="21"/>
        </w:rPr>
        <w:t>14</w:t>
      </w:r>
      <w:r>
        <w:rPr>
          <w:spacing w:val="-12"/>
          <w:sz w:val="21"/>
        </w:rPr>
        <w:t xml:space="preserve"> 天内， </w:t>
      </w:r>
      <w:r>
        <w:rPr>
          <w:spacing w:val="-6"/>
          <w:sz w:val="21"/>
        </w:rPr>
        <w:t>确定竣工试验具体时间。除专用合同条款中另有约定外，竣工试验应按下述顺序进行：</w:t>
      </w:r>
    </w:p>
    <w:p>
      <w:pPr>
        <w:pStyle w:val="35"/>
        <w:numPr>
          <w:ilvl w:val="0"/>
          <w:numId w:val="53"/>
        </w:numPr>
        <w:tabs>
          <w:tab w:val="left" w:pos="1165"/>
        </w:tabs>
        <w:spacing w:line="417" w:lineRule="auto"/>
        <w:ind w:right="556" w:firstLine="420"/>
        <w:rPr>
          <w:rFonts w:ascii="Times New Roman" w:eastAsia="Times New Roman"/>
          <w:sz w:val="21"/>
        </w:rPr>
      </w:pPr>
      <w:r>
        <w:rPr>
          <w:spacing w:val="-1"/>
          <w:sz w:val="21"/>
        </w:rPr>
        <w:t>第一阶段，承包人进行适当的检查和功能性试验，保证每一项工程设备都满足合同要求，并能</w:t>
      </w:r>
      <w:r>
        <w:rPr>
          <w:spacing w:val="-3"/>
          <w:sz w:val="21"/>
        </w:rPr>
        <w:t>安全地进入下一阶段试验</w:t>
      </w:r>
      <w:r>
        <w:rPr>
          <w:rFonts w:ascii="Times New Roman" w:eastAsia="Times New Roman"/>
          <w:sz w:val="21"/>
        </w:rPr>
        <w:t>;</w:t>
      </w:r>
    </w:p>
    <w:p>
      <w:pPr>
        <w:pStyle w:val="35"/>
        <w:numPr>
          <w:ilvl w:val="0"/>
          <w:numId w:val="53"/>
        </w:numPr>
        <w:tabs>
          <w:tab w:val="left" w:pos="1165"/>
        </w:tabs>
        <w:spacing w:line="417" w:lineRule="auto"/>
        <w:ind w:right="556" w:firstLine="420"/>
        <w:rPr>
          <w:sz w:val="21"/>
        </w:rPr>
      </w:pPr>
      <w:r>
        <w:rPr>
          <w:spacing w:val="-1"/>
          <w:sz w:val="21"/>
        </w:rPr>
        <w:t>第二阶段，承包人进行试验，保证工程或区段工程满足合同要求，在所有可利用的操作条件下安全运行；</w:t>
      </w:r>
    </w:p>
    <w:p>
      <w:pPr>
        <w:pStyle w:val="35"/>
        <w:numPr>
          <w:ilvl w:val="0"/>
          <w:numId w:val="53"/>
        </w:numPr>
        <w:tabs>
          <w:tab w:val="left" w:pos="1165"/>
        </w:tabs>
        <w:spacing w:before="59" w:line="269" w:lineRule="exact"/>
      </w:pPr>
      <w:r>
        <w:rPr>
          <w:sz w:val="21"/>
        </w:rPr>
        <w:t>第三阶段，当工程能安全运行时，承包人应通知监理人，可以进行其他竣工试验，包括各种性</w:t>
      </w:r>
      <w:r>
        <w:t>能测试，以证明工程符合发包人要求中列明的性能保证指标。</w:t>
      </w:r>
    </w:p>
    <w:p>
      <w:pPr>
        <w:pStyle w:val="10"/>
        <w:spacing w:before="7"/>
        <w:rPr>
          <w:sz w:val="15"/>
        </w:rPr>
      </w:pPr>
    </w:p>
    <w:p>
      <w:pPr>
        <w:tabs>
          <w:tab w:val="left" w:pos="1265"/>
        </w:tabs>
        <w:spacing w:line="417" w:lineRule="auto"/>
        <w:ind w:right="441" w:firstLine="376" w:firstLineChars="196"/>
        <w:rPr>
          <w:rFonts w:ascii="Times New Roman" w:eastAsia="Times New Roman"/>
          <w:sz w:val="21"/>
        </w:rPr>
      </w:pPr>
      <w:r>
        <w:rPr>
          <w:rFonts w:hint="eastAsia"/>
          <w:spacing w:val="-9"/>
          <w:sz w:val="21"/>
        </w:rPr>
        <w:t xml:space="preserve">18.1.3 </w:t>
      </w:r>
      <w:r>
        <w:rPr>
          <w:spacing w:val="-9"/>
          <w:sz w:val="21"/>
        </w:rPr>
        <w:t>承包人应按合同约定进行工程及工程设备试运行。试运行所需人员、设备、材料、燃料、电力、</w:t>
      </w:r>
      <w:r>
        <w:rPr>
          <w:spacing w:val="-5"/>
          <w:sz w:val="21"/>
        </w:rPr>
        <w:t>消耗品、工具等必要的条件以及试运行费用等由专用合同条款规定。</w:t>
      </w:r>
    </w:p>
    <w:p>
      <w:pPr>
        <w:tabs>
          <w:tab w:val="left" w:pos="1265"/>
        </w:tabs>
        <w:spacing w:line="269" w:lineRule="exact"/>
        <w:ind w:firstLine="368" w:firstLineChars="196"/>
        <w:rPr>
          <w:rFonts w:ascii="Times New Roman" w:eastAsia="Times New Roman"/>
          <w:sz w:val="21"/>
        </w:rPr>
      </w:pPr>
      <w:r>
        <w:rPr>
          <w:rFonts w:hint="eastAsia"/>
          <w:spacing w:val="-11"/>
          <w:sz w:val="21"/>
        </w:rPr>
        <w:t xml:space="preserve">18.1.4 </w:t>
      </w:r>
      <w:r>
        <w:rPr>
          <w:spacing w:val="-11"/>
          <w:sz w:val="21"/>
        </w:rPr>
        <w:t>某项竣工试验未能通过的，承包人应按照监理人的指示限期改正，并承担合同约定的相应责任。</w:t>
      </w:r>
    </w:p>
    <w:p>
      <w:pPr>
        <w:pStyle w:val="10"/>
        <w:rPr>
          <w:sz w:val="22"/>
        </w:rPr>
      </w:pPr>
    </w:p>
    <w:p>
      <w:pPr>
        <w:pStyle w:val="10"/>
        <w:spacing w:before="7"/>
        <w:rPr>
          <w:sz w:val="16"/>
        </w:rPr>
      </w:pPr>
    </w:p>
    <w:p>
      <w:pPr>
        <w:ind w:firstLine="432" w:firstLineChars="200"/>
        <w:rPr>
          <w:rFonts w:ascii="Times New Roman" w:eastAsia="Times New Roman"/>
        </w:rPr>
      </w:pPr>
      <w:bookmarkStart w:id="269" w:name="_bookmark201"/>
      <w:bookmarkEnd w:id="269"/>
      <w:r>
        <w:rPr>
          <w:rFonts w:hint="eastAsia"/>
          <w:spacing w:val="-2"/>
        </w:rPr>
        <w:t xml:space="preserve">18.2 </w:t>
      </w:r>
      <w:r>
        <w:rPr>
          <w:spacing w:val="-2"/>
        </w:rPr>
        <w:t>竣工验收申请报告</w:t>
      </w:r>
    </w:p>
    <w:p>
      <w:pPr>
        <w:pStyle w:val="10"/>
        <w:spacing w:before="2"/>
        <w:rPr>
          <w:rFonts w:ascii="黑体"/>
          <w:sz w:val="38"/>
        </w:rPr>
      </w:pPr>
    </w:p>
    <w:p>
      <w:pPr>
        <w:pStyle w:val="10"/>
        <w:ind w:left="633"/>
      </w:pPr>
      <w:r>
        <w:t>当工程具备以下条件时，承包人即可向监理人报送竣工验收申请报告：</w:t>
      </w:r>
    </w:p>
    <w:p>
      <w:pPr>
        <w:pStyle w:val="10"/>
        <w:spacing w:before="7"/>
        <w:rPr>
          <w:sz w:val="15"/>
        </w:rPr>
      </w:pPr>
    </w:p>
    <w:p>
      <w:pPr>
        <w:pStyle w:val="35"/>
        <w:numPr>
          <w:ilvl w:val="0"/>
          <w:numId w:val="54"/>
        </w:numPr>
        <w:tabs>
          <w:tab w:val="left" w:pos="1165"/>
        </w:tabs>
        <w:spacing w:line="417" w:lineRule="auto"/>
        <w:ind w:right="552" w:firstLine="420"/>
        <w:rPr>
          <w:sz w:val="21"/>
        </w:rPr>
      </w:pPr>
      <w:r>
        <w:rPr>
          <w:sz w:val="21"/>
        </w:rPr>
        <w:t>除监理人同意列入缺陷责任期内完成的尾工（甩项）</w:t>
      </w:r>
      <w:r>
        <w:rPr>
          <w:spacing w:val="-1"/>
          <w:sz w:val="21"/>
        </w:rPr>
        <w:t>工程和缺陷修补工作外，合同范围内的全</w:t>
      </w:r>
      <w:r>
        <w:rPr>
          <w:spacing w:val="-3"/>
          <w:sz w:val="21"/>
        </w:rPr>
        <w:t>部区段工程以及有关工作，包括合同要求的试验和竣工试验均已完成，并符合合同要求；</w:t>
      </w:r>
    </w:p>
    <w:p>
      <w:pPr>
        <w:pStyle w:val="35"/>
        <w:numPr>
          <w:ilvl w:val="0"/>
          <w:numId w:val="54"/>
        </w:numPr>
        <w:tabs>
          <w:tab w:val="left" w:pos="1163"/>
        </w:tabs>
        <w:ind w:left="1162" w:hanging="530"/>
        <w:rPr>
          <w:sz w:val="21"/>
        </w:rPr>
      </w:pPr>
      <w:r>
        <w:rPr>
          <w:spacing w:val="-3"/>
          <w:sz w:val="21"/>
        </w:rPr>
        <w:t>已按合同约定的内容和份数备齐了符合要求的竣工文件；</w:t>
      </w:r>
    </w:p>
    <w:p>
      <w:pPr>
        <w:pStyle w:val="10"/>
        <w:spacing w:before="7"/>
        <w:rPr>
          <w:sz w:val="15"/>
        </w:rPr>
      </w:pPr>
    </w:p>
    <w:p>
      <w:pPr>
        <w:pStyle w:val="35"/>
        <w:numPr>
          <w:ilvl w:val="0"/>
          <w:numId w:val="54"/>
        </w:numPr>
        <w:tabs>
          <w:tab w:val="left" w:pos="1165"/>
        </w:tabs>
        <w:spacing w:line="417" w:lineRule="auto"/>
        <w:ind w:right="556" w:firstLine="420"/>
        <w:rPr>
          <w:sz w:val="21"/>
        </w:rPr>
      </w:pPr>
      <w:r>
        <w:rPr>
          <w:sz w:val="21"/>
        </w:rPr>
        <w:t>已按监理人的要求编制了在缺陷责任期内完成的尾工（甩项）</w:t>
      </w:r>
      <w:r>
        <w:rPr>
          <w:spacing w:val="-2"/>
          <w:sz w:val="21"/>
        </w:rPr>
        <w:t>工程和缺陷修补工作清单以及相应施工计划；</w:t>
      </w:r>
    </w:p>
    <w:p>
      <w:pPr>
        <w:pStyle w:val="35"/>
        <w:numPr>
          <w:ilvl w:val="0"/>
          <w:numId w:val="54"/>
        </w:numPr>
        <w:tabs>
          <w:tab w:val="left" w:pos="1163"/>
        </w:tabs>
        <w:spacing w:line="269" w:lineRule="exact"/>
        <w:ind w:left="1162" w:hanging="530"/>
        <w:rPr>
          <w:sz w:val="21"/>
        </w:rPr>
      </w:pPr>
      <w:r>
        <w:rPr>
          <w:spacing w:val="-3"/>
          <w:sz w:val="21"/>
        </w:rPr>
        <w:t>监理人要求在竣工验收前应完成的其他工作；</w:t>
      </w:r>
    </w:p>
    <w:p>
      <w:pPr>
        <w:pStyle w:val="10"/>
        <w:spacing w:before="7"/>
        <w:rPr>
          <w:sz w:val="15"/>
        </w:rPr>
      </w:pPr>
    </w:p>
    <w:p>
      <w:pPr>
        <w:pStyle w:val="35"/>
        <w:numPr>
          <w:ilvl w:val="0"/>
          <w:numId w:val="54"/>
        </w:numPr>
        <w:tabs>
          <w:tab w:val="left" w:pos="1163"/>
        </w:tabs>
        <w:ind w:left="1162" w:hanging="530"/>
        <w:rPr>
          <w:sz w:val="21"/>
        </w:rPr>
      </w:pPr>
      <w:r>
        <w:rPr>
          <w:spacing w:val="-3"/>
          <w:sz w:val="21"/>
        </w:rPr>
        <w:t>监理人要求提交的竣工验收资料清单。</w:t>
      </w:r>
    </w:p>
    <w:p>
      <w:pPr>
        <w:pStyle w:val="10"/>
        <w:rPr>
          <w:sz w:val="22"/>
        </w:rPr>
      </w:pPr>
    </w:p>
    <w:p>
      <w:pPr>
        <w:pStyle w:val="10"/>
        <w:spacing w:before="6"/>
        <w:rPr>
          <w:sz w:val="16"/>
        </w:rPr>
      </w:pPr>
    </w:p>
    <w:p>
      <w:pPr>
        <w:ind w:firstLine="427" w:firstLineChars="196"/>
        <w:rPr>
          <w:rFonts w:ascii="Times New Roman" w:eastAsia="Times New Roman"/>
        </w:rPr>
      </w:pPr>
      <w:bookmarkStart w:id="270" w:name="_bookmark202"/>
      <w:bookmarkEnd w:id="270"/>
      <w:r>
        <w:rPr>
          <w:rFonts w:hint="eastAsia"/>
          <w:spacing w:val="-1"/>
        </w:rPr>
        <w:t xml:space="preserve">18.3 </w:t>
      </w:r>
      <w:r>
        <w:rPr>
          <w:spacing w:val="-1"/>
        </w:rPr>
        <w:t>竣工验收</w:t>
      </w:r>
    </w:p>
    <w:p>
      <w:pPr>
        <w:pStyle w:val="10"/>
        <w:spacing w:before="4"/>
        <w:rPr>
          <w:rFonts w:ascii="黑体"/>
          <w:sz w:val="38"/>
        </w:rPr>
      </w:pPr>
    </w:p>
    <w:p>
      <w:pPr>
        <w:pStyle w:val="10"/>
        <w:spacing w:line="417" w:lineRule="auto"/>
        <w:ind w:left="212" w:right="549" w:firstLine="420"/>
      </w:pPr>
      <w:r>
        <w:t xml:space="preserve">监理人收到承包人按第 </w:t>
      </w:r>
      <w:r>
        <w:rPr>
          <w:rFonts w:ascii="Times New Roman" w:eastAsia="Times New Roman"/>
        </w:rPr>
        <w:t xml:space="preserve">18.2 </w:t>
      </w:r>
      <w:r>
        <w:t>款约定提交的竣工验收申请报告后，应审查申请报告的各项内容，并按以下不同情况进行处理。</w:t>
      </w:r>
    </w:p>
    <w:p>
      <w:pPr>
        <w:tabs>
          <w:tab w:val="left" w:pos="1265"/>
        </w:tabs>
        <w:spacing w:line="417" w:lineRule="auto"/>
        <w:ind w:right="443" w:firstLine="399" w:firstLineChars="196"/>
        <w:rPr>
          <w:rFonts w:ascii="Times New Roman" w:eastAsia="Times New Roman"/>
          <w:sz w:val="21"/>
        </w:rPr>
      </w:pPr>
      <w:r>
        <w:rPr>
          <w:rFonts w:hint="eastAsia"/>
          <w:spacing w:val="-3"/>
          <w:sz w:val="21"/>
        </w:rPr>
        <w:t xml:space="preserve">18.3.1 </w:t>
      </w:r>
      <w:r>
        <w:rPr>
          <w:spacing w:val="-3"/>
          <w:sz w:val="21"/>
        </w:rPr>
        <w:t xml:space="preserve">监理人审查后认为尚不具备竣工验收条件的，应在收到竣工验收申请报告后的 </w:t>
      </w:r>
      <w:r>
        <w:rPr>
          <w:sz w:val="21"/>
        </w:rPr>
        <w:t>28</w:t>
      </w:r>
      <w:r>
        <w:rPr>
          <w:spacing w:val="-2"/>
          <w:sz w:val="21"/>
        </w:rPr>
        <w:t xml:space="preserve"> 天内通知承</w:t>
      </w:r>
      <w:r>
        <w:rPr>
          <w:spacing w:val="-6"/>
          <w:sz w:val="21"/>
        </w:rPr>
        <w:t>包人，指出在颁发接收证书前承包人还需进行的工作内容。承包人完成监理人通知的全部工作内容后，应</w:t>
      </w:r>
      <w:r>
        <w:rPr>
          <w:spacing w:val="-7"/>
          <w:sz w:val="21"/>
        </w:rPr>
        <w:t xml:space="preserve">再次提交竣工验收申请报告，直至监理人同意为止。监理人收到竣工验收申请报告后 </w:t>
      </w:r>
      <w:r>
        <w:rPr>
          <w:sz w:val="21"/>
        </w:rPr>
        <w:t>28</w:t>
      </w:r>
      <w:r>
        <w:rPr>
          <w:spacing w:val="-7"/>
          <w:sz w:val="21"/>
        </w:rPr>
        <w:t xml:space="preserve"> 天内不予答复的， 视为同意承包人的竣工验收申请，并应在收到该竣工验收申请报告后 </w:t>
      </w:r>
      <w:r>
        <w:rPr>
          <w:sz w:val="21"/>
        </w:rPr>
        <w:t>28</w:t>
      </w:r>
      <w:r>
        <w:rPr>
          <w:spacing w:val="-8"/>
          <w:sz w:val="21"/>
        </w:rPr>
        <w:t xml:space="preserve"> 天内提请发包人进行竣工验收。</w:t>
      </w:r>
    </w:p>
    <w:p>
      <w:pPr>
        <w:tabs>
          <w:tab w:val="left" w:pos="1265"/>
        </w:tabs>
        <w:spacing w:line="417" w:lineRule="auto"/>
        <w:ind w:right="546" w:firstLine="399" w:firstLineChars="196"/>
        <w:rPr>
          <w:rFonts w:ascii="Times New Roman" w:eastAsia="Times New Roman"/>
          <w:sz w:val="21"/>
        </w:rPr>
      </w:pPr>
      <w:r>
        <w:rPr>
          <w:rFonts w:hint="eastAsia"/>
          <w:spacing w:val="-3"/>
          <w:sz w:val="21"/>
        </w:rPr>
        <w:t xml:space="preserve">18.3.2 </w:t>
      </w:r>
      <w:r>
        <w:rPr>
          <w:spacing w:val="-3"/>
          <w:sz w:val="21"/>
        </w:rPr>
        <w:t xml:space="preserve">监理人同意承包人提交的竣工验收申请报告的，应在收到该竣工验收申请报告后的 </w:t>
      </w:r>
      <w:r>
        <w:rPr>
          <w:sz w:val="21"/>
        </w:rPr>
        <w:t>28 天内提</w:t>
      </w:r>
      <w:r>
        <w:rPr>
          <w:spacing w:val="-3"/>
          <w:sz w:val="21"/>
        </w:rPr>
        <w:t>请发包人进行工程验收。</w:t>
      </w:r>
    </w:p>
    <w:p>
      <w:pPr>
        <w:tabs>
          <w:tab w:val="left" w:pos="1265"/>
        </w:tabs>
        <w:spacing w:line="417" w:lineRule="auto"/>
        <w:ind w:right="546" w:firstLine="399" w:firstLineChars="196"/>
        <w:jc w:val="both"/>
        <w:rPr>
          <w:rFonts w:ascii="Times New Roman" w:eastAsia="Times New Roman"/>
          <w:sz w:val="21"/>
        </w:rPr>
      </w:pPr>
      <w:r>
        <w:rPr>
          <w:rFonts w:hint="eastAsia"/>
          <w:spacing w:val="-3"/>
          <w:sz w:val="21"/>
        </w:rPr>
        <w:t xml:space="preserve">18.3.3 </w:t>
      </w:r>
      <w:r>
        <w:rPr>
          <w:spacing w:val="-3"/>
          <w:sz w:val="21"/>
        </w:rPr>
        <w:t xml:space="preserve">发包人经过验收后同意接受工程的，应在监理人收到竣工验收申请报告后的 </w:t>
      </w:r>
      <w:r>
        <w:rPr>
          <w:sz w:val="21"/>
        </w:rPr>
        <w:t>56</w:t>
      </w:r>
      <w:r>
        <w:rPr>
          <w:spacing w:val="-1"/>
          <w:sz w:val="21"/>
        </w:rPr>
        <w:t xml:space="preserve"> 天内，由监理</w:t>
      </w:r>
      <w:r>
        <w:rPr>
          <w:spacing w:val="-5"/>
          <w:sz w:val="21"/>
        </w:rPr>
        <w:t>人向承包人出具经发包人签认的工程接收证书。发包人验收后同意接收工程但提出整修和完善要求的，限</w:t>
      </w:r>
      <w:r>
        <w:rPr>
          <w:spacing w:val="-8"/>
          <w:sz w:val="21"/>
        </w:rPr>
        <w:t>期修好，并缓发工程接收证书。整修和完善工作完成后，监理人复查达到要求的，经发包人同意后，再向</w:t>
      </w:r>
      <w:r>
        <w:rPr>
          <w:spacing w:val="-5"/>
          <w:sz w:val="21"/>
        </w:rPr>
        <w:t>承包人出具工程接收证书。</w:t>
      </w:r>
    </w:p>
    <w:p>
      <w:pPr>
        <w:tabs>
          <w:tab w:val="left" w:pos="1265"/>
        </w:tabs>
        <w:spacing w:line="268" w:lineRule="exact"/>
        <w:ind w:firstLine="392" w:firstLineChars="196"/>
        <w:jc w:val="both"/>
      </w:pPr>
      <w:r>
        <w:rPr>
          <w:rFonts w:hint="eastAsia"/>
          <w:spacing w:val="-5"/>
          <w:sz w:val="21"/>
        </w:rPr>
        <w:t xml:space="preserve">18.3.4 </w:t>
      </w:r>
      <w:r>
        <w:rPr>
          <w:spacing w:val="-5"/>
          <w:sz w:val="21"/>
        </w:rPr>
        <w:t>发包人验收后不同意接收工程的，监理人应按照发包人的验收意见发出指示，要求承包人对不</w:t>
      </w:r>
      <w:r>
        <w:rPr>
          <w:spacing w:val="-5"/>
        </w:rPr>
        <w:t>合格工程认真返工重作或进行补救处理，并承担由此产生的费用。承包人在完成不合格工程的返工重作或</w:t>
      </w:r>
      <w:r>
        <w:rPr>
          <w:spacing w:val="-7"/>
        </w:rPr>
        <w:t xml:space="preserve">补救工作后，应重新提交竣工验收申请报告，按第 </w:t>
      </w:r>
      <w:r>
        <w:rPr>
          <w:rFonts w:ascii="Times New Roman" w:eastAsia="Times New Roman"/>
        </w:rPr>
        <w:t xml:space="preserve">18.3.1 </w:t>
      </w:r>
      <w:r>
        <w:rPr>
          <w:spacing w:val="-14"/>
        </w:rPr>
        <w:t xml:space="preserve">项、第 </w:t>
      </w:r>
      <w:r>
        <w:rPr>
          <w:rFonts w:ascii="Times New Roman" w:eastAsia="Times New Roman"/>
        </w:rPr>
        <w:t xml:space="preserve">18.3.2 </w:t>
      </w:r>
      <w:r>
        <w:rPr>
          <w:spacing w:val="-14"/>
        </w:rPr>
        <w:t xml:space="preserve">项和第 </w:t>
      </w:r>
      <w:r>
        <w:rPr>
          <w:rFonts w:ascii="Times New Roman" w:eastAsia="Times New Roman"/>
        </w:rPr>
        <w:t xml:space="preserve">18.3.3 </w:t>
      </w:r>
      <w:r>
        <w:rPr>
          <w:spacing w:val="-3"/>
        </w:rPr>
        <w:t>项的约定进行。</w:t>
      </w:r>
    </w:p>
    <w:p>
      <w:pPr>
        <w:tabs>
          <w:tab w:val="left" w:pos="1265"/>
        </w:tabs>
        <w:spacing w:line="417" w:lineRule="auto"/>
        <w:ind w:right="546" w:firstLine="392" w:firstLineChars="196"/>
        <w:rPr>
          <w:rFonts w:ascii="Times New Roman" w:eastAsia="Times New Roman"/>
          <w:sz w:val="21"/>
        </w:rPr>
      </w:pPr>
      <w:r>
        <w:rPr>
          <w:rFonts w:hint="eastAsia"/>
          <w:spacing w:val="-5"/>
          <w:sz w:val="21"/>
        </w:rPr>
        <w:t xml:space="preserve">18.3.5 </w:t>
      </w:r>
      <w:r>
        <w:rPr>
          <w:spacing w:val="-5"/>
          <w:sz w:val="21"/>
        </w:rPr>
        <w:t>除专用合同条款另有约定外，经验收合格工程的实际竣工日期，以提交竣工验收申请报告的日</w:t>
      </w:r>
      <w:r>
        <w:rPr>
          <w:spacing w:val="-4"/>
          <w:sz w:val="21"/>
        </w:rPr>
        <w:t>期为准，并在工程接收证书中写明。</w:t>
      </w:r>
    </w:p>
    <w:p>
      <w:pPr>
        <w:tabs>
          <w:tab w:val="left" w:pos="1265"/>
        </w:tabs>
        <w:spacing w:line="417" w:lineRule="auto"/>
        <w:ind w:right="546" w:firstLine="399" w:firstLineChars="196"/>
        <w:rPr>
          <w:rFonts w:ascii="Times New Roman" w:eastAsia="Times New Roman"/>
          <w:sz w:val="21"/>
        </w:rPr>
      </w:pPr>
      <w:r>
        <w:rPr>
          <w:rFonts w:hint="eastAsia"/>
          <w:spacing w:val="-3"/>
          <w:sz w:val="21"/>
        </w:rPr>
        <w:t xml:space="preserve">18.3.6 </w:t>
      </w:r>
      <w:r>
        <w:rPr>
          <w:spacing w:val="-3"/>
          <w:sz w:val="21"/>
        </w:rPr>
        <w:t xml:space="preserve">发包人在收到承包人竣工验收申请报告 </w:t>
      </w:r>
      <w:r>
        <w:rPr>
          <w:sz w:val="21"/>
        </w:rPr>
        <w:t>56</w:t>
      </w:r>
      <w:r>
        <w:rPr>
          <w:spacing w:val="-3"/>
          <w:sz w:val="21"/>
        </w:rPr>
        <w:t xml:space="preserve"> 天后未进行验收的，视为验收合格，实际竣工日期以提交竣工验收申请报告的日期为准，但发包人由于不可抗力不能进行验收的除外。</w:t>
      </w:r>
    </w:p>
    <w:p>
      <w:pPr>
        <w:pStyle w:val="10"/>
        <w:rPr>
          <w:sz w:val="23"/>
        </w:rPr>
      </w:pPr>
    </w:p>
    <w:p>
      <w:pPr>
        <w:ind w:firstLine="427" w:firstLineChars="196"/>
        <w:rPr>
          <w:rFonts w:ascii="Times New Roman" w:eastAsia="Times New Roman"/>
        </w:rPr>
      </w:pPr>
      <w:bookmarkStart w:id="271" w:name="_bookmark203"/>
      <w:bookmarkEnd w:id="271"/>
      <w:r>
        <w:rPr>
          <w:rFonts w:hint="eastAsia"/>
          <w:spacing w:val="-1"/>
        </w:rPr>
        <w:t xml:space="preserve">18.4 </w:t>
      </w:r>
      <w:r>
        <w:rPr>
          <w:spacing w:val="-1"/>
        </w:rPr>
        <w:t>国家验收</w:t>
      </w:r>
    </w:p>
    <w:p>
      <w:pPr>
        <w:pStyle w:val="10"/>
        <w:spacing w:before="2"/>
        <w:rPr>
          <w:rFonts w:ascii="黑体"/>
          <w:sz w:val="38"/>
        </w:rPr>
      </w:pPr>
    </w:p>
    <w:p>
      <w:pPr>
        <w:pStyle w:val="10"/>
        <w:spacing w:line="417" w:lineRule="auto"/>
        <w:ind w:left="212" w:right="546" w:firstLine="420"/>
      </w:pPr>
      <w:r>
        <w:rPr>
          <w:spacing w:val="-5"/>
        </w:rPr>
        <w:t>需要进行国家验收的，竣工验收是国家验收的一部分。竣工验收所采用的各项验收和评定标准应符合</w:t>
      </w:r>
      <w:r>
        <w:rPr>
          <w:spacing w:val="-4"/>
        </w:rPr>
        <w:t>国家验收标准。发包人和承包人为竣工验收提供的各项竣工验收资料应符合国家验收的要求。</w:t>
      </w:r>
    </w:p>
    <w:p>
      <w:pPr>
        <w:pStyle w:val="10"/>
        <w:rPr>
          <w:sz w:val="23"/>
        </w:rPr>
      </w:pPr>
    </w:p>
    <w:p>
      <w:pPr>
        <w:pStyle w:val="35"/>
        <w:numPr>
          <w:ilvl w:val="1"/>
          <w:numId w:val="55"/>
        </w:numPr>
        <w:rPr>
          <w:rFonts w:ascii="Times New Roman" w:eastAsia="Times New Roman"/>
        </w:rPr>
      </w:pPr>
      <w:bookmarkStart w:id="272" w:name="_bookmark204"/>
      <w:bookmarkEnd w:id="272"/>
      <w:r>
        <w:rPr>
          <w:spacing w:val="-1"/>
        </w:rPr>
        <w:t>区段工程验收</w:t>
      </w:r>
    </w:p>
    <w:p>
      <w:pPr>
        <w:pStyle w:val="10"/>
        <w:spacing w:before="4"/>
        <w:rPr>
          <w:rFonts w:ascii="黑体"/>
          <w:sz w:val="38"/>
        </w:rPr>
      </w:pPr>
    </w:p>
    <w:p>
      <w:pPr>
        <w:tabs>
          <w:tab w:val="left" w:pos="1265"/>
        </w:tabs>
        <w:spacing w:before="1" w:line="417" w:lineRule="auto"/>
        <w:ind w:right="546" w:firstLine="392" w:firstLineChars="196"/>
        <w:jc w:val="both"/>
        <w:rPr>
          <w:rFonts w:ascii="Times New Roman" w:eastAsia="Times New Roman"/>
          <w:sz w:val="21"/>
        </w:rPr>
      </w:pPr>
      <w:r>
        <w:rPr>
          <w:rFonts w:hint="eastAsia"/>
          <w:spacing w:val="-5"/>
          <w:sz w:val="21"/>
        </w:rPr>
        <w:t xml:space="preserve">18.5.1 </w:t>
      </w:r>
      <w:r>
        <w:rPr>
          <w:spacing w:val="-5"/>
          <w:sz w:val="21"/>
        </w:rPr>
        <w:t>发包人根据合同进度计划安排，在全部工程竣工前需要使用已经竣工的区段工程时，或承包人</w:t>
      </w:r>
      <w:r>
        <w:rPr>
          <w:spacing w:val="-6"/>
          <w:sz w:val="21"/>
        </w:rPr>
        <w:t xml:space="preserve">提出经发包人同意时，可进行区段工程验收。验收的程序可参照第 </w:t>
      </w:r>
      <w:r>
        <w:rPr>
          <w:rFonts w:ascii="Times New Roman" w:eastAsia="Times New Roman"/>
          <w:sz w:val="21"/>
        </w:rPr>
        <w:t>18.2</w:t>
      </w:r>
      <w:r>
        <w:rPr>
          <w:rFonts w:ascii="Times New Roman" w:eastAsia="Times New Roman"/>
          <w:spacing w:val="17"/>
          <w:sz w:val="21"/>
        </w:rPr>
        <w:t xml:space="preserve"> </w:t>
      </w:r>
      <w:r>
        <w:rPr>
          <w:spacing w:val="-10"/>
          <w:sz w:val="21"/>
        </w:rPr>
        <w:t xml:space="preserve">款与第 </w:t>
      </w:r>
      <w:r>
        <w:rPr>
          <w:rFonts w:ascii="Times New Roman" w:eastAsia="Times New Roman"/>
          <w:sz w:val="21"/>
        </w:rPr>
        <w:t>18.3</w:t>
      </w:r>
      <w:r>
        <w:rPr>
          <w:rFonts w:ascii="Times New Roman" w:eastAsia="Times New Roman"/>
          <w:spacing w:val="16"/>
          <w:sz w:val="21"/>
        </w:rPr>
        <w:t xml:space="preserve"> </w:t>
      </w:r>
      <w:r>
        <w:rPr>
          <w:spacing w:val="-3"/>
          <w:sz w:val="21"/>
        </w:rPr>
        <w:t>款的约定进行。验收</w:t>
      </w:r>
      <w:r>
        <w:rPr>
          <w:spacing w:val="-6"/>
          <w:sz w:val="21"/>
        </w:rPr>
        <w:t>合格后，由监理人向承包人出具经发包人签认的区段工程验收证书。已签发区段工程接收证书的区段工程</w:t>
      </w:r>
      <w:r>
        <w:rPr>
          <w:spacing w:val="-4"/>
          <w:sz w:val="21"/>
        </w:rPr>
        <w:t>由发包人负责照管。区段工程的验收成果和结论作为全部工程竣工验收申请报告的附件。</w:t>
      </w:r>
    </w:p>
    <w:p>
      <w:pPr>
        <w:tabs>
          <w:tab w:val="left" w:pos="1265"/>
        </w:tabs>
        <w:spacing w:line="417" w:lineRule="auto"/>
        <w:ind w:right="546" w:firstLine="392" w:firstLineChars="196"/>
        <w:jc w:val="both"/>
        <w:rPr>
          <w:rFonts w:ascii="Times New Roman" w:eastAsia="Times New Roman"/>
          <w:sz w:val="21"/>
        </w:rPr>
      </w:pPr>
      <w:r>
        <w:rPr>
          <w:rFonts w:hint="eastAsia"/>
          <w:spacing w:val="-5"/>
          <w:sz w:val="21"/>
        </w:rPr>
        <w:t xml:space="preserve">18.5.2 </w:t>
      </w:r>
      <w:r>
        <w:rPr>
          <w:spacing w:val="-5"/>
          <w:sz w:val="21"/>
        </w:rPr>
        <w:t>发包人在全部工程竣工前，使用已接收的区段工程导致承包人费用增加的，</w:t>
      </w:r>
      <w:r>
        <w:rPr>
          <w:spacing w:val="-5"/>
          <w:sz w:val="21"/>
          <w:highlight w:val="yellow"/>
        </w:rPr>
        <w:t>发包人应承担由此</w:t>
      </w:r>
      <w:r>
        <w:rPr>
          <w:spacing w:val="-4"/>
          <w:sz w:val="21"/>
          <w:highlight w:val="yellow"/>
        </w:rPr>
        <w:t>增加的费用和</w:t>
      </w:r>
      <w:r>
        <w:rPr>
          <w:rFonts w:hint="eastAsia"/>
          <w:spacing w:val="-4"/>
          <w:sz w:val="21"/>
          <w:highlight w:val="yellow"/>
        </w:rPr>
        <w:t>（或）</w:t>
      </w:r>
      <w:r>
        <w:rPr>
          <w:spacing w:val="-3"/>
          <w:sz w:val="21"/>
          <w:highlight w:val="yellow"/>
        </w:rPr>
        <w:t>工期延误。</w:t>
      </w:r>
    </w:p>
    <w:p>
      <w:pPr>
        <w:pStyle w:val="10"/>
        <w:spacing w:before="12"/>
        <w:rPr>
          <w:sz w:val="22"/>
        </w:rPr>
      </w:pPr>
    </w:p>
    <w:p>
      <w:pPr>
        <w:ind w:firstLine="427" w:firstLineChars="196"/>
        <w:rPr>
          <w:rFonts w:ascii="Times New Roman" w:eastAsia="Times New Roman"/>
        </w:rPr>
      </w:pPr>
      <w:bookmarkStart w:id="273" w:name="_bookmark205"/>
      <w:bookmarkEnd w:id="273"/>
      <w:r>
        <w:rPr>
          <w:rFonts w:hint="eastAsia"/>
          <w:spacing w:val="-1"/>
        </w:rPr>
        <w:t xml:space="preserve">18.6 </w:t>
      </w:r>
      <w:r>
        <w:rPr>
          <w:spacing w:val="-1"/>
        </w:rPr>
        <w:t>施工期运行</w:t>
      </w:r>
    </w:p>
    <w:p>
      <w:pPr>
        <w:pStyle w:val="10"/>
        <w:spacing w:before="4"/>
        <w:rPr>
          <w:rFonts w:ascii="黑体"/>
          <w:sz w:val="38"/>
        </w:rPr>
      </w:pPr>
    </w:p>
    <w:p>
      <w:pPr>
        <w:tabs>
          <w:tab w:val="left" w:pos="1265"/>
        </w:tabs>
        <w:spacing w:line="417" w:lineRule="auto"/>
        <w:ind w:right="524" w:firstLine="399" w:firstLineChars="196"/>
        <w:jc w:val="both"/>
        <w:rPr>
          <w:rFonts w:ascii="Times New Roman" w:eastAsia="Times New Roman"/>
          <w:sz w:val="21"/>
        </w:rPr>
      </w:pPr>
      <w:r>
        <w:rPr>
          <w:rFonts w:hint="eastAsia"/>
          <w:spacing w:val="-3"/>
          <w:sz w:val="21"/>
        </w:rPr>
        <w:t xml:space="preserve">18.6.1 </w:t>
      </w:r>
      <w:r>
        <w:rPr>
          <w:spacing w:val="-3"/>
          <w:sz w:val="21"/>
        </w:rPr>
        <w:t xml:space="preserve">施工期运行是指合同工程尚未全部竣工，其中某项或某几项区段工程或工程设备安装已竣工， 根据专用合同条款约定，需要投入施工期运行的，经发包人按第 </w:t>
      </w:r>
      <w:r>
        <w:rPr>
          <w:rFonts w:ascii="Times New Roman" w:eastAsia="Times New Roman"/>
          <w:sz w:val="21"/>
        </w:rPr>
        <w:t>18.5</w:t>
      </w:r>
      <w:r>
        <w:rPr>
          <w:rFonts w:ascii="Times New Roman" w:eastAsia="Times New Roman"/>
          <w:spacing w:val="23"/>
          <w:sz w:val="21"/>
        </w:rPr>
        <w:t xml:space="preserve"> </w:t>
      </w:r>
      <w:r>
        <w:rPr>
          <w:spacing w:val="-3"/>
          <w:sz w:val="21"/>
        </w:rPr>
        <w:t>款的约定验收合格，证明能确保安全后，才能在施工期投入运行。</w:t>
      </w:r>
    </w:p>
    <w:p>
      <w:pPr>
        <w:tabs>
          <w:tab w:val="left" w:pos="1265"/>
        </w:tabs>
        <w:spacing w:line="269" w:lineRule="exact"/>
        <w:ind w:firstLine="396" w:firstLineChars="200"/>
        <w:jc w:val="both"/>
        <w:rPr>
          <w:rFonts w:ascii="Times New Roman" w:eastAsia="Times New Roman"/>
          <w:sz w:val="21"/>
        </w:rPr>
      </w:pPr>
      <w:r>
        <w:rPr>
          <w:rFonts w:hint="eastAsia"/>
          <w:spacing w:val="-6"/>
          <w:sz w:val="21"/>
        </w:rPr>
        <w:t xml:space="preserve">18.6.2 </w:t>
      </w:r>
      <w:r>
        <w:rPr>
          <w:spacing w:val="-6"/>
          <w:sz w:val="21"/>
        </w:rPr>
        <w:t xml:space="preserve">在施工期运行中发现工程或工程设备损坏或存在缺陷的，由承包人按第 </w:t>
      </w:r>
      <w:r>
        <w:rPr>
          <w:rFonts w:ascii="Times New Roman" w:eastAsia="Times New Roman"/>
          <w:sz w:val="21"/>
        </w:rPr>
        <w:t>19.2</w:t>
      </w:r>
      <w:r>
        <w:rPr>
          <w:rFonts w:ascii="Times New Roman" w:eastAsia="Times New Roman"/>
          <w:spacing w:val="6"/>
          <w:sz w:val="21"/>
        </w:rPr>
        <w:t xml:space="preserve"> </w:t>
      </w:r>
      <w:r>
        <w:rPr>
          <w:spacing w:val="-3"/>
          <w:sz w:val="21"/>
        </w:rPr>
        <w:t>款约定进行修复。</w:t>
      </w:r>
    </w:p>
    <w:p>
      <w:pPr>
        <w:pStyle w:val="10"/>
        <w:rPr>
          <w:sz w:val="22"/>
        </w:rPr>
      </w:pPr>
    </w:p>
    <w:p>
      <w:pPr>
        <w:pStyle w:val="10"/>
        <w:spacing w:before="7"/>
        <w:rPr>
          <w:sz w:val="16"/>
        </w:rPr>
      </w:pPr>
    </w:p>
    <w:p>
      <w:pPr>
        <w:ind w:firstLine="427" w:firstLineChars="196"/>
      </w:pPr>
      <w:bookmarkStart w:id="274" w:name="_bookmark206"/>
      <w:bookmarkEnd w:id="274"/>
      <w:r>
        <w:rPr>
          <w:rFonts w:hint="eastAsia"/>
          <w:spacing w:val="-1"/>
        </w:rPr>
        <w:t xml:space="preserve">18.7 </w:t>
      </w:r>
      <w:r>
        <w:rPr>
          <w:spacing w:val="-1"/>
        </w:rPr>
        <w:t>竣工清场</w:t>
      </w:r>
    </w:p>
    <w:p>
      <w:pPr>
        <w:pStyle w:val="10"/>
        <w:spacing w:before="1"/>
        <w:rPr>
          <w:rFonts w:ascii="黑体"/>
          <w:sz w:val="38"/>
        </w:rPr>
      </w:pPr>
    </w:p>
    <w:p>
      <w:pPr>
        <w:tabs>
          <w:tab w:val="left" w:pos="1265"/>
        </w:tabs>
        <w:spacing w:before="1" w:line="417" w:lineRule="auto"/>
        <w:ind w:right="546" w:firstLine="396" w:firstLineChars="200"/>
        <w:jc w:val="both"/>
        <w:rPr>
          <w:sz w:val="21"/>
        </w:rPr>
      </w:pPr>
      <w:r>
        <w:rPr>
          <w:rFonts w:hint="eastAsia"/>
          <w:spacing w:val="-6"/>
          <w:sz w:val="21"/>
        </w:rPr>
        <w:t xml:space="preserve">18.7.1 </w:t>
      </w:r>
      <w:r>
        <w:rPr>
          <w:spacing w:val="-6"/>
          <w:sz w:val="21"/>
        </w:rPr>
        <w:t>除合同另有约定外，工程接收证书颁发后，承包人应按以下要求对施工场地进行清理，直至监</w:t>
      </w:r>
      <w:r>
        <w:rPr>
          <w:spacing w:val="-4"/>
          <w:sz w:val="21"/>
        </w:rPr>
        <w:t>理人检验合格为止。竣工清场费用由承包人承担。</w:t>
      </w:r>
      <w:r>
        <w:rPr>
          <w:spacing w:val="-3"/>
          <w:sz w:val="21"/>
        </w:rPr>
        <w:t>施工场地内残留的垃圾已全部清除出场；</w:t>
      </w:r>
    </w:p>
    <w:p>
      <w:pPr>
        <w:pStyle w:val="10"/>
        <w:spacing w:before="7"/>
        <w:rPr>
          <w:sz w:val="15"/>
        </w:rPr>
      </w:pPr>
    </w:p>
    <w:p>
      <w:pPr>
        <w:pStyle w:val="35"/>
        <w:numPr>
          <w:ilvl w:val="0"/>
          <w:numId w:val="56"/>
        </w:numPr>
        <w:tabs>
          <w:tab w:val="left" w:pos="1163"/>
        </w:tabs>
        <w:ind w:hanging="530"/>
        <w:rPr>
          <w:sz w:val="21"/>
        </w:rPr>
      </w:pPr>
      <w:r>
        <w:rPr>
          <w:spacing w:val="-3"/>
          <w:sz w:val="21"/>
        </w:rPr>
        <w:t>临时工程已拆除，场地已按合同要求进行清理、平整或复原；</w:t>
      </w:r>
    </w:p>
    <w:p>
      <w:pPr>
        <w:pStyle w:val="10"/>
        <w:spacing w:before="7"/>
        <w:rPr>
          <w:sz w:val="15"/>
        </w:rPr>
      </w:pPr>
    </w:p>
    <w:p>
      <w:pPr>
        <w:pStyle w:val="35"/>
        <w:numPr>
          <w:ilvl w:val="0"/>
          <w:numId w:val="56"/>
        </w:numPr>
        <w:tabs>
          <w:tab w:val="left" w:pos="1165"/>
        </w:tabs>
        <w:spacing w:line="417" w:lineRule="auto"/>
        <w:ind w:left="212" w:right="556" w:firstLine="420"/>
        <w:rPr>
          <w:sz w:val="21"/>
        </w:rPr>
      </w:pPr>
      <w:r>
        <w:rPr>
          <w:spacing w:val="-1"/>
          <w:sz w:val="21"/>
        </w:rPr>
        <w:t>按合同约定应撤离的承包人设备和剩余的材料，包括废弃的施工设备和材料，已按计划撤离施工场地；</w:t>
      </w:r>
    </w:p>
    <w:p>
      <w:pPr>
        <w:pStyle w:val="35"/>
        <w:numPr>
          <w:ilvl w:val="0"/>
          <w:numId w:val="56"/>
        </w:numPr>
        <w:tabs>
          <w:tab w:val="left" w:pos="1163"/>
        </w:tabs>
        <w:spacing w:line="269" w:lineRule="exact"/>
        <w:ind w:hanging="530"/>
        <w:rPr>
          <w:sz w:val="21"/>
        </w:rPr>
      </w:pPr>
      <w:r>
        <w:rPr>
          <w:spacing w:val="-3"/>
          <w:sz w:val="21"/>
        </w:rPr>
        <w:t>工程建筑物周边及其附近道路、河道的施工堆积物，已按监理人指示全部清理；</w:t>
      </w:r>
    </w:p>
    <w:p>
      <w:pPr>
        <w:pStyle w:val="10"/>
        <w:spacing w:before="7"/>
        <w:rPr>
          <w:sz w:val="15"/>
        </w:rPr>
      </w:pPr>
    </w:p>
    <w:p>
      <w:pPr>
        <w:pStyle w:val="35"/>
        <w:numPr>
          <w:ilvl w:val="0"/>
          <w:numId w:val="56"/>
        </w:numPr>
        <w:tabs>
          <w:tab w:val="left" w:pos="1163"/>
        </w:tabs>
        <w:ind w:hanging="530"/>
        <w:rPr>
          <w:sz w:val="21"/>
        </w:rPr>
      </w:pPr>
      <w:r>
        <w:rPr>
          <w:spacing w:val="-3"/>
          <w:sz w:val="21"/>
        </w:rPr>
        <w:t>监理人指示的其他场地清理工作已全部完成。</w:t>
      </w:r>
    </w:p>
    <w:p>
      <w:pPr>
        <w:pStyle w:val="10"/>
        <w:spacing w:before="7"/>
        <w:rPr>
          <w:sz w:val="15"/>
        </w:rPr>
      </w:pPr>
    </w:p>
    <w:p>
      <w:pPr>
        <w:tabs>
          <w:tab w:val="left" w:pos="1265"/>
        </w:tabs>
        <w:spacing w:line="417" w:lineRule="auto"/>
        <w:ind w:right="546" w:firstLine="392" w:firstLineChars="196"/>
        <w:rPr>
          <w:rFonts w:ascii="Times New Roman" w:eastAsia="Times New Roman"/>
          <w:sz w:val="21"/>
        </w:rPr>
      </w:pPr>
      <w:r>
        <w:rPr>
          <w:rFonts w:hint="eastAsia"/>
          <w:spacing w:val="-5"/>
          <w:sz w:val="21"/>
        </w:rPr>
        <w:t xml:space="preserve">18.7.2 </w:t>
      </w:r>
      <w:r>
        <w:rPr>
          <w:spacing w:val="-5"/>
          <w:sz w:val="21"/>
        </w:rPr>
        <w:t>承包人未按监理人的要求恢复临时占地，或者场地清理未达到合同约定的，发包人有权委托其</w:t>
      </w:r>
      <w:r>
        <w:rPr>
          <w:spacing w:val="-4"/>
          <w:sz w:val="21"/>
        </w:rPr>
        <w:t>他人恢复或清理，所发生的金额从拟支付给承包人的款项中扣除。</w:t>
      </w:r>
    </w:p>
    <w:p>
      <w:pPr>
        <w:pStyle w:val="10"/>
        <w:rPr>
          <w:sz w:val="23"/>
        </w:rPr>
      </w:pPr>
    </w:p>
    <w:p>
      <w:pPr>
        <w:ind w:firstLine="427" w:firstLineChars="196"/>
        <w:rPr>
          <w:rFonts w:ascii="Times New Roman" w:eastAsia="Times New Roman"/>
        </w:rPr>
      </w:pPr>
      <w:bookmarkStart w:id="275" w:name="_bookmark207"/>
      <w:bookmarkEnd w:id="275"/>
      <w:r>
        <w:rPr>
          <w:rFonts w:hint="eastAsia"/>
          <w:spacing w:val="-1"/>
        </w:rPr>
        <w:t xml:space="preserve">18.8 </w:t>
      </w:r>
      <w:r>
        <w:rPr>
          <w:spacing w:val="-1"/>
        </w:rPr>
        <w:t>施工队伍的撤离</w:t>
      </w:r>
    </w:p>
    <w:p>
      <w:pPr>
        <w:pStyle w:val="10"/>
        <w:spacing w:before="2"/>
        <w:rPr>
          <w:rFonts w:ascii="黑体"/>
          <w:sz w:val="38"/>
        </w:rPr>
      </w:pPr>
    </w:p>
    <w:p>
      <w:pPr>
        <w:pStyle w:val="10"/>
        <w:spacing w:line="417" w:lineRule="auto"/>
        <w:ind w:left="212" w:right="546" w:firstLine="420"/>
        <w:jc w:val="both"/>
      </w:pPr>
      <w:r>
        <w:rPr>
          <w:spacing w:val="-2"/>
        </w:rPr>
        <w:t xml:space="preserve">工程接收证书颁发后的 </w:t>
      </w:r>
      <w:r>
        <w:t>56</w:t>
      </w:r>
      <w:r>
        <w:rPr>
          <w:spacing w:val="-3"/>
        </w:rPr>
        <w:t xml:space="preserve"> 天内，除了经监理人同意需在缺陷责任期内继续工作和使用的人员、施工</w:t>
      </w:r>
      <w:r>
        <w:rPr>
          <w:spacing w:val="-5"/>
        </w:rPr>
        <w:t>设备和临时工程外，其余的人员、施工设备和临时工程均应撤离施工场地或拆除。除合同另有约定外，缺</w:t>
      </w:r>
      <w:r>
        <w:rPr>
          <w:spacing w:val="-4"/>
        </w:rPr>
        <w:t>陷责任期满时，承包人的人员和施工设备应全部撤离施工场地。</w:t>
      </w:r>
    </w:p>
    <w:p>
      <w:pPr>
        <w:pStyle w:val="10"/>
        <w:spacing w:before="12"/>
        <w:rPr>
          <w:sz w:val="22"/>
        </w:rPr>
      </w:pPr>
    </w:p>
    <w:p>
      <w:pPr>
        <w:ind w:firstLine="427" w:firstLineChars="196"/>
        <w:rPr>
          <w:rFonts w:ascii="Times New Roman" w:eastAsia="Times New Roman"/>
        </w:rPr>
      </w:pPr>
      <w:bookmarkStart w:id="276" w:name="_bookmark208"/>
      <w:bookmarkEnd w:id="276"/>
      <w:r>
        <w:rPr>
          <w:rFonts w:hint="eastAsia"/>
          <w:spacing w:val="-1"/>
        </w:rPr>
        <w:t xml:space="preserve">18.9 </w:t>
      </w:r>
      <w:r>
        <w:rPr>
          <w:spacing w:val="-1"/>
        </w:rPr>
        <w:t>竣工后试验</w:t>
      </w:r>
    </w:p>
    <w:p>
      <w:pPr>
        <w:pStyle w:val="10"/>
        <w:spacing w:before="5"/>
        <w:rPr>
          <w:rFonts w:ascii="黑体"/>
          <w:sz w:val="38"/>
        </w:rPr>
      </w:pPr>
    </w:p>
    <w:p>
      <w:pPr>
        <w:pStyle w:val="10"/>
        <w:ind w:left="633"/>
      </w:pPr>
      <w:r>
        <w:rPr>
          <w:spacing w:val="-3"/>
        </w:rPr>
        <w:t>除专用合同条款另有约定外：</w:t>
      </w:r>
    </w:p>
    <w:p>
      <w:pPr>
        <w:pStyle w:val="10"/>
        <w:spacing w:before="7"/>
        <w:rPr>
          <w:sz w:val="15"/>
        </w:rPr>
      </w:pPr>
    </w:p>
    <w:p>
      <w:pPr>
        <w:pStyle w:val="35"/>
        <w:numPr>
          <w:ilvl w:val="0"/>
          <w:numId w:val="57"/>
        </w:numPr>
        <w:tabs>
          <w:tab w:val="left" w:pos="1163"/>
        </w:tabs>
        <w:ind w:hanging="530"/>
        <w:rPr>
          <w:sz w:val="21"/>
        </w:rPr>
      </w:pPr>
      <w:r>
        <w:rPr>
          <w:spacing w:val="-3"/>
          <w:sz w:val="21"/>
        </w:rPr>
        <w:t>发包人为竣工后试验提供必要的电力、材料、燃料、发包人人员和工程设备；</w:t>
      </w:r>
    </w:p>
    <w:p>
      <w:pPr>
        <w:pStyle w:val="10"/>
        <w:spacing w:before="7"/>
        <w:rPr>
          <w:sz w:val="15"/>
        </w:rPr>
      </w:pPr>
    </w:p>
    <w:p>
      <w:pPr>
        <w:pStyle w:val="35"/>
        <w:numPr>
          <w:ilvl w:val="0"/>
          <w:numId w:val="57"/>
        </w:numPr>
        <w:tabs>
          <w:tab w:val="left" w:pos="1163"/>
        </w:tabs>
        <w:ind w:hanging="530"/>
        <w:rPr>
          <w:sz w:val="21"/>
        </w:rPr>
      </w:pPr>
      <w:r>
        <w:rPr>
          <w:spacing w:val="-3"/>
          <w:sz w:val="21"/>
        </w:rPr>
        <w:t>承包人应提供竣工后试验所需要的所有其他设备、仪器，以及有资格和经验的工作人员；</w:t>
      </w:r>
    </w:p>
    <w:p>
      <w:pPr>
        <w:pStyle w:val="10"/>
        <w:spacing w:before="6"/>
        <w:rPr>
          <w:sz w:val="15"/>
        </w:rPr>
      </w:pPr>
    </w:p>
    <w:p>
      <w:pPr>
        <w:pStyle w:val="35"/>
        <w:numPr>
          <w:ilvl w:val="0"/>
          <w:numId w:val="57"/>
        </w:numPr>
        <w:tabs>
          <w:tab w:val="left" w:pos="1163"/>
        </w:tabs>
        <w:spacing w:line="417" w:lineRule="auto"/>
        <w:ind w:left="212" w:right="546" w:firstLine="420"/>
        <w:jc w:val="both"/>
        <w:rPr>
          <w:sz w:val="21"/>
        </w:rPr>
      </w:pPr>
      <w:r>
        <w:rPr>
          <w:spacing w:val="-6"/>
          <w:sz w:val="21"/>
        </w:rPr>
        <w:t xml:space="preserve">承包人应在发包人在场的情况下，进行竣工后试验。发包人应提前 </w:t>
      </w:r>
      <w:r>
        <w:rPr>
          <w:rFonts w:ascii="Times New Roman" w:eastAsia="Times New Roman"/>
          <w:sz w:val="21"/>
        </w:rPr>
        <w:t>21</w:t>
      </w:r>
      <w:r>
        <w:rPr>
          <w:rFonts w:ascii="Times New Roman" w:eastAsia="Times New Roman"/>
          <w:spacing w:val="18"/>
          <w:sz w:val="21"/>
        </w:rPr>
        <w:t xml:space="preserve"> </w:t>
      </w:r>
      <w:r>
        <w:rPr>
          <w:spacing w:val="-3"/>
          <w:sz w:val="21"/>
        </w:rPr>
        <w:t>天将竣工后试验的日期通</w:t>
      </w:r>
      <w:r>
        <w:rPr>
          <w:spacing w:val="-6"/>
          <w:sz w:val="21"/>
        </w:rPr>
        <w:t>知承包人。因承包人原因造成某项竣工后试验未能通过的，承包人应按照合同的约定进行赔偿，或者承包</w:t>
      </w:r>
      <w:r>
        <w:rPr>
          <w:spacing w:val="-4"/>
          <w:sz w:val="21"/>
        </w:rPr>
        <w:t>人提出修复建议，按照发包人指示的合理期限内改正，并承担合同约定的相应责任。</w:t>
      </w:r>
    </w:p>
    <w:p>
      <w:pPr>
        <w:pStyle w:val="10"/>
        <w:spacing w:before="10"/>
        <w:rPr>
          <w:sz w:val="20"/>
        </w:rPr>
      </w:pPr>
    </w:p>
    <w:p>
      <w:pPr>
        <w:pStyle w:val="4"/>
      </w:pPr>
      <w:bookmarkStart w:id="277" w:name="_bookmark209"/>
      <w:bookmarkEnd w:id="277"/>
      <w:bookmarkStart w:id="278" w:name="_Toc37926071"/>
      <w:r>
        <w:rPr>
          <w:rFonts w:hint="eastAsia"/>
        </w:rPr>
        <w:t xml:space="preserve">19 </w:t>
      </w:r>
      <w:r>
        <w:t>缺陷责任与保修责任</w:t>
      </w:r>
      <w:bookmarkEnd w:id="278"/>
    </w:p>
    <w:p>
      <w:pPr>
        <w:pStyle w:val="10"/>
        <w:spacing w:before="4"/>
        <w:rPr>
          <w:rFonts w:ascii="黑体"/>
          <w:b/>
          <w:sz w:val="39"/>
        </w:rPr>
      </w:pPr>
    </w:p>
    <w:p>
      <w:pPr>
        <w:ind w:firstLine="432" w:firstLineChars="200"/>
        <w:rPr>
          <w:rFonts w:ascii="Times New Roman" w:eastAsia="Times New Roman"/>
        </w:rPr>
      </w:pPr>
      <w:bookmarkStart w:id="279" w:name="_bookmark210"/>
      <w:bookmarkEnd w:id="279"/>
      <w:r>
        <w:rPr>
          <w:rFonts w:hint="eastAsia"/>
          <w:spacing w:val="-2"/>
        </w:rPr>
        <w:t xml:space="preserve">19.1 </w:t>
      </w:r>
      <w:r>
        <w:rPr>
          <w:spacing w:val="-2"/>
        </w:rPr>
        <w:t>缺陷责任期的起算时间</w:t>
      </w:r>
    </w:p>
    <w:p>
      <w:pPr>
        <w:pStyle w:val="10"/>
        <w:spacing w:before="2"/>
        <w:rPr>
          <w:rFonts w:ascii="黑体"/>
          <w:sz w:val="38"/>
        </w:rPr>
      </w:pPr>
    </w:p>
    <w:p>
      <w:pPr>
        <w:pStyle w:val="10"/>
        <w:spacing w:line="417" w:lineRule="auto"/>
        <w:ind w:left="212" w:right="546" w:firstLine="420"/>
        <w:rPr>
          <w:spacing w:val="-4"/>
        </w:rPr>
      </w:pPr>
      <w:r>
        <w:rPr>
          <w:spacing w:val="-5"/>
        </w:rPr>
        <w:t>缺陷责任期自实际竣工日期起计算。在全部工程竣工验收前，已经发包人提前验收的区段工程或进入</w:t>
      </w:r>
      <w:r>
        <w:rPr>
          <w:spacing w:val="-4"/>
        </w:rPr>
        <w:t>施工期运行的工程，其缺陷责任期的起算日期相应提前到相应工程竣工日。</w:t>
      </w:r>
      <w:bookmarkStart w:id="280" w:name="_bookmark211"/>
      <w:bookmarkEnd w:id="280"/>
    </w:p>
    <w:p>
      <w:pPr>
        <w:pStyle w:val="10"/>
        <w:spacing w:line="417" w:lineRule="auto"/>
        <w:ind w:left="212" w:right="546" w:firstLine="420"/>
        <w:rPr>
          <w:rFonts w:ascii="Times New Roman" w:eastAsia="Times New Roman"/>
        </w:rPr>
      </w:pPr>
      <w:r>
        <w:rPr>
          <w:rFonts w:hint="eastAsia"/>
          <w:spacing w:val="-4"/>
        </w:rPr>
        <w:t xml:space="preserve">19.2 </w:t>
      </w:r>
      <w:r>
        <w:rPr>
          <w:spacing w:val="-1"/>
        </w:rPr>
        <w:t>缺陷责任</w:t>
      </w:r>
    </w:p>
    <w:p>
      <w:pPr>
        <w:pStyle w:val="10"/>
        <w:spacing w:before="4"/>
        <w:rPr>
          <w:rFonts w:ascii="黑体"/>
          <w:sz w:val="38"/>
        </w:rPr>
      </w:pPr>
    </w:p>
    <w:p>
      <w:pPr>
        <w:tabs>
          <w:tab w:val="left" w:pos="1265"/>
        </w:tabs>
        <w:ind w:firstLine="399" w:firstLineChars="196"/>
        <w:jc w:val="both"/>
        <w:rPr>
          <w:rFonts w:ascii="Times New Roman" w:eastAsia="Times New Roman"/>
          <w:sz w:val="21"/>
        </w:rPr>
      </w:pPr>
      <w:r>
        <w:rPr>
          <w:rFonts w:hint="eastAsia"/>
          <w:spacing w:val="-3"/>
          <w:sz w:val="21"/>
        </w:rPr>
        <w:t xml:space="preserve">19.2.1 </w:t>
      </w:r>
      <w:r>
        <w:rPr>
          <w:spacing w:val="-3"/>
          <w:sz w:val="21"/>
        </w:rPr>
        <w:t>承包人应在缺陷责任期内对已交付使用的工程承担缺陷责任。</w:t>
      </w:r>
    </w:p>
    <w:p>
      <w:pPr>
        <w:pStyle w:val="10"/>
        <w:spacing w:before="7"/>
        <w:rPr>
          <w:sz w:val="15"/>
        </w:rPr>
      </w:pPr>
    </w:p>
    <w:p>
      <w:pPr>
        <w:tabs>
          <w:tab w:val="left" w:pos="1265"/>
        </w:tabs>
        <w:spacing w:line="417" w:lineRule="auto"/>
        <w:ind w:right="443" w:firstLine="396" w:firstLineChars="200"/>
        <w:jc w:val="both"/>
        <w:rPr>
          <w:rFonts w:ascii="Times New Roman" w:eastAsia="Times New Roman"/>
          <w:sz w:val="21"/>
        </w:rPr>
      </w:pPr>
      <w:r>
        <w:rPr>
          <w:rFonts w:hint="eastAsia"/>
          <w:spacing w:val="-6"/>
          <w:sz w:val="21"/>
        </w:rPr>
        <w:t xml:space="preserve">19.2.2 </w:t>
      </w:r>
      <w:r>
        <w:rPr>
          <w:spacing w:val="-6"/>
          <w:sz w:val="21"/>
        </w:rPr>
        <w:t>缺陷责任期内，发包人对已接收使用的工程负责日常维护工作。发包人在使用过程中，发现已</w:t>
      </w:r>
      <w:r>
        <w:rPr>
          <w:spacing w:val="-9"/>
          <w:sz w:val="21"/>
        </w:rPr>
        <w:t>接收的工程存在新的缺陷或已修复的缺陷部位或部件又遭损坏的，承包人应负责修复，直至检验合格为止。</w:t>
      </w:r>
    </w:p>
    <w:p>
      <w:pPr>
        <w:tabs>
          <w:tab w:val="left" w:pos="1265"/>
        </w:tabs>
        <w:spacing w:line="417" w:lineRule="auto"/>
        <w:ind w:right="546" w:firstLine="404" w:firstLineChars="200"/>
        <w:jc w:val="both"/>
        <w:rPr>
          <w:rFonts w:ascii="Times New Roman" w:eastAsia="Times New Roman"/>
          <w:sz w:val="21"/>
        </w:rPr>
      </w:pPr>
      <w:r>
        <w:rPr>
          <w:rFonts w:hint="eastAsia"/>
          <w:spacing w:val="-4"/>
          <w:sz w:val="21"/>
        </w:rPr>
        <w:t xml:space="preserve">19.2.3 </w:t>
      </w:r>
      <w:r>
        <w:rPr>
          <w:spacing w:val="-4"/>
          <w:sz w:val="21"/>
        </w:rPr>
        <w:t>监理人和承包人应共同查清缺陷和</w:t>
      </w:r>
      <w:r>
        <w:rPr>
          <w:spacing w:val="-3"/>
          <w:sz w:val="21"/>
        </w:rPr>
        <w:t>（或</w:t>
      </w:r>
      <w:r>
        <w:rPr>
          <w:spacing w:val="-5"/>
          <w:sz w:val="21"/>
        </w:rPr>
        <w:t>）损坏的原因。经查明属承包人原因造成的，应由承包</w:t>
      </w:r>
      <w:r>
        <w:rPr>
          <w:spacing w:val="-7"/>
          <w:sz w:val="21"/>
        </w:rPr>
        <w:t>人承担修复和查验的费用。经查验属发包人原因造成的，</w:t>
      </w:r>
      <w:r>
        <w:rPr>
          <w:spacing w:val="-7"/>
          <w:sz w:val="21"/>
          <w:highlight w:val="yellow"/>
        </w:rPr>
        <w:t>发包人应承担修复和查验的费用</w:t>
      </w:r>
      <w:r>
        <w:rPr>
          <w:spacing w:val="-4"/>
          <w:sz w:val="21"/>
          <w:highlight w:val="yellow"/>
        </w:rPr>
        <w:t>。</w:t>
      </w:r>
    </w:p>
    <w:p>
      <w:pPr>
        <w:tabs>
          <w:tab w:val="left" w:pos="1265"/>
        </w:tabs>
        <w:spacing w:line="417" w:lineRule="auto"/>
        <w:ind w:right="546" w:firstLine="490" w:firstLineChars="245"/>
        <w:jc w:val="both"/>
        <w:rPr>
          <w:rFonts w:ascii="Times New Roman" w:eastAsia="Times New Roman"/>
          <w:sz w:val="21"/>
        </w:rPr>
      </w:pPr>
      <w:r>
        <w:rPr>
          <w:rFonts w:hint="eastAsia"/>
          <w:spacing w:val="-5"/>
          <w:sz w:val="21"/>
        </w:rPr>
        <w:t xml:space="preserve">19.2.4 </w:t>
      </w:r>
      <w:r>
        <w:rPr>
          <w:spacing w:val="-5"/>
          <w:sz w:val="21"/>
        </w:rPr>
        <w:t>承包人不能在合理时间内修复缺陷的，发包人可自行修复或委托其他人修复，所需费用和利润</w:t>
      </w:r>
      <w:r>
        <w:rPr>
          <w:spacing w:val="-11"/>
          <w:sz w:val="21"/>
        </w:rPr>
        <w:t xml:space="preserve">的承担，按第 </w:t>
      </w:r>
      <w:r>
        <w:rPr>
          <w:rFonts w:ascii="Times New Roman" w:eastAsia="Times New Roman"/>
          <w:sz w:val="21"/>
        </w:rPr>
        <w:t>19.2.3</w:t>
      </w:r>
      <w:r>
        <w:rPr>
          <w:rFonts w:ascii="Times New Roman" w:eastAsia="Times New Roman"/>
          <w:spacing w:val="50"/>
          <w:sz w:val="21"/>
        </w:rPr>
        <w:t xml:space="preserve"> </w:t>
      </w:r>
      <w:r>
        <w:rPr>
          <w:spacing w:val="-3"/>
          <w:sz w:val="21"/>
        </w:rPr>
        <w:t>项约定执行。</w:t>
      </w:r>
    </w:p>
    <w:p>
      <w:pPr>
        <w:pStyle w:val="10"/>
        <w:spacing w:before="12"/>
        <w:rPr>
          <w:sz w:val="22"/>
        </w:rPr>
      </w:pPr>
    </w:p>
    <w:p>
      <w:pPr>
        <w:ind w:firstLine="432" w:firstLineChars="200"/>
        <w:rPr>
          <w:rFonts w:ascii="Times New Roman" w:eastAsia="Times New Roman"/>
        </w:rPr>
      </w:pPr>
      <w:bookmarkStart w:id="281" w:name="_bookmark212"/>
      <w:bookmarkEnd w:id="281"/>
      <w:r>
        <w:rPr>
          <w:rFonts w:hint="eastAsia"/>
          <w:spacing w:val="-2"/>
        </w:rPr>
        <w:t xml:space="preserve">19.3 </w:t>
      </w:r>
      <w:r>
        <w:rPr>
          <w:spacing w:val="-2"/>
        </w:rPr>
        <w:t>缺陷责任期的延长</w:t>
      </w:r>
    </w:p>
    <w:p>
      <w:pPr>
        <w:pStyle w:val="10"/>
        <w:spacing w:before="5"/>
        <w:rPr>
          <w:rFonts w:ascii="黑体"/>
          <w:sz w:val="38"/>
        </w:rPr>
      </w:pPr>
    </w:p>
    <w:p>
      <w:pPr>
        <w:pStyle w:val="10"/>
        <w:spacing w:line="417" w:lineRule="auto"/>
        <w:ind w:left="212" w:right="523" w:firstLine="420"/>
      </w:pPr>
      <w:r>
        <w:t>由于承包人原因造成某项缺陷或损坏使某项工程或工程设备不能按原定目标使用而需要再次检查、检验和修复的，发包人有权要求承包人相应延长缺陷责任期，但缺陷责任期最长不超过 2 年。</w:t>
      </w:r>
    </w:p>
    <w:p>
      <w:pPr>
        <w:pStyle w:val="10"/>
        <w:spacing w:before="12"/>
        <w:rPr>
          <w:sz w:val="22"/>
        </w:rPr>
      </w:pPr>
    </w:p>
    <w:p>
      <w:pPr>
        <w:ind w:firstLine="432" w:firstLineChars="200"/>
        <w:rPr>
          <w:rFonts w:ascii="Times New Roman" w:eastAsia="Times New Roman"/>
        </w:rPr>
      </w:pPr>
      <w:bookmarkStart w:id="282" w:name="_bookmark213"/>
      <w:bookmarkEnd w:id="282"/>
      <w:r>
        <w:rPr>
          <w:rFonts w:hint="eastAsia"/>
          <w:spacing w:val="-2"/>
        </w:rPr>
        <w:t xml:space="preserve">19.4 </w:t>
      </w:r>
      <w:r>
        <w:rPr>
          <w:spacing w:val="-2"/>
        </w:rPr>
        <w:t>进一步试验和试运行</w:t>
      </w:r>
    </w:p>
    <w:p>
      <w:pPr>
        <w:pStyle w:val="10"/>
        <w:spacing w:before="3"/>
        <w:rPr>
          <w:rFonts w:ascii="黑体"/>
          <w:sz w:val="38"/>
        </w:rPr>
      </w:pPr>
    </w:p>
    <w:p>
      <w:pPr>
        <w:pStyle w:val="10"/>
        <w:spacing w:line="417" w:lineRule="auto"/>
        <w:ind w:left="212" w:right="546" w:firstLine="420"/>
      </w:pPr>
      <w:r>
        <w:rPr>
          <w:spacing w:val="-5"/>
        </w:rPr>
        <w:t>任何一项缺陷或损坏修复后，经检查证明其影响了工程或工程设备的使用性能，承包人应重新进行合</w:t>
      </w:r>
      <w:r>
        <w:rPr>
          <w:spacing w:val="-4"/>
        </w:rPr>
        <w:t>同约定的试验和试运行，试验和试运行的全部费用应由责任方承担。</w:t>
      </w:r>
    </w:p>
    <w:p>
      <w:pPr>
        <w:pStyle w:val="10"/>
        <w:spacing w:before="12"/>
        <w:rPr>
          <w:sz w:val="22"/>
        </w:rPr>
      </w:pPr>
    </w:p>
    <w:p>
      <w:pPr>
        <w:ind w:firstLine="432" w:firstLineChars="200"/>
        <w:rPr>
          <w:rFonts w:ascii="Times New Roman" w:eastAsia="Times New Roman"/>
        </w:rPr>
      </w:pPr>
      <w:bookmarkStart w:id="283" w:name="_bookmark214"/>
      <w:bookmarkEnd w:id="283"/>
      <w:r>
        <w:rPr>
          <w:rFonts w:hint="eastAsia"/>
          <w:spacing w:val="-2"/>
        </w:rPr>
        <w:t xml:space="preserve">19.5 </w:t>
      </w:r>
      <w:r>
        <w:rPr>
          <w:spacing w:val="-2"/>
        </w:rPr>
        <w:t>承包人的进入权</w:t>
      </w:r>
    </w:p>
    <w:p>
      <w:pPr>
        <w:pStyle w:val="10"/>
        <w:spacing w:before="4"/>
        <w:rPr>
          <w:rFonts w:ascii="黑体"/>
          <w:sz w:val="38"/>
        </w:rPr>
      </w:pPr>
    </w:p>
    <w:p>
      <w:pPr>
        <w:pStyle w:val="10"/>
        <w:spacing w:before="1"/>
        <w:ind w:left="633"/>
      </w:pPr>
      <w:r>
        <w:t>缺陷责任期内承包人为缺陷修复工作需要，有权进入工程现场，但应遵守发包人的保安和保密规定。</w:t>
      </w:r>
    </w:p>
    <w:p>
      <w:pPr>
        <w:pStyle w:val="10"/>
        <w:rPr>
          <w:sz w:val="20"/>
        </w:rPr>
      </w:pPr>
    </w:p>
    <w:p>
      <w:pPr>
        <w:pStyle w:val="10"/>
        <w:spacing w:before="6"/>
        <w:rPr>
          <w:sz w:val="18"/>
        </w:rPr>
      </w:pPr>
    </w:p>
    <w:p>
      <w:pPr>
        <w:ind w:firstLine="432" w:firstLineChars="200"/>
        <w:rPr>
          <w:rFonts w:ascii="Times New Roman" w:eastAsia="Times New Roman"/>
        </w:rPr>
      </w:pPr>
      <w:bookmarkStart w:id="284" w:name="_bookmark215"/>
      <w:bookmarkEnd w:id="284"/>
      <w:r>
        <w:rPr>
          <w:rFonts w:hint="eastAsia"/>
          <w:spacing w:val="-2"/>
        </w:rPr>
        <w:t xml:space="preserve">19.6 </w:t>
      </w:r>
      <w:r>
        <w:rPr>
          <w:spacing w:val="-2"/>
        </w:rPr>
        <w:t>缺陷责任期终止证书</w:t>
      </w:r>
    </w:p>
    <w:p>
      <w:pPr>
        <w:pStyle w:val="10"/>
        <w:spacing w:before="4"/>
        <w:rPr>
          <w:rFonts w:ascii="黑体"/>
          <w:sz w:val="38"/>
        </w:rPr>
      </w:pPr>
    </w:p>
    <w:p>
      <w:pPr>
        <w:pStyle w:val="10"/>
        <w:spacing w:before="1" w:line="417" w:lineRule="auto"/>
        <w:ind w:left="212" w:right="551" w:firstLine="420"/>
      </w:pPr>
      <w:r>
        <w:rPr>
          <w:spacing w:val="-16"/>
        </w:rPr>
        <w:t xml:space="preserve">在第 </w:t>
      </w:r>
      <w:r>
        <w:rPr>
          <w:rFonts w:ascii="Times New Roman" w:eastAsia="Times New Roman"/>
        </w:rPr>
        <w:t xml:space="preserve">1.1.4.5 </w:t>
      </w:r>
      <w:r>
        <w:rPr>
          <w:spacing w:val="-7"/>
        </w:rPr>
        <w:t xml:space="preserve">目约定的缺陷责任期，包括根据第 </w:t>
      </w:r>
      <w:r>
        <w:rPr>
          <w:rFonts w:ascii="Times New Roman" w:eastAsia="Times New Roman"/>
        </w:rPr>
        <w:t xml:space="preserve">19.3 </w:t>
      </w:r>
      <w:r>
        <w:rPr>
          <w:spacing w:val="-8"/>
        </w:rPr>
        <w:t xml:space="preserve">款延长的期限终止后 </w:t>
      </w:r>
      <w:r>
        <w:rPr>
          <w:rFonts w:ascii="Times New Roman" w:eastAsia="Times New Roman"/>
        </w:rPr>
        <w:t xml:space="preserve">14 </w:t>
      </w:r>
      <w:r>
        <w:rPr>
          <w:spacing w:val="-5"/>
        </w:rPr>
        <w:t>天内，由监理人向承包人</w:t>
      </w:r>
      <w:r>
        <w:rPr>
          <w:spacing w:val="-4"/>
        </w:rPr>
        <w:t>出具经发包人签认的缺陷责任期终止证书，并退还剩余的质量保证金。</w:t>
      </w:r>
    </w:p>
    <w:p>
      <w:pPr>
        <w:pStyle w:val="10"/>
        <w:spacing w:before="12"/>
        <w:rPr>
          <w:sz w:val="22"/>
        </w:rPr>
      </w:pPr>
    </w:p>
    <w:p>
      <w:pPr>
        <w:ind w:firstLine="534" w:firstLineChars="245"/>
        <w:rPr>
          <w:rFonts w:ascii="Times New Roman" w:eastAsia="Times New Roman"/>
        </w:rPr>
      </w:pPr>
      <w:bookmarkStart w:id="285" w:name="_bookmark216"/>
      <w:bookmarkEnd w:id="285"/>
      <w:r>
        <w:rPr>
          <w:rFonts w:hint="eastAsia"/>
          <w:spacing w:val="-1"/>
        </w:rPr>
        <w:t xml:space="preserve">19.7 </w:t>
      </w:r>
      <w:r>
        <w:rPr>
          <w:spacing w:val="-1"/>
        </w:rPr>
        <w:t>保修责任</w:t>
      </w:r>
    </w:p>
    <w:p>
      <w:pPr>
        <w:pStyle w:val="10"/>
        <w:spacing w:before="2"/>
        <w:rPr>
          <w:rFonts w:ascii="黑体"/>
          <w:sz w:val="38"/>
        </w:rPr>
      </w:pPr>
    </w:p>
    <w:p>
      <w:pPr>
        <w:pStyle w:val="10"/>
        <w:ind w:left="633"/>
      </w:pPr>
      <w:r>
        <w:t>合同当事人根据有关法律规定，在专用合同条款中约定工程质量保修范围、期限和责任。保修期自实</w:t>
      </w:r>
      <w:r>
        <w:rPr>
          <w:spacing w:val="-6"/>
        </w:rPr>
        <w:t>际竣工日期起计算。在全部工程竣工验收前，已经发包人提前验收的区段工程，其保修期的起算日期相应提前。</w:t>
      </w:r>
    </w:p>
    <w:p>
      <w:pPr>
        <w:pStyle w:val="10"/>
        <w:spacing w:before="11"/>
        <w:rPr>
          <w:sz w:val="20"/>
        </w:rPr>
      </w:pPr>
    </w:p>
    <w:p>
      <w:pPr>
        <w:pStyle w:val="4"/>
      </w:pPr>
      <w:bookmarkStart w:id="286" w:name="_bookmark217"/>
      <w:bookmarkEnd w:id="286"/>
      <w:bookmarkStart w:id="287" w:name="_Toc37926072"/>
      <w:r>
        <w:rPr>
          <w:rFonts w:hint="eastAsia"/>
        </w:rPr>
        <w:t xml:space="preserve">20 </w:t>
      </w:r>
      <w:r>
        <w:t>保险</w:t>
      </w:r>
      <w:bookmarkEnd w:id="287"/>
    </w:p>
    <w:p>
      <w:pPr>
        <w:pStyle w:val="10"/>
        <w:spacing w:before="1"/>
        <w:rPr>
          <w:rFonts w:ascii="黑体"/>
          <w:b/>
          <w:sz w:val="39"/>
        </w:rPr>
      </w:pPr>
    </w:p>
    <w:p>
      <w:pPr>
        <w:pStyle w:val="35"/>
        <w:numPr>
          <w:ilvl w:val="1"/>
          <w:numId w:val="58"/>
        </w:numPr>
        <w:rPr>
          <w:rFonts w:ascii="Times New Roman" w:eastAsia="Times New Roman"/>
        </w:rPr>
      </w:pPr>
      <w:bookmarkStart w:id="288" w:name="_bookmark218"/>
      <w:bookmarkEnd w:id="288"/>
      <w:r>
        <w:rPr>
          <w:spacing w:val="-2"/>
        </w:rPr>
        <w:t>设计和工程保险</w:t>
      </w:r>
    </w:p>
    <w:p>
      <w:pPr>
        <w:pStyle w:val="10"/>
        <w:spacing w:before="5"/>
        <w:rPr>
          <w:rFonts w:ascii="黑体"/>
          <w:sz w:val="38"/>
        </w:rPr>
      </w:pPr>
    </w:p>
    <w:p>
      <w:pPr>
        <w:tabs>
          <w:tab w:val="left" w:pos="1265"/>
        </w:tabs>
        <w:spacing w:line="417" w:lineRule="auto"/>
        <w:ind w:right="546" w:firstLine="404" w:firstLineChars="200"/>
        <w:jc w:val="both"/>
        <w:rPr>
          <w:rFonts w:ascii="Times New Roman" w:eastAsia="Times New Roman"/>
          <w:sz w:val="21"/>
        </w:rPr>
      </w:pPr>
      <w:r>
        <w:rPr>
          <w:rFonts w:hint="eastAsia"/>
          <w:spacing w:val="-4"/>
          <w:sz w:val="21"/>
        </w:rPr>
        <w:t xml:space="preserve">20.1.1 </w:t>
      </w:r>
      <w:r>
        <w:rPr>
          <w:spacing w:val="-4"/>
          <w:sz w:val="21"/>
        </w:rPr>
        <w:t>承包人按照专用合同条款的约定向双方同意的保险人投保建设工程设计责任险、建筑工程一切</w:t>
      </w:r>
      <w:r>
        <w:rPr>
          <w:spacing w:val="-7"/>
          <w:sz w:val="21"/>
        </w:rPr>
        <w:t>险或安装工程一切险等保险。具体的投保险种、保险范围、保险金额、保险费率、保险期限等有关内容应</w:t>
      </w:r>
      <w:r>
        <w:rPr>
          <w:spacing w:val="-5"/>
          <w:sz w:val="21"/>
        </w:rPr>
        <w:t>当在专用合同条款中明确约定。</w:t>
      </w:r>
      <w:r>
        <w:rPr>
          <w:spacing w:val="-5"/>
          <w:sz w:val="21"/>
          <w:highlight w:val="yellow"/>
        </w:rPr>
        <w:t>保险费用由承包人承担</w:t>
      </w:r>
      <w:r>
        <w:rPr>
          <w:rFonts w:hint="eastAsia"/>
          <w:spacing w:val="-5"/>
          <w:sz w:val="21"/>
          <w:highlight w:val="yellow"/>
        </w:rPr>
        <w:t>。</w:t>
      </w:r>
    </w:p>
    <w:p>
      <w:pPr>
        <w:tabs>
          <w:tab w:val="left" w:pos="1265"/>
        </w:tabs>
        <w:ind w:firstLine="399" w:firstLineChars="196"/>
        <w:jc w:val="both"/>
        <w:rPr>
          <w:rFonts w:ascii="Times New Roman" w:eastAsia="Times New Roman"/>
          <w:sz w:val="21"/>
        </w:rPr>
      </w:pPr>
      <w:r>
        <w:rPr>
          <w:rFonts w:hint="eastAsia"/>
          <w:spacing w:val="-3"/>
          <w:sz w:val="21"/>
        </w:rPr>
        <w:t xml:space="preserve">20.1.2 </w:t>
      </w:r>
      <w:r>
        <w:rPr>
          <w:spacing w:val="-3"/>
          <w:sz w:val="21"/>
        </w:rPr>
        <w:t>在缺陷责任期终止证书颁发前，承包人应按照专用合同条款的约定投保第三者责任险。</w:t>
      </w:r>
    </w:p>
    <w:p>
      <w:pPr>
        <w:pStyle w:val="10"/>
        <w:rPr>
          <w:sz w:val="22"/>
        </w:rPr>
      </w:pPr>
    </w:p>
    <w:p>
      <w:pPr>
        <w:pStyle w:val="10"/>
        <w:spacing w:before="7"/>
        <w:rPr>
          <w:sz w:val="16"/>
        </w:rPr>
      </w:pPr>
    </w:p>
    <w:p>
      <w:pPr>
        <w:ind w:firstLine="427" w:firstLineChars="196"/>
        <w:rPr>
          <w:rFonts w:ascii="Times New Roman" w:eastAsia="Times New Roman"/>
        </w:rPr>
      </w:pPr>
      <w:bookmarkStart w:id="289" w:name="_bookmark219"/>
      <w:bookmarkEnd w:id="289"/>
      <w:r>
        <w:rPr>
          <w:rFonts w:hint="eastAsia"/>
          <w:spacing w:val="-1"/>
        </w:rPr>
        <w:t xml:space="preserve">20.2 </w:t>
      </w:r>
      <w:r>
        <w:rPr>
          <w:spacing w:val="-1"/>
        </w:rPr>
        <w:t>工伤保险</w:t>
      </w:r>
    </w:p>
    <w:p>
      <w:pPr>
        <w:pStyle w:val="10"/>
        <w:spacing w:before="2"/>
        <w:rPr>
          <w:rFonts w:ascii="黑体"/>
          <w:sz w:val="38"/>
        </w:rPr>
      </w:pPr>
    </w:p>
    <w:p>
      <w:pPr>
        <w:tabs>
          <w:tab w:val="left" w:pos="1265"/>
        </w:tabs>
        <w:ind w:firstLine="399" w:firstLineChars="196"/>
        <w:rPr>
          <w:rFonts w:ascii="Times New Roman" w:eastAsia="Times New Roman"/>
          <w:sz w:val="21"/>
        </w:rPr>
      </w:pPr>
      <w:r>
        <w:rPr>
          <w:rFonts w:hint="eastAsia"/>
          <w:spacing w:val="-3"/>
          <w:sz w:val="21"/>
        </w:rPr>
        <w:t xml:space="preserve">20.2.1 </w:t>
      </w:r>
      <w:r>
        <w:rPr>
          <w:spacing w:val="-3"/>
          <w:sz w:val="21"/>
        </w:rPr>
        <w:t>承包人员工伤保险</w:t>
      </w:r>
    </w:p>
    <w:p>
      <w:pPr>
        <w:pStyle w:val="10"/>
        <w:spacing w:before="6"/>
        <w:rPr>
          <w:sz w:val="15"/>
        </w:rPr>
      </w:pPr>
    </w:p>
    <w:p>
      <w:pPr>
        <w:pStyle w:val="10"/>
        <w:spacing w:line="417" w:lineRule="auto"/>
        <w:ind w:left="212" w:right="546" w:firstLine="420"/>
      </w:pPr>
      <w:r>
        <w:rPr>
          <w:spacing w:val="-6"/>
        </w:rPr>
        <w:t>承包人应依照有关法律规定，为其履行合同所雇佣的全部人员投保工伤保险，缴纳工伤保险费，并要</w:t>
      </w:r>
      <w:r>
        <w:rPr>
          <w:spacing w:val="-4"/>
        </w:rPr>
        <w:t>求其分包人也投保此项保险。</w:t>
      </w:r>
    </w:p>
    <w:p>
      <w:pPr>
        <w:tabs>
          <w:tab w:val="left" w:pos="1265"/>
        </w:tabs>
        <w:spacing w:line="269" w:lineRule="exact"/>
        <w:ind w:firstLine="499" w:firstLineChars="245"/>
        <w:rPr>
          <w:rFonts w:ascii="Times New Roman" w:eastAsia="Times New Roman"/>
          <w:sz w:val="21"/>
        </w:rPr>
      </w:pPr>
      <w:r>
        <w:rPr>
          <w:rFonts w:hint="eastAsia"/>
          <w:spacing w:val="-3"/>
          <w:sz w:val="21"/>
        </w:rPr>
        <w:t xml:space="preserve">20.2.2 </w:t>
      </w:r>
      <w:r>
        <w:rPr>
          <w:spacing w:val="-3"/>
          <w:sz w:val="21"/>
        </w:rPr>
        <w:t>发包人员工伤保险</w:t>
      </w:r>
    </w:p>
    <w:p>
      <w:pPr>
        <w:pStyle w:val="10"/>
        <w:spacing w:before="7"/>
        <w:rPr>
          <w:sz w:val="15"/>
        </w:rPr>
      </w:pPr>
    </w:p>
    <w:p>
      <w:pPr>
        <w:pStyle w:val="10"/>
        <w:spacing w:before="1" w:line="417" w:lineRule="auto"/>
        <w:ind w:left="212" w:right="546" w:firstLine="420"/>
      </w:pPr>
      <w:r>
        <w:rPr>
          <w:spacing w:val="-6"/>
        </w:rPr>
        <w:t>发包人应依照有关法律规定，为其现场机构雇佣的全部人员投保工伤保险，缴纳工伤保险费，并要求</w:t>
      </w:r>
      <w:r>
        <w:rPr>
          <w:spacing w:val="-4"/>
        </w:rPr>
        <w:t>其监理人也进行此项保险。</w:t>
      </w:r>
    </w:p>
    <w:p>
      <w:pPr>
        <w:pStyle w:val="10"/>
        <w:spacing w:before="12"/>
        <w:rPr>
          <w:sz w:val="22"/>
        </w:rPr>
      </w:pPr>
    </w:p>
    <w:p>
      <w:pPr>
        <w:ind w:firstLine="432" w:firstLineChars="200"/>
        <w:rPr>
          <w:rFonts w:ascii="Times New Roman" w:eastAsia="Times New Roman"/>
        </w:rPr>
      </w:pPr>
      <w:bookmarkStart w:id="290" w:name="_bookmark220"/>
      <w:bookmarkEnd w:id="290"/>
      <w:r>
        <w:rPr>
          <w:rFonts w:hint="eastAsia"/>
          <w:spacing w:val="-2"/>
        </w:rPr>
        <w:t xml:space="preserve">20.3 </w:t>
      </w:r>
      <w:r>
        <w:rPr>
          <w:spacing w:val="-2"/>
        </w:rPr>
        <w:t>人身意外伤害险</w:t>
      </w:r>
    </w:p>
    <w:p>
      <w:pPr>
        <w:pStyle w:val="10"/>
        <w:spacing w:before="4"/>
        <w:rPr>
          <w:rFonts w:ascii="黑体"/>
          <w:sz w:val="38"/>
        </w:rPr>
      </w:pPr>
    </w:p>
    <w:p>
      <w:pPr>
        <w:tabs>
          <w:tab w:val="left" w:pos="1265"/>
        </w:tabs>
        <w:spacing w:before="1" w:line="417" w:lineRule="auto"/>
        <w:ind w:right="524" w:firstLine="399" w:firstLineChars="196"/>
        <w:jc w:val="both"/>
        <w:rPr>
          <w:rFonts w:ascii="Times New Roman" w:eastAsia="Times New Roman"/>
          <w:sz w:val="21"/>
        </w:rPr>
      </w:pPr>
      <w:r>
        <w:rPr>
          <w:rFonts w:hint="eastAsia"/>
          <w:spacing w:val="-3"/>
          <w:sz w:val="21"/>
        </w:rPr>
        <w:t xml:space="preserve">20.3.1 </w:t>
      </w:r>
      <w:r>
        <w:rPr>
          <w:spacing w:val="-3"/>
          <w:sz w:val="21"/>
        </w:rPr>
        <w:t>发包人应在整个施工期间为其现场机构雇用的全部人员，投保人身意外伤害险，缴纳保险费， 并要求其监理人也进行此项保险。</w:t>
      </w:r>
    </w:p>
    <w:p>
      <w:pPr>
        <w:tabs>
          <w:tab w:val="left" w:pos="1265"/>
        </w:tabs>
        <w:spacing w:line="417" w:lineRule="auto"/>
        <w:ind w:right="524" w:firstLine="399" w:firstLineChars="196"/>
        <w:jc w:val="both"/>
        <w:rPr>
          <w:rFonts w:ascii="Times New Roman" w:eastAsia="Times New Roman"/>
          <w:sz w:val="21"/>
        </w:rPr>
      </w:pPr>
      <w:r>
        <w:rPr>
          <w:rFonts w:hint="eastAsia"/>
          <w:spacing w:val="-3"/>
          <w:sz w:val="21"/>
        </w:rPr>
        <w:t xml:space="preserve">20.3.2 </w:t>
      </w:r>
      <w:r>
        <w:rPr>
          <w:spacing w:val="-3"/>
          <w:sz w:val="21"/>
        </w:rPr>
        <w:t>承包人应在整个施工期间为其现场机构雇用的全部人员，投保人身意外伤害险，缴纳保险费， 并要求其分包人也进行此项保险。</w:t>
      </w:r>
    </w:p>
    <w:p>
      <w:pPr>
        <w:pStyle w:val="10"/>
        <w:spacing w:before="12"/>
        <w:rPr>
          <w:sz w:val="22"/>
        </w:rPr>
      </w:pPr>
    </w:p>
    <w:p>
      <w:pPr>
        <w:ind w:firstLine="427" w:firstLineChars="196"/>
        <w:rPr>
          <w:rFonts w:ascii="Times New Roman" w:eastAsia="Times New Roman"/>
        </w:rPr>
      </w:pPr>
      <w:bookmarkStart w:id="291" w:name="_bookmark221"/>
      <w:bookmarkEnd w:id="291"/>
      <w:r>
        <w:rPr>
          <w:rFonts w:hint="eastAsia"/>
          <w:spacing w:val="-1"/>
        </w:rPr>
        <w:t xml:space="preserve">20.4 </w:t>
      </w:r>
      <w:r>
        <w:rPr>
          <w:spacing w:val="-1"/>
        </w:rPr>
        <w:t>其他保险</w:t>
      </w:r>
    </w:p>
    <w:p>
      <w:pPr>
        <w:pStyle w:val="10"/>
        <w:spacing w:before="5"/>
        <w:rPr>
          <w:rFonts w:ascii="黑体"/>
          <w:sz w:val="38"/>
        </w:rPr>
      </w:pPr>
    </w:p>
    <w:p>
      <w:pPr>
        <w:pStyle w:val="10"/>
        <w:ind w:left="633"/>
      </w:pPr>
      <w:r>
        <w:t>除专用合同条款另有约定外，承包人应为其施工设备、进场的材料和工程设备等办理保险。</w:t>
      </w:r>
      <w:bookmarkStart w:id="292" w:name="_bookmark222"/>
      <w:bookmarkEnd w:id="292"/>
    </w:p>
    <w:p>
      <w:pPr>
        <w:pStyle w:val="10"/>
        <w:ind w:left="633"/>
      </w:pPr>
    </w:p>
    <w:p>
      <w:pPr>
        <w:pStyle w:val="10"/>
        <w:ind w:left="633"/>
        <w:rPr>
          <w:rFonts w:ascii="Times New Roman" w:eastAsia="Times New Roman"/>
        </w:rPr>
      </w:pPr>
      <w:r>
        <w:rPr>
          <w:rFonts w:hint="eastAsia"/>
          <w:spacing w:val="-2"/>
        </w:rPr>
        <w:t xml:space="preserve">20.5 </w:t>
      </w:r>
      <w:r>
        <w:rPr>
          <w:spacing w:val="-2"/>
        </w:rPr>
        <w:t>对各项保险的一般要求</w:t>
      </w:r>
    </w:p>
    <w:p>
      <w:pPr>
        <w:pStyle w:val="10"/>
        <w:spacing w:before="4"/>
        <w:rPr>
          <w:rFonts w:ascii="黑体"/>
          <w:sz w:val="38"/>
        </w:rPr>
      </w:pPr>
    </w:p>
    <w:p>
      <w:pPr>
        <w:tabs>
          <w:tab w:val="left" w:pos="1265"/>
        </w:tabs>
        <w:ind w:firstLine="515" w:firstLineChars="250"/>
        <w:rPr>
          <w:rFonts w:ascii="Times New Roman" w:eastAsia="Times New Roman"/>
          <w:sz w:val="21"/>
        </w:rPr>
      </w:pPr>
      <w:r>
        <w:rPr>
          <w:rFonts w:hint="eastAsia"/>
          <w:spacing w:val="-2"/>
          <w:sz w:val="21"/>
        </w:rPr>
        <w:t>20.5.1</w:t>
      </w:r>
      <w:r>
        <w:rPr>
          <w:spacing w:val="-2"/>
          <w:sz w:val="21"/>
        </w:rPr>
        <w:t>保险凭证</w:t>
      </w:r>
    </w:p>
    <w:p>
      <w:pPr>
        <w:pStyle w:val="10"/>
        <w:spacing w:before="7"/>
        <w:rPr>
          <w:sz w:val="15"/>
        </w:rPr>
      </w:pPr>
    </w:p>
    <w:p>
      <w:pPr>
        <w:pStyle w:val="10"/>
        <w:spacing w:line="417" w:lineRule="auto"/>
        <w:ind w:left="212" w:right="522" w:firstLine="420"/>
      </w:pPr>
      <w:r>
        <w:t>承包人应在专用合同条款约定的期限内向发包人提交各项保险生效的证据和保险单副本，保险单必须与专用合同条款约定的条件保持一致。</w:t>
      </w:r>
    </w:p>
    <w:p>
      <w:pPr>
        <w:tabs>
          <w:tab w:val="left" w:pos="1265"/>
        </w:tabs>
        <w:spacing w:line="269" w:lineRule="exact"/>
        <w:ind w:firstLine="599" w:firstLineChars="294"/>
        <w:rPr>
          <w:rFonts w:ascii="Times New Roman" w:eastAsia="Times New Roman"/>
          <w:sz w:val="21"/>
        </w:rPr>
      </w:pPr>
      <w:r>
        <w:rPr>
          <w:rFonts w:hint="eastAsia"/>
          <w:spacing w:val="-3"/>
          <w:sz w:val="21"/>
        </w:rPr>
        <w:t xml:space="preserve">20.5.2 </w:t>
      </w:r>
      <w:r>
        <w:rPr>
          <w:spacing w:val="-3"/>
          <w:sz w:val="21"/>
        </w:rPr>
        <w:t>保险合同条款的变动</w:t>
      </w:r>
    </w:p>
    <w:p>
      <w:pPr>
        <w:pStyle w:val="10"/>
        <w:spacing w:before="7"/>
        <w:rPr>
          <w:sz w:val="15"/>
        </w:rPr>
      </w:pPr>
    </w:p>
    <w:p>
      <w:pPr>
        <w:pStyle w:val="10"/>
        <w:spacing w:line="417" w:lineRule="auto"/>
        <w:ind w:left="212" w:right="548" w:firstLine="420"/>
      </w:pPr>
      <w:r>
        <w:rPr>
          <w:spacing w:val="-6"/>
        </w:rPr>
        <w:t>承包人需要变动保险合同条款时，应事先征得发包人同意，并通知监理人。保险人作出变动的，承包</w:t>
      </w:r>
      <w:r>
        <w:rPr>
          <w:spacing w:val="-4"/>
        </w:rPr>
        <w:t>人应在收到保险人通知后立即通知发包人和监理人。</w:t>
      </w:r>
    </w:p>
    <w:p>
      <w:pPr>
        <w:tabs>
          <w:tab w:val="left" w:pos="1265"/>
        </w:tabs>
        <w:spacing w:line="269" w:lineRule="exact"/>
        <w:ind w:firstLine="618" w:firstLineChars="300"/>
        <w:rPr>
          <w:rFonts w:ascii="Times New Roman" w:eastAsia="Times New Roman"/>
          <w:sz w:val="21"/>
        </w:rPr>
      </w:pPr>
      <w:r>
        <w:rPr>
          <w:rFonts w:hint="eastAsia"/>
          <w:spacing w:val="-2"/>
          <w:sz w:val="21"/>
        </w:rPr>
        <w:t xml:space="preserve">20.5.3 </w:t>
      </w:r>
      <w:r>
        <w:rPr>
          <w:spacing w:val="-2"/>
          <w:sz w:val="21"/>
        </w:rPr>
        <w:t>持续保险</w:t>
      </w:r>
    </w:p>
    <w:p>
      <w:pPr>
        <w:pStyle w:val="10"/>
        <w:spacing w:before="7"/>
        <w:rPr>
          <w:sz w:val="15"/>
        </w:rPr>
      </w:pPr>
    </w:p>
    <w:p>
      <w:pPr>
        <w:pStyle w:val="10"/>
        <w:spacing w:line="417" w:lineRule="auto"/>
        <w:ind w:left="212" w:right="546" w:firstLine="420"/>
      </w:pPr>
      <w:r>
        <w:rPr>
          <w:spacing w:val="-5"/>
        </w:rPr>
        <w:t>承包人应与保险人保持联系，使保险人能够随时了解工程实施中的变动，并确保按保险合同条款要求</w:t>
      </w:r>
      <w:r>
        <w:rPr>
          <w:spacing w:val="-4"/>
        </w:rPr>
        <w:t>持续保险。</w:t>
      </w:r>
    </w:p>
    <w:p>
      <w:pPr>
        <w:tabs>
          <w:tab w:val="left" w:pos="1265"/>
        </w:tabs>
        <w:spacing w:line="269" w:lineRule="exact"/>
        <w:ind w:firstLine="599" w:firstLineChars="294"/>
        <w:rPr>
          <w:rFonts w:ascii="Times New Roman" w:eastAsia="Times New Roman"/>
          <w:sz w:val="21"/>
        </w:rPr>
      </w:pPr>
      <w:r>
        <w:rPr>
          <w:rFonts w:hint="eastAsia"/>
          <w:spacing w:val="-3"/>
          <w:sz w:val="21"/>
        </w:rPr>
        <w:t xml:space="preserve">20.5.4 </w:t>
      </w:r>
      <w:r>
        <w:rPr>
          <w:spacing w:val="-3"/>
          <w:sz w:val="21"/>
        </w:rPr>
        <w:t>保险金不足的补偿</w:t>
      </w:r>
    </w:p>
    <w:p>
      <w:pPr>
        <w:pStyle w:val="10"/>
        <w:spacing w:before="7"/>
        <w:rPr>
          <w:sz w:val="15"/>
        </w:rPr>
      </w:pPr>
    </w:p>
    <w:p>
      <w:pPr>
        <w:pStyle w:val="10"/>
        <w:ind w:left="633"/>
      </w:pPr>
      <w:r>
        <w:t>保险金不足以补偿损失的，应由承包人和（或）发包人按合同约定负责补偿。</w:t>
      </w:r>
    </w:p>
    <w:p>
      <w:pPr>
        <w:pStyle w:val="10"/>
        <w:spacing w:before="6"/>
        <w:rPr>
          <w:sz w:val="15"/>
        </w:rPr>
      </w:pPr>
    </w:p>
    <w:p>
      <w:pPr>
        <w:tabs>
          <w:tab w:val="left" w:pos="1265"/>
        </w:tabs>
        <w:spacing w:before="1"/>
        <w:ind w:firstLine="599" w:firstLineChars="294"/>
        <w:rPr>
          <w:rFonts w:ascii="Times New Roman" w:eastAsia="Times New Roman"/>
          <w:sz w:val="21"/>
        </w:rPr>
      </w:pPr>
      <w:r>
        <w:rPr>
          <w:rFonts w:hint="eastAsia"/>
          <w:spacing w:val="-3"/>
          <w:sz w:val="21"/>
        </w:rPr>
        <w:t xml:space="preserve">20.5.5 </w:t>
      </w:r>
      <w:r>
        <w:rPr>
          <w:spacing w:val="-3"/>
          <w:sz w:val="21"/>
        </w:rPr>
        <w:t>未按约定投保的补救</w:t>
      </w:r>
    </w:p>
    <w:p>
      <w:pPr>
        <w:pStyle w:val="10"/>
        <w:spacing w:before="6"/>
        <w:rPr>
          <w:sz w:val="15"/>
        </w:rPr>
      </w:pPr>
    </w:p>
    <w:p>
      <w:pPr>
        <w:pStyle w:val="35"/>
        <w:numPr>
          <w:ilvl w:val="0"/>
          <w:numId w:val="59"/>
        </w:numPr>
        <w:tabs>
          <w:tab w:val="left" w:pos="1165"/>
        </w:tabs>
        <w:spacing w:line="417" w:lineRule="auto"/>
        <w:ind w:right="556" w:firstLine="420"/>
        <w:rPr>
          <w:sz w:val="21"/>
        </w:rPr>
      </w:pPr>
      <w:r>
        <w:rPr>
          <w:spacing w:val="-1"/>
          <w:sz w:val="21"/>
        </w:rPr>
        <w:t>由于负有投保义务的一方当事人未按合同约定办理保险，或未能使保险持续有效的，另一方当</w:t>
      </w:r>
      <w:r>
        <w:rPr>
          <w:spacing w:val="-3"/>
          <w:sz w:val="21"/>
        </w:rPr>
        <w:t>事人可代为办理，所需费用由对方当事人承担。</w:t>
      </w:r>
    </w:p>
    <w:p>
      <w:pPr>
        <w:pStyle w:val="35"/>
        <w:numPr>
          <w:ilvl w:val="0"/>
          <w:numId w:val="59"/>
        </w:numPr>
        <w:tabs>
          <w:tab w:val="left" w:pos="1165"/>
        </w:tabs>
        <w:spacing w:line="417" w:lineRule="auto"/>
        <w:ind w:right="556" w:firstLine="420"/>
        <w:rPr>
          <w:sz w:val="21"/>
        </w:rPr>
      </w:pPr>
      <w:r>
        <w:rPr>
          <w:spacing w:val="-1"/>
          <w:sz w:val="21"/>
        </w:rPr>
        <w:t>由于负有投保义务的一方当事人未按合同约定办理某项保险，导致受益人未能得到保险人的赔</w:t>
      </w:r>
      <w:r>
        <w:rPr>
          <w:spacing w:val="-3"/>
          <w:sz w:val="21"/>
        </w:rPr>
        <w:t>偿，原应从该项保险得到的保险金应由负有投保义务的一方当事人支付。</w:t>
      </w:r>
    </w:p>
    <w:p>
      <w:pPr>
        <w:tabs>
          <w:tab w:val="left" w:pos="1265"/>
        </w:tabs>
        <w:ind w:firstLine="618" w:firstLineChars="300"/>
        <w:rPr>
          <w:rFonts w:ascii="Times New Roman" w:eastAsia="Times New Roman"/>
          <w:sz w:val="21"/>
        </w:rPr>
      </w:pPr>
      <w:r>
        <w:rPr>
          <w:rFonts w:hint="eastAsia"/>
          <w:spacing w:val="-2"/>
          <w:sz w:val="21"/>
        </w:rPr>
        <w:t xml:space="preserve">20.5.6 </w:t>
      </w:r>
      <w:r>
        <w:rPr>
          <w:spacing w:val="-2"/>
          <w:sz w:val="21"/>
        </w:rPr>
        <w:t>报告义务</w:t>
      </w:r>
    </w:p>
    <w:p>
      <w:pPr>
        <w:pStyle w:val="10"/>
        <w:spacing w:before="7"/>
        <w:rPr>
          <w:sz w:val="15"/>
        </w:rPr>
      </w:pPr>
    </w:p>
    <w:p>
      <w:pPr>
        <w:pStyle w:val="10"/>
        <w:ind w:left="633"/>
      </w:pPr>
      <w:r>
        <w:t>当保险事故发生时，投保人应按照保险单规定的条件和期限及时向保险人报告。</w:t>
      </w:r>
    </w:p>
    <w:p>
      <w:pPr>
        <w:pStyle w:val="10"/>
        <w:rPr>
          <w:sz w:val="20"/>
        </w:rPr>
      </w:pPr>
    </w:p>
    <w:p>
      <w:pPr>
        <w:pStyle w:val="10"/>
        <w:spacing w:before="4"/>
        <w:rPr>
          <w:sz w:val="16"/>
        </w:rPr>
      </w:pPr>
    </w:p>
    <w:p>
      <w:pPr>
        <w:pStyle w:val="4"/>
      </w:pPr>
      <w:bookmarkStart w:id="293" w:name="_bookmark223"/>
      <w:bookmarkEnd w:id="293"/>
      <w:bookmarkStart w:id="294" w:name="_Toc37926073"/>
      <w:r>
        <w:rPr>
          <w:rFonts w:hint="eastAsia"/>
        </w:rPr>
        <w:t xml:space="preserve">21 </w:t>
      </w:r>
      <w:r>
        <w:t>不可抗力</w:t>
      </w:r>
      <w:bookmarkEnd w:id="294"/>
    </w:p>
    <w:p>
      <w:pPr>
        <w:pStyle w:val="10"/>
        <w:spacing w:before="4"/>
        <w:rPr>
          <w:rFonts w:ascii="黑体"/>
          <w:b/>
          <w:sz w:val="39"/>
        </w:rPr>
      </w:pPr>
    </w:p>
    <w:p>
      <w:pPr>
        <w:pStyle w:val="35"/>
        <w:numPr>
          <w:ilvl w:val="1"/>
          <w:numId w:val="60"/>
        </w:numPr>
        <w:rPr>
          <w:rFonts w:ascii="Times New Roman" w:eastAsia="Times New Roman"/>
        </w:rPr>
      </w:pPr>
      <w:bookmarkStart w:id="295" w:name="_bookmark224"/>
      <w:bookmarkEnd w:id="295"/>
      <w:r>
        <w:rPr>
          <w:spacing w:val="-2"/>
        </w:rPr>
        <w:t>不可抗力的确认</w:t>
      </w:r>
    </w:p>
    <w:p>
      <w:pPr>
        <w:pStyle w:val="10"/>
        <w:spacing w:before="2"/>
        <w:rPr>
          <w:rFonts w:ascii="黑体"/>
          <w:sz w:val="38"/>
        </w:rPr>
      </w:pPr>
    </w:p>
    <w:p>
      <w:pPr>
        <w:tabs>
          <w:tab w:val="left" w:pos="1265"/>
        </w:tabs>
        <w:spacing w:line="417" w:lineRule="auto"/>
        <w:ind w:right="546" w:firstLine="404" w:firstLineChars="200"/>
        <w:jc w:val="both"/>
        <w:rPr>
          <w:rFonts w:ascii="Times New Roman" w:eastAsia="Times New Roman"/>
          <w:sz w:val="21"/>
        </w:rPr>
      </w:pPr>
      <w:r>
        <w:rPr>
          <w:rFonts w:hint="eastAsia"/>
          <w:spacing w:val="-4"/>
          <w:sz w:val="21"/>
        </w:rPr>
        <w:t xml:space="preserve">21.1.1 </w:t>
      </w:r>
      <w:r>
        <w:rPr>
          <w:spacing w:val="-4"/>
          <w:sz w:val="21"/>
        </w:rPr>
        <w:t>不可抗力是指承包人和发包人在订立合同时不可预见，在履行合同过程中不可避免发生并不能</w:t>
      </w:r>
      <w:r>
        <w:rPr>
          <w:spacing w:val="-5"/>
          <w:sz w:val="21"/>
        </w:rPr>
        <w:t>克服的自然灾害和社会性突发事件，如地震、海啸、瘟疫、水灾、骚乱、暴动、战争和专用合同条款约定</w:t>
      </w:r>
      <w:r>
        <w:rPr>
          <w:spacing w:val="-4"/>
          <w:sz w:val="21"/>
        </w:rPr>
        <w:t>的其他情形。</w:t>
      </w:r>
    </w:p>
    <w:p>
      <w:pPr>
        <w:tabs>
          <w:tab w:val="left" w:pos="1265"/>
        </w:tabs>
        <w:spacing w:line="417" w:lineRule="auto"/>
        <w:ind w:right="546" w:firstLine="396" w:firstLineChars="200"/>
        <w:jc w:val="both"/>
      </w:pPr>
      <w:r>
        <w:rPr>
          <w:rFonts w:hint="eastAsia"/>
          <w:spacing w:val="-6"/>
          <w:sz w:val="21"/>
        </w:rPr>
        <w:t xml:space="preserve">21.1.2 </w:t>
      </w:r>
      <w:r>
        <w:rPr>
          <w:spacing w:val="-6"/>
          <w:sz w:val="21"/>
        </w:rPr>
        <w:t>不可抗力发生后，发包人和承包人应及时认真统计所造成的损失，收集不可抗力造成损失的证</w:t>
      </w:r>
      <w:r>
        <w:rPr>
          <w:spacing w:val="-7"/>
          <w:sz w:val="21"/>
        </w:rPr>
        <w:t xml:space="preserve">据。合同双方对是否属于不可抗力或其损失的意见不一致的，由监理人按第 </w:t>
      </w:r>
      <w:r>
        <w:rPr>
          <w:rFonts w:ascii="Times New Roman" w:eastAsia="Times New Roman"/>
          <w:sz w:val="21"/>
        </w:rPr>
        <w:t>3.5</w:t>
      </w:r>
      <w:r>
        <w:rPr>
          <w:rFonts w:ascii="Times New Roman" w:eastAsia="Times New Roman"/>
          <w:spacing w:val="32"/>
          <w:sz w:val="21"/>
        </w:rPr>
        <w:t xml:space="preserve"> </w:t>
      </w:r>
      <w:r>
        <w:rPr>
          <w:spacing w:val="-4"/>
          <w:sz w:val="21"/>
        </w:rPr>
        <w:t>款商定或确定。发生争议</w:t>
      </w:r>
      <w:r>
        <w:t>时，按第 24 条的约定执行。</w:t>
      </w:r>
    </w:p>
    <w:p>
      <w:pPr>
        <w:ind w:firstLine="432" w:firstLineChars="200"/>
        <w:rPr>
          <w:rFonts w:ascii="Times New Roman" w:eastAsia="Times New Roman"/>
        </w:rPr>
      </w:pPr>
      <w:bookmarkStart w:id="296" w:name="_bookmark225"/>
      <w:bookmarkEnd w:id="296"/>
      <w:r>
        <w:rPr>
          <w:rFonts w:hint="eastAsia"/>
          <w:spacing w:val="-2"/>
        </w:rPr>
        <w:t xml:space="preserve">21.2 </w:t>
      </w:r>
      <w:r>
        <w:rPr>
          <w:spacing w:val="-2"/>
        </w:rPr>
        <w:t>不可抗力的通知</w:t>
      </w:r>
    </w:p>
    <w:p>
      <w:pPr>
        <w:pStyle w:val="10"/>
        <w:spacing w:before="1"/>
        <w:rPr>
          <w:rFonts w:ascii="黑体"/>
          <w:sz w:val="38"/>
        </w:rPr>
      </w:pPr>
    </w:p>
    <w:p>
      <w:pPr>
        <w:tabs>
          <w:tab w:val="left" w:pos="1265"/>
        </w:tabs>
        <w:spacing w:before="1" w:line="417" w:lineRule="auto"/>
        <w:ind w:right="546" w:firstLine="392" w:firstLineChars="196"/>
        <w:rPr>
          <w:rFonts w:ascii="Times New Roman" w:eastAsia="Times New Roman"/>
          <w:sz w:val="21"/>
        </w:rPr>
      </w:pPr>
      <w:r>
        <w:rPr>
          <w:rFonts w:hint="eastAsia"/>
          <w:spacing w:val="-5"/>
          <w:sz w:val="21"/>
        </w:rPr>
        <w:t xml:space="preserve">21.2.1 </w:t>
      </w:r>
      <w:r>
        <w:rPr>
          <w:spacing w:val="-5"/>
          <w:sz w:val="21"/>
        </w:rPr>
        <w:t>合同一方当事人遇到不可抗力事件，使其履行合同义务受到阻碍时，应立即通知合同另一方当</w:t>
      </w:r>
      <w:r>
        <w:rPr>
          <w:spacing w:val="-4"/>
          <w:sz w:val="21"/>
        </w:rPr>
        <w:t>事人和监理人，书面说明不可抗力和受阻碍的详细情况，并提供必要的证明。</w:t>
      </w:r>
    </w:p>
    <w:p>
      <w:pPr>
        <w:tabs>
          <w:tab w:val="left" w:pos="1265"/>
        </w:tabs>
        <w:spacing w:line="417" w:lineRule="auto"/>
        <w:ind w:right="546" w:firstLine="392" w:firstLineChars="196"/>
        <w:rPr>
          <w:rFonts w:ascii="Times New Roman" w:eastAsia="Times New Roman"/>
          <w:sz w:val="21"/>
        </w:rPr>
      </w:pPr>
      <w:r>
        <w:rPr>
          <w:rFonts w:hint="eastAsia"/>
          <w:spacing w:val="-5"/>
          <w:sz w:val="21"/>
        </w:rPr>
        <w:t xml:space="preserve">21.2.2 </w:t>
      </w:r>
      <w:r>
        <w:rPr>
          <w:spacing w:val="-5"/>
          <w:sz w:val="21"/>
        </w:rPr>
        <w:t>如不可抗力持续发生，合同一方当事人应及时向合同另一方当事人和监理人提交中间报告，说</w:t>
      </w:r>
      <w:r>
        <w:rPr>
          <w:spacing w:val="-6"/>
          <w:sz w:val="21"/>
        </w:rPr>
        <w:t xml:space="preserve">明不可抗力和履行合同受阻的情况，并于不可抗力事件结束后 </w:t>
      </w:r>
      <w:r>
        <w:rPr>
          <w:sz w:val="21"/>
        </w:rPr>
        <w:t>28</w:t>
      </w:r>
      <w:r>
        <w:rPr>
          <w:spacing w:val="-9"/>
          <w:sz w:val="21"/>
        </w:rPr>
        <w:t xml:space="preserve"> 天内提交最终报告及有关资料。</w:t>
      </w:r>
    </w:p>
    <w:p>
      <w:pPr>
        <w:pStyle w:val="10"/>
        <w:spacing w:before="12"/>
        <w:rPr>
          <w:sz w:val="22"/>
        </w:rPr>
      </w:pPr>
    </w:p>
    <w:p>
      <w:pPr>
        <w:ind w:firstLine="432" w:firstLineChars="200"/>
        <w:rPr>
          <w:rFonts w:ascii="Times New Roman" w:eastAsia="Times New Roman"/>
        </w:rPr>
      </w:pPr>
      <w:bookmarkStart w:id="297" w:name="_bookmark226"/>
      <w:bookmarkEnd w:id="297"/>
      <w:r>
        <w:rPr>
          <w:rFonts w:hint="eastAsia"/>
          <w:spacing w:val="-2"/>
        </w:rPr>
        <w:t xml:space="preserve">21.3 </w:t>
      </w:r>
      <w:r>
        <w:rPr>
          <w:spacing w:val="-2"/>
        </w:rPr>
        <w:t>不可抗力后果及其处理</w:t>
      </w:r>
    </w:p>
    <w:p>
      <w:pPr>
        <w:pStyle w:val="10"/>
        <w:spacing w:before="5"/>
        <w:rPr>
          <w:rFonts w:ascii="黑体"/>
          <w:sz w:val="38"/>
        </w:rPr>
      </w:pPr>
    </w:p>
    <w:p>
      <w:pPr>
        <w:tabs>
          <w:tab w:val="left" w:pos="1265"/>
        </w:tabs>
        <w:ind w:firstLine="399" w:firstLineChars="196"/>
        <w:rPr>
          <w:rFonts w:ascii="Times New Roman" w:eastAsia="Times New Roman"/>
          <w:sz w:val="21"/>
        </w:rPr>
      </w:pPr>
      <w:r>
        <w:rPr>
          <w:rFonts w:hint="eastAsia"/>
          <w:spacing w:val="-3"/>
          <w:sz w:val="21"/>
        </w:rPr>
        <w:t xml:space="preserve">21.3.1 </w:t>
      </w:r>
      <w:r>
        <w:rPr>
          <w:spacing w:val="-3"/>
          <w:sz w:val="21"/>
        </w:rPr>
        <w:t>不可抗力造成损害的责任</w:t>
      </w:r>
    </w:p>
    <w:p>
      <w:pPr>
        <w:pStyle w:val="10"/>
        <w:spacing w:before="6"/>
        <w:rPr>
          <w:sz w:val="15"/>
        </w:rPr>
      </w:pPr>
    </w:p>
    <w:p>
      <w:pPr>
        <w:pStyle w:val="10"/>
        <w:spacing w:before="1" w:line="417" w:lineRule="auto"/>
        <w:ind w:left="212" w:right="536" w:firstLine="420"/>
      </w:pPr>
      <w:r>
        <w:t>除专用合同条款另有约定外，不可抗力导致的人员伤亡、财产损失、费用增加和（或）工期延误等后果，由合同双方按以下原则承担：</w:t>
      </w:r>
    </w:p>
    <w:p>
      <w:pPr>
        <w:pStyle w:val="35"/>
        <w:numPr>
          <w:ilvl w:val="0"/>
          <w:numId w:val="61"/>
        </w:numPr>
        <w:tabs>
          <w:tab w:val="left" w:pos="1165"/>
        </w:tabs>
        <w:spacing w:line="417" w:lineRule="auto"/>
        <w:ind w:right="553" w:firstLine="420"/>
        <w:rPr>
          <w:sz w:val="21"/>
        </w:rPr>
      </w:pPr>
      <w:r>
        <w:rPr>
          <w:spacing w:val="-1"/>
          <w:sz w:val="21"/>
        </w:rPr>
        <w:t>永久工程，包括已运至施工场地的材料和工程设备的损害，以及因工程损害造成的第三者人员</w:t>
      </w:r>
      <w:r>
        <w:rPr>
          <w:spacing w:val="-3"/>
          <w:sz w:val="21"/>
        </w:rPr>
        <w:t>伤亡和财产损失由发包人承担；</w:t>
      </w:r>
    </w:p>
    <w:p>
      <w:pPr>
        <w:pStyle w:val="35"/>
        <w:numPr>
          <w:ilvl w:val="0"/>
          <w:numId w:val="61"/>
        </w:numPr>
        <w:tabs>
          <w:tab w:val="left" w:pos="1163"/>
        </w:tabs>
        <w:spacing w:line="269" w:lineRule="exact"/>
        <w:ind w:left="1162" w:hanging="530"/>
        <w:rPr>
          <w:sz w:val="21"/>
        </w:rPr>
      </w:pPr>
      <w:r>
        <w:rPr>
          <w:spacing w:val="-3"/>
          <w:sz w:val="21"/>
        </w:rPr>
        <w:t>承包人设备的损坏由承包人承担；</w:t>
      </w:r>
    </w:p>
    <w:p>
      <w:pPr>
        <w:pStyle w:val="10"/>
        <w:spacing w:before="6"/>
        <w:rPr>
          <w:sz w:val="15"/>
        </w:rPr>
      </w:pPr>
    </w:p>
    <w:p>
      <w:pPr>
        <w:pStyle w:val="35"/>
        <w:numPr>
          <w:ilvl w:val="0"/>
          <w:numId w:val="61"/>
        </w:numPr>
        <w:tabs>
          <w:tab w:val="left" w:pos="1163"/>
        </w:tabs>
        <w:ind w:left="1162" w:hanging="530"/>
        <w:rPr>
          <w:sz w:val="21"/>
        </w:rPr>
      </w:pPr>
      <w:r>
        <w:rPr>
          <w:spacing w:val="-3"/>
          <w:sz w:val="21"/>
        </w:rPr>
        <w:t>发包人和承包人各自承担其人员伤亡和其他财产损失及其相关费用；</w:t>
      </w:r>
    </w:p>
    <w:p>
      <w:pPr>
        <w:pStyle w:val="10"/>
        <w:spacing w:before="7"/>
        <w:rPr>
          <w:sz w:val="15"/>
        </w:rPr>
      </w:pPr>
    </w:p>
    <w:p>
      <w:pPr>
        <w:pStyle w:val="35"/>
        <w:numPr>
          <w:ilvl w:val="0"/>
          <w:numId w:val="61"/>
        </w:numPr>
        <w:tabs>
          <w:tab w:val="left" w:pos="1165"/>
        </w:tabs>
        <w:spacing w:line="417" w:lineRule="auto"/>
        <w:ind w:right="556" w:firstLine="420"/>
        <w:rPr>
          <w:sz w:val="21"/>
        </w:rPr>
      </w:pPr>
      <w:r>
        <w:rPr>
          <w:spacing w:val="-1"/>
          <w:sz w:val="21"/>
        </w:rPr>
        <w:t>承包人的停工损失由承包人承担，但停工期间应监理人要求照管工程和清理、修复工程的金额</w:t>
      </w:r>
      <w:r>
        <w:rPr>
          <w:spacing w:val="-2"/>
          <w:sz w:val="21"/>
        </w:rPr>
        <w:t>由发包人承担；</w:t>
      </w:r>
    </w:p>
    <w:p>
      <w:pPr>
        <w:pStyle w:val="35"/>
        <w:numPr>
          <w:ilvl w:val="0"/>
          <w:numId w:val="61"/>
        </w:numPr>
        <w:tabs>
          <w:tab w:val="left" w:pos="1165"/>
        </w:tabs>
        <w:spacing w:line="417" w:lineRule="auto"/>
        <w:ind w:right="555" w:firstLine="420"/>
        <w:rPr>
          <w:sz w:val="21"/>
        </w:rPr>
      </w:pPr>
      <w:r>
        <w:rPr>
          <w:spacing w:val="-1"/>
          <w:sz w:val="21"/>
        </w:rPr>
        <w:t>不能按期竣工的，应合理延长工期，承包人不需支付逾期竣工违约金。发包人要求赶工的，承</w:t>
      </w:r>
      <w:r>
        <w:rPr>
          <w:spacing w:val="-3"/>
          <w:sz w:val="21"/>
        </w:rPr>
        <w:t>包人应采取赶工措施，赶工费用由发包人承担。</w:t>
      </w:r>
    </w:p>
    <w:p>
      <w:pPr>
        <w:tabs>
          <w:tab w:val="left" w:pos="1265"/>
        </w:tabs>
        <w:spacing w:line="269" w:lineRule="exact"/>
        <w:ind w:firstLine="399" w:firstLineChars="196"/>
        <w:rPr>
          <w:rFonts w:ascii="Times New Roman" w:eastAsia="Times New Roman"/>
          <w:sz w:val="21"/>
        </w:rPr>
      </w:pPr>
      <w:r>
        <w:rPr>
          <w:rFonts w:hint="eastAsia"/>
          <w:spacing w:val="-3"/>
          <w:sz w:val="21"/>
        </w:rPr>
        <w:t xml:space="preserve">21.3.2 </w:t>
      </w:r>
      <w:r>
        <w:rPr>
          <w:spacing w:val="-3"/>
          <w:sz w:val="21"/>
        </w:rPr>
        <w:t>延迟履行期间发生的不可抗力</w:t>
      </w:r>
    </w:p>
    <w:p>
      <w:pPr>
        <w:pStyle w:val="10"/>
        <w:spacing w:before="6"/>
        <w:rPr>
          <w:sz w:val="15"/>
        </w:rPr>
      </w:pPr>
    </w:p>
    <w:p>
      <w:pPr>
        <w:pStyle w:val="10"/>
        <w:ind w:left="633"/>
      </w:pPr>
      <w:r>
        <w:t>合同一方当事人延迟履行，在延迟履行期间发生不可抗力的，不免除其责任。</w:t>
      </w:r>
    </w:p>
    <w:p>
      <w:pPr>
        <w:pStyle w:val="10"/>
        <w:spacing w:before="7"/>
        <w:rPr>
          <w:sz w:val="15"/>
        </w:rPr>
      </w:pPr>
    </w:p>
    <w:p>
      <w:pPr>
        <w:tabs>
          <w:tab w:val="left" w:pos="1265"/>
        </w:tabs>
        <w:ind w:firstLine="399" w:firstLineChars="196"/>
        <w:rPr>
          <w:rFonts w:ascii="Times New Roman" w:eastAsia="Times New Roman"/>
          <w:sz w:val="21"/>
        </w:rPr>
      </w:pPr>
      <w:r>
        <w:rPr>
          <w:rFonts w:hint="eastAsia"/>
          <w:spacing w:val="-3"/>
          <w:sz w:val="21"/>
        </w:rPr>
        <w:t xml:space="preserve">21.3.3 </w:t>
      </w:r>
      <w:r>
        <w:rPr>
          <w:spacing w:val="-3"/>
          <w:sz w:val="21"/>
        </w:rPr>
        <w:t>避免和减少不可抗力损失</w:t>
      </w:r>
    </w:p>
    <w:p>
      <w:pPr>
        <w:pStyle w:val="10"/>
        <w:spacing w:before="7"/>
        <w:rPr>
          <w:sz w:val="15"/>
        </w:rPr>
      </w:pPr>
    </w:p>
    <w:p>
      <w:pPr>
        <w:pStyle w:val="10"/>
        <w:spacing w:line="417" w:lineRule="auto"/>
        <w:ind w:left="212" w:right="546" w:firstLine="420"/>
      </w:pPr>
      <w:r>
        <w:rPr>
          <w:spacing w:val="-6"/>
        </w:rPr>
        <w:t>不可抗力发生后，发包人和承包人均应采取措施尽量避免和减少损失的扩大，任何一方没有采取有效</w:t>
      </w:r>
      <w:r>
        <w:rPr>
          <w:spacing w:val="-4"/>
        </w:rPr>
        <w:t>措施导致损失扩大的，应对扩大的损失承担责任。</w:t>
      </w:r>
    </w:p>
    <w:p>
      <w:pPr>
        <w:tabs>
          <w:tab w:val="left" w:pos="1265"/>
        </w:tabs>
        <w:ind w:firstLine="399" w:firstLineChars="196"/>
        <w:rPr>
          <w:rFonts w:ascii="Times New Roman" w:eastAsia="Times New Roman"/>
          <w:sz w:val="21"/>
        </w:rPr>
      </w:pPr>
      <w:r>
        <w:rPr>
          <w:rFonts w:hint="eastAsia"/>
          <w:spacing w:val="-3"/>
          <w:sz w:val="21"/>
        </w:rPr>
        <w:t xml:space="preserve">21.3.4 </w:t>
      </w:r>
      <w:r>
        <w:rPr>
          <w:spacing w:val="-3"/>
          <w:sz w:val="21"/>
        </w:rPr>
        <w:t>因不可抗力解除合同</w:t>
      </w:r>
    </w:p>
    <w:p>
      <w:pPr>
        <w:pStyle w:val="10"/>
        <w:spacing w:before="7"/>
        <w:rPr>
          <w:sz w:val="15"/>
        </w:rPr>
      </w:pPr>
    </w:p>
    <w:p>
      <w:pPr>
        <w:pStyle w:val="10"/>
        <w:spacing w:line="417" w:lineRule="auto"/>
        <w:ind w:left="212" w:right="546" w:firstLine="420"/>
        <w:jc w:val="both"/>
      </w:pPr>
      <w:r>
        <w:rPr>
          <w:spacing w:val="-6"/>
        </w:rPr>
        <w:t>合同一方当事人因不可抗力不能履行合同的，应当及时通知对方解除合同。合同解除后，承包人应按</w:t>
      </w:r>
      <w:r>
        <w:rPr>
          <w:spacing w:val="-17"/>
        </w:rPr>
        <w:t xml:space="preserve">照第 </w:t>
      </w:r>
      <w:r>
        <w:rPr>
          <w:rFonts w:ascii="Times New Roman" w:eastAsia="Times New Roman"/>
        </w:rPr>
        <w:t xml:space="preserve">22.2.4 </w:t>
      </w:r>
      <w:r>
        <w:rPr>
          <w:spacing w:val="-9"/>
        </w:rPr>
        <w:t>项约定撤离施工场地。已经订货的材料、设备由订货方负责退货或解除订货合同，不能退还的</w:t>
      </w:r>
      <w:r>
        <w:rPr>
          <w:spacing w:val="-8"/>
        </w:rPr>
        <w:t xml:space="preserve">货款和因退货、解除订货合同发生的费用，由发包人承担，因未及时退货造成的损失由责任方承担。合同解除后的付款，参照第 </w:t>
      </w:r>
      <w:r>
        <w:rPr>
          <w:rFonts w:ascii="Times New Roman" w:eastAsia="Times New Roman"/>
        </w:rPr>
        <w:t xml:space="preserve">22.2.3 </w:t>
      </w:r>
      <w:r>
        <w:rPr>
          <w:spacing w:val="-8"/>
        </w:rPr>
        <w:t xml:space="preserve">项约定，由监理人按第 </w:t>
      </w:r>
      <w:r>
        <w:rPr>
          <w:rFonts w:ascii="Times New Roman" w:eastAsia="Times New Roman"/>
        </w:rPr>
        <w:t>3.5</w:t>
      </w:r>
      <w:r>
        <w:rPr>
          <w:rFonts w:ascii="Times New Roman" w:eastAsia="Times New Roman"/>
          <w:spacing w:val="52"/>
        </w:rPr>
        <w:t xml:space="preserve"> </w:t>
      </w:r>
      <w:r>
        <w:rPr>
          <w:spacing w:val="-3"/>
        </w:rPr>
        <w:t>款商定或确定。</w:t>
      </w:r>
    </w:p>
    <w:p>
      <w:pPr>
        <w:pStyle w:val="10"/>
        <w:rPr>
          <w:sz w:val="22"/>
        </w:rPr>
      </w:pPr>
    </w:p>
    <w:p>
      <w:pPr>
        <w:pStyle w:val="4"/>
        <w:ind w:left="586" w:leftChars="224" w:hanging="93" w:hangingChars="33"/>
      </w:pPr>
      <w:bookmarkStart w:id="298" w:name="_bookmark227"/>
      <w:bookmarkEnd w:id="298"/>
      <w:bookmarkStart w:id="299" w:name="_Toc37926074"/>
      <w:r>
        <w:rPr>
          <w:rFonts w:hint="eastAsia"/>
        </w:rPr>
        <w:t xml:space="preserve">22 </w:t>
      </w:r>
      <w:r>
        <w:t>违约</w:t>
      </w:r>
      <w:bookmarkEnd w:id="299"/>
    </w:p>
    <w:p>
      <w:pPr>
        <w:pStyle w:val="10"/>
        <w:spacing w:before="1"/>
        <w:rPr>
          <w:rFonts w:ascii="黑体"/>
          <w:b/>
          <w:sz w:val="39"/>
        </w:rPr>
      </w:pPr>
    </w:p>
    <w:p>
      <w:pPr>
        <w:pStyle w:val="35"/>
        <w:numPr>
          <w:ilvl w:val="1"/>
          <w:numId w:val="62"/>
        </w:numPr>
        <w:rPr>
          <w:rFonts w:ascii="Times New Roman" w:eastAsia="Times New Roman"/>
        </w:rPr>
      </w:pPr>
      <w:bookmarkStart w:id="300" w:name="_bookmark228"/>
      <w:bookmarkEnd w:id="300"/>
      <w:r>
        <w:rPr>
          <w:spacing w:val="-1"/>
        </w:rPr>
        <w:t>承包人违约</w:t>
      </w:r>
    </w:p>
    <w:p>
      <w:pPr>
        <w:pStyle w:val="10"/>
        <w:spacing w:before="4"/>
        <w:rPr>
          <w:rFonts w:ascii="黑体"/>
          <w:sz w:val="38"/>
        </w:rPr>
      </w:pPr>
    </w:p>
    <w:p>
      <w:pPr>
        <w:tabs>
          <w:tab w:val="left" w:pos="1265"/>
        </w:tabs>
        <w:ind w:firstLine="399" w:firstLineChars="196"/>
        <w:rPr>
          <w:rFonts w:ascii="Times New Roman" w:eastAsia="Times New Roman"/>
          <w:sz w:val="21"/>
        </w:rPr>
      </w:pPr>
      <w:r>
        <w:rPr>
          <w:rFonts w:hint="eastAsia"/>
          <w:spacing w:val="-3"/>
          <w:sz w:val="21"/>
        </w:rPr>
        <w:t xml:space="preserve">22.1.1 </w:t>
      </w:r>
      <w:r>
        <w:rPr>
          <w:spacing w:val="-3"/>
          <w:sz w:val="21"/>
        </w:rPr>
        <w:t>承包人违约的情形</w:t>
      </w:r>
    </w:p>
    <w:p>
      <w:pPr>
        <w:pStyle w:val="10"/>
        <w:spacing w:before="7"/>
        <w:rPr>
          <w:sz w:val="15"/>
        </w:rPr>
      </w:pPr>
    </w:p>
    <w:p>
      <w:pPr>
        <w:pStyle w:val="10"/>
        <w:ind w:left="633"/>
      </w:pPr>
      <w:r>
        <w:t>在履行合同过程中发生的下列情况之一的，属承包人违约：</w:t>
      </w:r>
    </w:p>
    <w:p>
      <w:pPr>
        <w:pStyle w:val="10"/>
        <w:spacing w:before="7"/>
        <w:rPr>
          <w:sz w:val="15"/>
        </w:rPr>
      </w:pPr>
    </w:p>
    <w:p>
      <w:pPr>
        <w:pStyle w:val="35"/>
        <w:numPr>
          <w:ilvl w:val="0"/>
          <w:numId w:val="63"/>
        </w:numPr>
        <w:tabs>
          <w:tab w:val="left" w:pos="1163"/>
        </w:tabs>
        <w:ind w:hanging="530"/>
        <w:rPr>
          <w:sz w:val="21"/>
        </w:rPr>
      </w:pPr>
      <w:r>
        <w:rPr>
          <w:spacing w:val="-3"/>
          <w:sz w:val="21"/>
        </w:rPr>
        <w:t>承包人的设计、承包人文件、实施和竣工的工程不符合法律以及合同约定；</w:t>
      </w:r>
    </w:p>
    <w:p>
      <w:pPr>
        <w:pStyle w:val="10"/>
        <w:spacing w:before="7"/>
        <w:rPr>
          <w:sz w:val="15"/>
        </w:rPr>
      </w:pPr>
    </w:p>
    <w:p>
      <w:pPr>
        <w:pStyle w:val="35"/>
        <w:numPr>
          <w:ilvl w:val="0"/>
          <w:numId w:val="63"/>
        </w:numPr>
        <w:tabs>
          <w:tab w:val="left" w:pos="1163"/>
        </w:tabs>
        <w:spacing w:line="417" w:lineRule="auto"/>
        <w:ind w:left="212" w:right="546" w:firstLine="420"/>
        <w:rPr>
          <w:sz w:val="21"/>
        </w:rPr>
      </w:pPr>
      <w:r>
        <w:rPr>
          <w:spacing w:val="-3"/>
          <w:sz w:val="21"/>
        </w:rPr>
        <w:t xml:space="preserve">承包人违反第 </w:t>
      </w:r>
      <w:r>
        <w:rPr>
          <w:rFonts w:ascii="Times New Roman" w:eastAsia="Times New Roman"/>
          <w:sz w:val="21"/>
        </w:rPr>
        <w:t>1.8</w:t>
      </w:r>
      <w:r>
        <w:rPr>
          <w:rFonts w:ascii="Times New Roman" w:eastAsia="Times New Roman"/>
          <w:spacing w:val="9"/>
          <w:sz w:val="21"/>
        </w:rPr>
        <w:t xml:space="preserve"> </w:t>
      </w:r>
      <w:r>
        <w:rPr>
          <w:spacing w:val="-1"/>
          <w:sz w:val="21"/>
        </w:rPr>
        <w:t xml:space="preserve">款或第 </w:t>
      </w:r>
      <w:r>
        <w:rPr>
          <w:rFonts w:ascii="Times New Roman" w:eastAsia="Times New Roman"/>
          <w:sz w:val="21"/>
        </w:rPr>
        <w:t>4.3</w:t>
      </w:r>
      <w:r>
        <w:rPr>
          <w:rFonts w:ascii="Times New Roman" w:eastAsia="Times New Roman"/>
          <w:spacing w:val="9"/>
          <w:sz w:val="21"/>
        </w:rPr>
        <w:t xml:space="preserve"> </w:t>
      </w:r>
      <w:r>
        <w:rPr>
          <w:spacing w:val="-3"/>
          <w:sz w:val="21"/>
        </w:rPr>
        <w:t>款的约定，私自将合同的全部或部分权利转让给其他人，或私自将合同的全部或部分义务转移给其他人；</w:t>
      </w:r>
    </w:p>
    <w:p>
      <w:pPr>
        <w:pStyle w:val="35"/>
        <w:numPr>
          <w:ilvl w:val="0"/>
          <w:numId w:val="63"/>
        </w:numPr>
        <w:tabs>
          <w:tab w:val="left" w:pos="1163"/>
        </w:tabs>
        <w:spacing w:line="417" w:lineRule="auto"/>
        <w:ind w:left="212" w:right="546" w:firstLine="420"/>
        <w:rPr>
          <w:sz w:val="21"/>
        </w:rPr>
      </w:pPr>
      <w:r>
        <w:rPr>
          <w:spacing w:val="-3"/>
          <w:sz w:val="21"/>
        </w:rPr>
        <w:t xml:space="preserve">承包人违反第 </w:t>
      </w:r>
      <w:r>
        <w:rPr>
          <w:rFonts w:ascii="Times New Roman" w:eastAsia="Times New Roman"/>
          <w:sz w:val="21"/>
        </w:rPr>
        <w:t>6.3</w:t>
      </w:r>
      <w:r>
        <w:rPr>
          <w:rFonts w:ascii="Times New Roman" w:eastAsia="Times New Roman"/>
          <w:spacing w:val="9"/>
          <w:sz w:val="21"/>
        </w:rPr>
        <w:t xml:space="preserve"> </w:t>
      </w:r>
      <w:r>
        <w:rPr>
          <w:spacing w:val="-1"/>
          <w:sz w:val="21"/>
        </w:rPr>
        <w:t xml:space="preserve">款或第 </w:t>
      </w:r>
      <w:r>
        <w:rPr>
          <w:rFonts w:ascii="Times New Roman" w:eastAsia="Times New Roman"/>
          <w:sz w:val="21"/>
        </w:rPr>
        <w:t>7.4</w:t>
      </w:r>
      <w:r>
        <w:rPr>
          <w:rFonts w:ascii="Times New Roman" w:eastAsia="Times New Roman"/>
          <w:spacing w:val="9"/>
          <w:sz w:val="21"/>
        </w:rPr>
        <w:t xml:space="preserve"> </w:t>
      </w:r>
      <w:r>
        <w:rPr>
          <w:spacing w:val="-3"/>
          <w:sz w:val="21"/>
        </w:rPr>
        <w:t>款的约定，未经监理人批准，私自将已按合同约定进入施工场地的施工设备、临时设施或材料撤离施工场地；</w:t>
      </w:r>
    </w:p>
    <w:p>
      <w:pPr>
        <w:pStyle w:val="35"/>
        <w:numPr>
          <w:ilvl w:val="0"/>
          <w:numId w:val="63"/>
        </w:numPr>
        <w:tabs>
          <w:tab w:val="left" w:pos="1163"/>
        </w:tabs>
        <w:spacing w:line="417" w:lineRule="auto"/>
        <w:ind w:left="212" w:right="547" w:firstLine="420"/>
        <w:rPr>
          <w:sz w:val="21"/>
        </w:rPr>
      </w:pPr>
      <w:r>
        <w:rPr>
          <w:spacing w:val="2"/>
          <w:sz w:val="21"/>
        </w:rPr>
        <w:t xml:space="preserve">承包人违反第 </w:t>
      </w:r>
      <w:r>
        <w:rPr>
          <w:rFonts w:ascii="Times New Roman" w:eastAsia="Times New Roman"/>
          <w:sz w:val="21"/>
        </w:rPr>
        <w:t>6.5</w:t>
      </w:r>
      <w:r>
        <w:rPr>
          <w:rFonts w:ascii="Times New Roman" w:eastAsia="Times New Roman"/>
          <w:spacing w:val="20"/>
          <w:sz w:val="21"/>
        </w:rPr>
        <w:t xml:space="preserve"> </w:t>
      </w:r>
      <w:r>
        <w:rPr>
          <w:spacing w:val="-4"/>
          <w:sz w:val="21"/>
        </w:rPr>
        <w:t>款的约定使用了不合格材料或工程设备，工程质量达不到标准要求，又拒绝</w:t>
      </w:r>
      <w:r>
        <w:rPr>
          <w:spacing w:val="-3"/>
          <w:sz w:val="21"/>
        </w:rPr>
        <w:t>清除不合格工程；</w:t>
      </w:r>
    </w:p>
    <w:p>
      <w:pPr>
        <w:pStyle w:val="35"/>
        <w:numPr>
          <w:ilvl w:val="0"/>
          <w:numId w:val="63"/>
        </w:numPr>
        <w:tabs>
          <w:tab w:val="left" w:pos="1163"/>
        </w:tabs>
        <w:spacing w:line="269" w:lineRule="exact"/>
        <w:ind w:hanging="530"/>
        <w:rPr>
          <w:sz w:val="21"/>
        </w:rPr>
      </w:pPr>
      <w:r>
        <w:rPr>
          <w:spacing w:val="-3"/>
          <w:sz w:val="21"/>
        </w:rPr>
        <w:t>承包人未能按合同进度计划及时完成合同约定的工作，造成工期延误；</w:t>
      </w:r>
    </w:p>
    <w:p>
      <w:pPr>
        <w:pStyle w:val="10"/>
        <w:spacing w:before="6"/>
        <w:rPr>
          <w:sz w:val="15"/>
        </w:rPr>
      </w:pPr>
    </w:p>
    <w:p>
      <w:pPr>
        <w:pStyle w:val="35"/>
        <w:numPr>
          <w:ilvl w:val="0"/>
          <w:numId w:val="63"/>
        </w:numPr>
        <w:tabs>
          <w:tab w:val="left" w:pos="1163"/>
        </w:tabs>
        <w:ind w:hanging="530"/>
        <w:rPr>
          <w:sz w:val="21"/>
        </w:rPr>
      </w:pPr>
      <w:r>
        <w:rPr>
          <w:spacing w:val="-3"/>
          <w:sz w:val="21"/>
        </w:rPr>
        <w:t>由于承包人原因未能通过竣工试验或竣工后试验的；</w:t>
      </w:r>
    </w:p>
    <w:p>
      <w:pPr>
        <w:pStyle w:val="10"/>
        <w:spacing w:before="7"/>
        <w:rPr>
          <w:sz w:val="15"/>
        </w:rPr>
      </w:pPr>
    </w:p>
    <w:p>
      <w:pPr>
        <w:pStyle w:val="35"/>
        <w:numPr>
          <w:ilvl w:val="0"/>
          <w:numId w:val="63"/>
        </w:numPr>
        <w:tabs>
          <w:tab w:val="left" w:pos="1165"/>
        </w:tabs>
        <w:spacing w:line="417" w:lineRule="auto"/>
        <w:ind w:left="212" w:right="555" w:firstLine="420"/>
        <w:rPr>
          <w:sz w:val="21"/>
        </w:rPr>
      </w:pPr>
      <w:r>
        <w:rPr>
          <w:spacing w:val="-1"/>
          <w:sz w:val="21"/>
        </w:rPr>
        <w:t>承包人在缺陷责任期内，未能对工程接收证书所列的缺陷清单的内容或缺陷责任期内发生的缺</w:t>
      </w:r>
      <w:r>
        <w:rPr>
          <w:spacing w:val="-3"/>
          <w:sz w:val="21"/>
        </w:rPr>
        <w:t>陷进行修复，而又拒绝按监理人指示再进行修补；</w:t>
      </w:r>
    </w:p>
    <w:p>
      <w:pPr>
        <w:pStyle w:val="35"/>
        <w:numPr>
          <w:ilvl w:val="0"/>
          <w:numId w:val="63"/>
        </w:numPr>
        <w:tabs>
          <w:tab w:val="left" w:pos="1163"/>
        </w:tabs>
        <w:ind w:hanging="530"/>
        <w:rPr>
          <w:sz w:val="21"/>
        </w:rPr>
      </w:pPr>
      <w:r>
        <w:rPr>
          <w:spacing w:val="-3"/>
          <w:sz w:val="21"/>
        </w:rPr>
        <w:t>承包人无法继续履行或明确表示不履行或实质上已停止履行合同；</w:t>
      </w:r>
    </w:p>
    <w:p>
      <w:pPr>
        <w:pStyle w:val="10"/>
        <w:spacing w:before="7"/>
        <w:rPr>
          <w:sz w:val="15"/>
        </w:rPr>
      </w:pPr>
    </w:p>
    <w:p>
      <w:pPr>
        <w:pStyle w:val="35"/>
        <w:numPr>
          <w:ilvl w:val="0"/>
          <w:numId w:val="63"/>
        </w:numPr>
        <w:tabs>
          <w:tab w:val="left" w:pos="1163"/>
        </w:tabs>
        <w:ind w:hanging="530"/>
        <w:rPr>
          <w:sz w:val="21"/>
        </w:rPr>
      </w:pPr>
      <w:r>
        <w:rPr>
          <w:spacing w:val="-3"/>
          <w:sz w:val="21"/>
        </w:rPr>
        <w:t>承包人不按合同约定履行义务的其他情况。</w:t>
      </w:r>
    </w:p>
    <w:p>
      <w:pPr>
        <w:pStyle w:val="10"/>
        <w:spacing w:before="6"/>
        <w:rPr>
          <w:sz w:val="15"/>
        </w:rPr>
      </w:pPr>
    </w:p>
    <w:p>
      <w:pPr>
        <w:tabs>
          <w:tab w:val="left" w:pos="1265"/>
        </w:tabs>
        <w:spacing w:before="1"/>
        <w:ind w:firstLine="399" w:firstLineChars="196"/>
        <w:rPr>
          <w:rFonts w:ascii="Times New Roman" w:eastAsia="Times New Roman"/>
          <w:sz w:val="21"/>
        </w:rPr>
      </w:pPr>
      <w:r>
        <w:rPr>
          <w:rFonts w:hint="eastAsia"/>
          <w:spacing w:val="-3"/>
          <w:sz w:val="21"/>
        </w:rPr>
        <w:t xml:space="preserve">22.1.2 </w:t>
      </w:r>
      <w:r>
        <w:rPr>
          <w:spacing w:val="-3"/>
          <w:sz w:val="21"/>
        </w:rPr>
        <w:t>对承包人违约的处理</w:t>
      </w:r>
    </w:p>
    <w:p>
      <w:pPr>
        <w:pStyle w:val="10"/>
        <w:spacing w:before="6"/>
        <w:rPr>
          <w:sz w:val="15"/>
        </w:rPr>
      </w:pPr>
    </w:p>
    <w:p>
      <w:pPr>
        <w:pStyle w:val="35"/>
        <w:numPr>
          <w:ilvl w:val="0"/>
          <w:numId w:val="64"/>
        </w:numPr>
        <w:tabs>
          <w:tab w:val="left" w:pos="1163"/>
        </w:tabs>
        <w:spacing w:line="417" w:lineRule="auto"/>
        <w:ind w:right="546" w:firstLine="420"/>
        <w:rPr>
          <w:sz w:val="21"/>
        </w:rPr>
      </w:pPr>
      <w:r>
        <w:rPr>
          <w:spacing w:val="-4"/>
          <w:sz w:val="21"/>
        </w:rPr>
        <w:t xml:space="preserve">承包人发生第 </w:t>
      </w:r>
      <w:r>
        <w:rPr>
          <w:rFonts w:ascii="Times New Roman" w:eastAsia="Times New Roman"/>
          <w:spacing w:val="-3"/>
          <w:sz w:val="21"/>
        </w:rPr>
        <w:t>22.1.1</w:t>
      </w:r>
      <w:r>
        <w:rPr>
          <w:spacing w:val="-3"/>
          <w:sz w:val="21"/>
        </w:rPr>
        <w:t>（</w:t>
      </w:r>
      <w:r>
        <w:rPr>
          <w:rFonts w:ascii="Times New Roman" w:eastAsia="Times New Roman"/>
          <w:spacing w:val="-3"/>
          <w:sz w:val="21"/>
        </w:rPr>
        <w:t>6</w:t>
      </w:r>
      <w:r>
        <w:rPr>
          <w:spacing w:val="-3"/>
          <w:sz w:val="21"/>
        </w:rPr>
        <w:t>）</w:t>
      </w:r>
      <w:r>
        <w:rPr>
          <w:spacing w:val="-4"/>
          <w:sz w:val="21"/>
        </w:rPr>
        <w:t>目约定的违约情况时，按照发包人要求中的未能通过竣工</w:t>
      </w:r>
      <w:r>
        <w:rPr>
          <w:rFonts w:ascii="Times New Roman" w:eastAsia="Times New Roman"/>
          <w:spacing w:val="-4"/>
          <w:sz w:val="21"/>
        </w:rPr>
        <w:t>/</w:t>
      </w:r>
      <w:r>
        <w:rPr>
          <w:spacing w:val="-3"/>
          <w:sz w:val="21"/>
        </w:rPr>
        <w:t>竣工后试验的损害进行赔偿。发生延期的，承包人应承担延期责任。</w:t>
      </w:r>
    </w:p>
    <w:p>
      <w:pPr>
        <w:pStyle w:val="35"/>
        <w:numPr>
          <w:ilvl w:val="0"/>
          <w:numId w:val="64"/>
        </w:numPr>
        <w:tabs>
          <w:tab w:val="left" w:pos="1163"/>
        </w:tabs>
        <w:spacing w:line="269" w:lineRule="exact"/>
        <w:ind w:left="1162" w:hanging="530"/>
        <w:rPr>
          <w:rFonts w:ascii="Times New Roman" w:eastAsia="Times New Roman"/>
          <w:sz w:val="21"/>
        </w:rPr>
      </w:pPr>
      <w:r>
        <w:rPr>
          <w:spacing w:val="-10"/>
          <w:sz w:val="21"/>
        </w:rPr>
        <w:t xml:space="preserve">承包人发生第 </w:t>
      </w:r>
      <w:r>
        <w:rPr>
          <w:rFonts w:ascii="Times New Roman" w:eastAsia="Times New Roman"/>
          <w:spacing w:val="-16"/>
          <w:sz w:val="21"/>
        </w:rPr>
        <w:t>22.1.1</w:t>
      </w:r>
      <w:r>
        <w:rPr>
          <w:spacing w:val="-16"/>
          <w:sz w:val="21"/>
        </w:rPr>
        <w:t>（</w:t>
      </w:r>
      <w:r>
        <w:rPr>
          <w:rFonts w:ascii="Times New Roman" w:eastAsia="Times New Roman"/>
          <w:spacing w:val="-16"/>
          <w:sz w:val="21"/>
        </w:rPr>
        <w:t>8</w:t>
      </w:r>
      <w:r>
        <w:rPr>
          <w:spacing w:val="-16"/>
          <w:sz w:val="21"/>
        </w:rPr>
        <w:t>）</w:t>
      </w:r>
      <w:r>
        <w:rPr>
          <w:spacing w:val="-15"/>
          <w:sz w:val="21"/>
        </w:rPr>
        <w:t xml:space="preserve">目约定的违约情况时，发包人可通知承包人立即解除合同，并按第 </w:t>
      </w:r>
      <w:r>
        <w:rPr>
          <w:rFonts w:ascii="Times New Roman" w:eastAsia="Times New Roman"/>
          <w:sz w:val="21"/>
        </w:rPr>
        <w:t>22.1.3</w:t>
      </w:r>
    </w:p>
    <w:p>
      <w:pPr>
        <w:pStyle w:val="10"/>
        <w:spacing w:before="4"/>
        <w:rPr>
          <w:rFonts w:ascii="Times New Roman"/>
          <w:sz w:val="17"/>
        </w:rPr>
      </w:pPr>
    </w:p>
    <w:p>
      <w:pPr>
        <w:pStyle w:val="10"/>
        <w:ind w:left="212"/>
      </w:pPr>
      <w:r>
        <w:t xml:space="preserve">项、第 </w:t>
      </w:r>
      <w:r>
        <w:rPr>
          <w:rFonts w:ascii="Times New Roman" w:eastAsia="Times New Roman"/>
        </w:rPr>
        <w:t xml:space="preserve">22.1.4 </w:t>
      </w:r>
      <w:r>
        <w:t xml:space="preserve">项、第 </w:t>
      </w:r>
      <w:r>
        <w:rPr>
          <w:rFonts w:ascii="Times New Roman" w:eastAsia="Times New Roman"/>
        </w:rPr>
        <w:t xml:space="preserve">22.1.5 </w:t>
      </w:r>
      <w:r>
        <w:t>项约定处理。</w:t>
      </w:r>
    </w:p>
    <w:p>
      <w:pPr>
        <w:pStyle w:val="10"/>
        <w:spacing w:before="7"/>
        <w:rPr>
          <w:sz w:val="15"/>
        </w:rPr>
      </w:pPr>
    </w:p>
    <w:p>
      <w:pPr>
        <w:pStyle w:val="35"/>
        <w:numPr>
          <w:ilvl w:val="0"/>
          <w:numId w:val="64"/>
        </w:numPr>
        <w:tabs>
          <w:tab w:val="left" w:pos="1163"/>
        </w:tabs>
        <w:spacing w:line="417" w:lineRule="auto"/>
        <w:ind w:right="546" w:firstLine="420"/>
        <w:jc w:val="both"/>
        <w:rPr>
          <w:sz w:val="21"/>
        </w:rPr>
      </w:pPr>
      <w:r>
        <w:rPr>
          <w:spacing w:val="-9"/>
          <w:sz w:val="21"/>
        </w:rPr>
        <w:t xml:space="preserve">承包人发生除第 </w:t>
      </w:r>
      <w:r>
        <w:rPr>
          <w:rFonts w:ascii="Times New Roman" w:eastAsia="Times New Roman"/>
          <w:sz w:val="21"/>
        </w:rPr>
        <w:t>22.1.1</w:t>
      </w:r>
      <w:r>
        <w:rPr>
          <w:sz w:val="21"/>
        </w:rPr>
        <w:t>（</w:t>
      </w:r>
      <w:r>
        <w:rPr>
          <w:rFonts w:ascii="Times New Roman" w:eastAsia="Times New Roman"/>
          <w:sz w:val="21"/>
        </w:rPr>
        <w:t>6</w:t>
      </w:r>
      <w:r>
        <w:rPr>
          <w:sz w:val="21"/>
        </w:rPr>
        <w:t>）</w:t>
      </w:r>
      <w:r>
        <w:rPr>
          <w:spacing w:val="-13"/>
          <w:sz w:val="21"/>
        </w:rPr>
        <w:t xml:space="preserve">目和第 </w:t>
      </w:r>
      <w:r>
        <w:rPr>
          <w:rFonts w:ascii="Times New Roman" w:eastAsia="Times New Roman"/>
          <w:sz w:val="21"/>
        </w:rPr>
        <w:t>22.1.1</w:t>
      </w:r>
      <w:r>
        <w:rPr>
          <w:sz w:val="21"/>
        </w:rPr>
        <w:t>（</w:t>
      </w:r>
      <w:r>
        <w:rPr>
          <w:rFonts w:ascii="Times New Roman" w:eastAsia="Times New Roman"/>
          <w:sz w:val="21"/>
        </w:rPr>
        <w:t>8</w:t>
      </w:r>
      <w:r>
        <w:rPr>
          <w:sz w:val="21"/>
        </w:rPr>
        <w:t>）</w:t>
      </w:r>
      <w:r>
        <w:rPr>
          <w:spacing w:val="-4"/>
          <w:sz w:val="21"/>
        </w:rPr>
        <w:t>目约定以外的其他违约情况时，监理人可向承包</w:t>
      </w:r>
      <w:r>
        <w:rPr>
          <w:spacing w:val="-6"/>
          <w:sz w:val="21"/>
        </w:rPr>
        <w:t>人发出整改通知，要求其在指定的期限内纠正。除合同条款另有约定外，承包人应承担其违约所引起的费</w:t>
      </w:r>
      <w:r>
        <w:rPr>
          <w:spacing w:val="-4"/>
          <w:sz w:val="21"/>
        </w:rPr>
        <w:t>用增加和</w:t>
      </w:r>
      <w:r>
        <w:rPr>
          <w:spacing w:val="-3"/>
          <w:sz w:val="21"/>
        </w:rPr>
        <w:t>（</w:t>
      </w:r>
      <w:r>
        <w:rPr>
          <w:sz w:val="21"/>
        </w:rPr>
        <w:t>或</w:t>
      </w:r>
      <w:r>
        <w:rPr>
          <w:spacing w:val="-3"/>
          <w:sz w:val="21"/>
        </w:rPr>
        <w:t>）工期延误。</w:t>
      </w:r>
    </w:p>
    <w:p>
      <w:pPr>
        <w:tabs>
          <w:tab w:val="left" w:pos="1265"/>
        </w:tabs>
        <w:spacing w:line="268" w:lineRule="exact"/>
        <w:ind w:firstLine="399" w:firstLineChars="196"/>
        <w:jc w:val="both"/>
        <w:rPr>
          <w:spacing w:val="-3"/>
          <w:sz w:val="21"/>
        </w:rPr>
      </w:pPr>
      <w:r>
        <w:rPr>
          <w:rFonts w:hint="eastAsia"/>
          <w:spacing w:val="-3"/>
          <w:sz w:val="21"/>
        </w:rPr>
        <w:t xml:space="preserve">22.1.3 </w:t>
      </w:r>
      <w:r>
        <w:rPr>
          <w:spacing w:val="-3"/>
          <w:sz w:val="21"/>
        </w:rPr>
        <w:t>因承包人违约解除合同</w:t>
      </w:r>
    </w:p>
    <w:p>
      <w:pPr>
        <w:tabs>
          <w:tab w:val="left" w:pos="1265"/>
        </w:tabs>
        <w:spacing w:line="268" w:lineRule="exact"/>
        <w:ind w:firstLine="399" w:firstLineChars="196"/>
        <w:jc w:val="both"/>
        <w:rPr>
          <w:spacing w:val="-3"/>
          <w:sz w:val="21"/>
        </w:rPr>
      </w:pPr>
    </w:p>
    <w:p>
      <w:pPr>
        <w:tabs>
          <w:tab w:val="left" w:pos="1265"/>
        </w:tabs>
        <w:spacing w:line="268" w:lineRule="exact"/>
        <w:ind w:firstLine="431" w:firstLineChars="196"/>
        <w:jc w:val="both"/>
      </w:pPr>
      <w:r>
        <w:t>监理人发出整改通知 28 天后，承包人仍不纠正违约行为的，发包人有权解除合同并向承包人发出解</w:t>
      </w:r>
    </w:p>
    <w:p>
      <w:pPr>
        <w:pStyle w:val="10"/>
        <w:spacing w:before="7"/>
        <w:rPr>
          <w:sz w:val="15"/>
        </w:rPr>
      </w:pPr>
    </w:p>
    <w:p>
      <w:pPr>
        <w:pStyle w:val="10"/>
        <w:spacing w:line="417" w:lineRule="auto"/>
        <w:ind w:left="212" w:right="525"/>
        <w:jc w:val="both"/>
      </w:pPr>
      <w:r>
        <w:rPr>
          <w:spacing w:val="-3"/>
        </w:rPr>
        <w:t xml:space="preserve">除合同通知。承包人收到发包人解除合同通知后 </w:t>
      </w:r>
      <w:r>
        <w:t>14</w:t>
      </w:r>
      <w:r>
        <w:rPr>
          <w:spacing w:val="-3"/>
        </w:rPr>
        <w:t xml:space="preserve"> 天内，承包人应撤离现场，发包人派员进驻施工场地</w:t>
      </w:r>
      <w:r>
        <w:rPr>
          <w:spacing w:val="-6"/>
        </w:rPr>
        <w:t>完成现场交接手续，发包人有权另行组织人员或委托其他承包人。发包人因继续完成该工程的需要，有权</w:t>
      </w:r>
      <w:r>
        <w:rPr>
          <w:spacing w:val="-4"/>
        </w:rPr>
        <w:t xml:space="preserve">扣留使用承包人在现场的材料、设备和临时设施。但发包人的这一行动不免除承包人应承担的违约责任， </w:t>
      </w:r>
      <w:r>
        <w:rPr>
          <w:spacing w:val="-3"/>
        </w:rPr>
        <w:t>也不影响发包人根据合同约定享有的索赔权利。</w:t>
      </w:r>
    </w:p>
    <w:p>
      <w:pPr>
        <w:tabs>
          <w:tab w:val="left" w:pos="1265"/>
        </w:tabs>
        <w:spacing w:line="268" w:lineRule="exact"/>
        <w:ind w:firstLine="399" w:firstLineChars="196"/>
        <w:jc w:val="both"/>
        <w:rPr>
          <w:rFonts w:ascii="Times New Roman" w:eastAsia="Times New Roman"/>
          <w:sz w:val="21"/>
        </w:rPr>
      </w:pPr>
      <w:r>
        <w:rPr>
          <w:rFonts w:hint="eastAsia"/>
          <w:spacing w:val="-3"/>
          <w:sz w:val="21"/>
        </w:rPr>
        <w:t xml:space="preserve">22.1.4 </w:t>
      </w:r>
      <w:r>
        <w:rPr>
          <w:spacing w:val="-3"/>
          <w:sz w:val="21"/>
        </w:rPr>
        <w:t>发包人发出合同解除通知后的估价、付款和结清</w:t>
      </w:r>
    </w:p>
    <w:p>
      <w:pPr>
        <w:pStyle w:val="10"/>
        <w:spacing w:before="7"/>
        <w:rPr>
          <w:sz w:val="15"/>
        </w:rPr>
      </w:pPr>
    </w:p>
    <w:p>
      <w:pPr>
        <w:pStyle w:val="35"/>
        <w:numPr>
          <w:ilvl w:val="0"/>
          <w:numId w:val="65"/>
        </w:numPr>
        <w:tabs>
          <w:tab w:val="left" w:pos="1163"/>
        </w:tabs>
        <w:spacing w:line="417" w:lineRule="auto"/>
        <w:ind w:right="546" w:firstLine="420"/>
        <w:jc w:val="both"/>
        <w:rPr>
          <w:sz w:val="21"/>
        </w:rPr>
      </w:pPr>
      <w:r>
        <w:rPr>
          <w:spacing w:val="-6"/>
          <w:sz w:val="21"/>
        </w:rPr>
        <w:t xml:space="preserve">承包人收到发包人解除合同通知后 </w:t>
      </w:r>
      <w:r>
        <w:rPr>
          <w:rFonts w:ascii="Times New Roman" w:eastAsia="Times New Roman"/>
          <w:sz w:val="21"/>
        </w:rPr>
        <w:t>28</w:t>
      </w:r>
      <w:r>
        <w:rPr>
          <w:rFonts w:ascii="Times New Roman" w:eastAsia="Times New Roman"/>
          <w:spacing w:val="8"/>
          <w:sz w:val="21"/>
        </w:rPr>
        <w:t xml:space="preserve"> </w:t>
      </w:r>
      <w:r>
        <w:rPr>
          <w:spacing w:val="-10"/>
          <w:sz w:val="21"/>
        </w:rPr>
        <w:t xml:space="preserve">天内，监理人按第 </w:t>
      </w:r>
      <w:r>
        <w:rPr>
          <w:rFonts w:ascii="Times New Roman" w:eastAsia="Times New Roman"/>
          <w:sz w:val="21"/>
        </w:rPr>
        <w:t>3.5</w:t>
      </w:r>
      <w:r>
        <w:rPr>
          <w:rFonts w:ascii="Times New Roman" w:eastAsia="Times New Roman"/>
          <w:spacing w:val="16"/>
          <w:sz w:val="21"/>
        </w:rPr>
        <w:t xml:space="preserve"> </w:t>
      </w:r>
      <w:r>
        <w:rPr>
          <w:spacing w:val="-3"/>
          <w:sz w:val="21"/>
        </w:rPr>
        <w:t>款商定或确定承包人实际完成工作</w:t>
      </w:r>
      <w:r>
        <w:rPr>
          <w:spacing w:val="-7"/>
          <w:sz w:val="21"/>
        </w:rPr>
        <w:t>的价值，包括发包人扣留承包人的材料、设备及临时设施和承包人已提供的设计、材料、施工设备、工程</w:t>
      </w:r>
      <w:r>
        <w:rPr>
          <w:spacing w:val="-5"/>
          <w:sz w:val="21"/>
        </w:rPr>
        <w:t>设备、临时工程等的价值。</w:t>
      </w:r>
    </w:p>
    <w:p>
      <w:pPr>
        <w:pStyle w:val="35"/>
        <w:numPr>
          <w:ilvl w:val="0"/>
          <w:numId w:val="65"/>
        </w:numPr>
        <w:tabs>
          <w:tab w:val="left" w:pos="1165"/>
        </w:tabs>
        <w:spacing w:line="417" w:lineRule="auto"/>
        <w:ind w:right="556" w:firstLine="420"/>
        <w:rPr>
          <w:sz w:val="21"/>
        </w:rPr>
      </w:pPr>
      <w:r>
        <w:rPr>
          <w:spacing w:val="-1"/>
          <w:sz w:val="21"/>
        </w:rPr>
        <w:t>发包人发出解除合同通知后，发包人有权暂停对承包人的一切付款，查清各项付款和已扣款金</w:t>
      </w:r>
      <w:r>
        <w:rPr>
          <w:spacing w:val="-3"/>
          <w:sz w:val="21"/>
        </w:rPr>
        <w:t>额，包括承包人应支付的违约金。</w:t>
      </w:r>
    </w:p>
    <w:p>
      <w:pPr>
        <w:pStyle w:val="35"/>
        <w:numPr>
          <w:ilvl w:val="0"/>
          <w:numId w:val="65"/>
        </w:numPr>
        <w:tabs>
          <w:tab w:val="left" w:pos="1163"/>
        </w:tabs>
        <w:spacing w:line="417" w:lineRule="auto"/>
        <w:ind w:right="548" w:firstLine="420"/>
        <w:rPr>
          <w:sz w:val="21"/>
        </w:rPr>
      </w:pPr>
      <w:r>
        <w:rPr>
          <w:spacing w:val="-6"/>
          <w:sz w:val="21"/>
        </w:rPr>
        <w:t xml:space="preserve">发包人发出解除合同通知后，发包人有权按第 </w:t>
      </w:r>
      <w:r>
        <w:rPr>
          <w:rFonts w:ascii="Times New Roman" w:eastAsia="Times New Roman"/>
          <w:sz w:val="21"/>
        </w:rPr>
        <w:t>23.4</w:t>
      </w:r>
      <w:r>
        <w:rPr>
          <w:rFonts w:ascii="Times New Roman" w:eastAsia="Times New Roman"/>
          <w:spacing w:val="29"/>
          <w:sz w:val="21"/>
        </w:rPr>
        <w:t xml:space="preserve"> </w:t>
      </w:r>
      <w:r>
        <w:rPr>
          <w:spacing w:val="-3"/>
          <w:sz w:val="21"/>
        </w:rPr>
        <w:t>款的约定向承包人索赔由于解除合同给发包人造成的损失。</w:t>
      </w:r>
    </w:p>
    <w:p>
      <w:pPr>
        <w:pStyle w:val="35"/>
        <w:numPr>
          <w:ilvl w:val="0"/>
          <w:numId w:val="65"/>
        </w:numPr>
        <w:tabs>
          <w:tab w:val="left" w:pos="1163"/>
        </w:tabs>
        <w:spacing w:line="269" w:lineRule="exact"/>
        <w:ind w:left="1162" w:hanging="530"/>
        <w:rPr>
          <w:sz w:val="21"/>
        </w:rPr>
      </w:pPr>
      <w:r>
        <w:rPr>
          <w:spacing w:val="-3"/>
          <w:sz w:val="21"/>
        </w:rPr>
        <w:t>合同双方确认合同价款后，发包人颁发最终结清付款证书，并结清全部合同款项。</w:t>
      </w:r>
    </w:p>
    <w:p>
      <w:pPr>
        <w:pStyle w:val="10"/>
        <w:spacing w:before="7"/>
        <w:rPr>
          <w:sz w:val="15"/>
        </w:rPr>
      </w:pPr>
    </w:p>
    <w:p>
      <w:pPr>
        <w:pStyle w:val="35"/>
        <w:numPr>
          <w:ilvl w:val="0"/>
          <w:numId w:val="65"/>
        </w:numPr>
        <w:tabs>
          <w:tab w:val="left" w:pos="1163"/>
        </w:tabs>
        <w:ind w:left="1162" w:hanging="530"/>
        <w:jc w:val="both"/>
        <w:rPr>
          <w:sz w:val="21"/>
        </w:rPr>
      </w:pPr>
      <w:r>
        <w:rPr>
          <w:spacing w:val="-5"/>
          <w:sz w:val="21"/>
        </w:rPr>
        <w:t xml:space="preserve">发包人和承包人未能就解除合同后的结清达成一致而形成争议的，按第 </w:t>
      </w:r>
      <w:r>
        <w:rPr>
          <w:rFonts w:ascii="Times New Roman" w:eastAsia="Times New Roman"/>
          <w:sz w:val="21"/>
        </w:rPr>
        <w:t>24</w:t>
      </w:r>
      <w:r>
        <w:rPr>
          <w:rFonts w:ascii="Times New Roman" w:eastAsia="Times New Roman"/>
          <w:spacing w:val="2"/>
          <w:sz w:val="21"/>
        </w:rPr>
        <w:t xml:space="preserve"> </w:t>
      </w:r>
      <w:r>
        <w:rPr>
          <w:spacing w:val="-3"/>
          <w:sz w:val="21"/>
        </w:rPr>
        <w:t>条的约定执行。</w:t>
      </w:r>
    </w:p>
    <w:p>
      <w:pPr>
        <w:pStyle w:val="10"/>
        <w:spacing w:before="6"/>
        <w:rPr>
          <w:sz w:val="15"/>
        </w:rPr>
      </w:pPr>
    </w:p>
    <w:p>
      <w:pPr>
        <w:tabs>
          <w:tab w:val="left" w:pos="1265"/>
        </w:tabs>
        <w:ind w:firstLine="399" w:firstLineChars="196"/>
        <w:jc w:val="both"/>
        <w:rPr>
          <w:rFonts w:ascii="Times New Roman" w:eastAsia="Times New Roman"/>
          <w:sz w:val="21"/>
        </w:rPr>
      </w:pPr>
      <w:r>
        <w:rPr>
          <w:rFonts w:hint="eastAsia"/>
          <w:spacing w:val="-3"/>
          <w:sz w:val="21"/>
        </w:rPr>
        <w:t xml:space="preserve">22.1.5 </w:t>
      </w:r>
      <w:r>
        <w:rPr>
          <w:spacing w:val="-3"/>
          <w:sz w:val="21"/>
        </w:rPr>
        <w:t>协议利益的转让</w:t>
      </w:r>
    </w:p>
    <w:p>
      <w:pPr>
        <w:pStyle w:val="10"/>
        <w:spacing w:before="7"/>
        <w:rPr>
          <w:sz w:val="15"/>
        </w:rPr>
      </w:pPr>
    </w:p>
    <w:p>
      <w:pPr>
        <w:pStyle w:val="10"/>
        <w:spacing w:line="417" w:lineRule="auto"/>
        <w:ind w:left="212" w:right="546" w:firstLine="420"/>
        <w:jc w:val="both"/>
      </w:pPr>
      <w:r>
        <w:rPr>
          <w:spacing w:val="-5"/>
        </w:rPr>
        <w:t>因承包人违约解除合同的，发包人有权要求承包人将其为实施合同而签订的材料和设备的订货协议或</w:t>
      </w:r>
      <w:r>
        <w:rPr>
          <w:spacing w:val="-4"/>
        </w:rPr>
        <w:t xml:space="preserve">任何服务协议利益转让给发包人，并在承包人收到解除合同通知后的 </w:t>
      </w:r>
      <w:r>
        <w:t>14</w:t>
      </w:r>
      <w:r>
        <w:rPr>
          <w:spacing w:val="-3"/>
        </w:rPr>
        <w:t xml:space="preserve"> 天内，依法办理转让手续。发包人有权使用承包人文件和由承包人或以其名义编制的其他设计文件。</w:t>
      </w:r>
    </w:p>
    <w:p>
      <w:pPr>
        <w:tabs>
          <w:tab w:val="left" w:pos="1265"/>
        </w:tabs>
        <w:ind w:firstLine="399" w:firstLineChars="196"/>
        <w:jc w:val="both"/>
        <w:rPr>
          <w:rFonts w:ascii="Times New Roman" w:eastAsia="Times New Roman"/>
          <w:sz w:val="21"/>
        </w:rPr>
      </w:pPr>
      <w:r>
        <w:rPr>
          <w:rFonts w:hint="eastAsia"/>
          <w:spacing w:val="-3"/>
          <w:sz w:val="21"/>
        </w:rPr>
        <w:t xml:space="preserve">22.1.6 </w:t>
      </w:r>
      <w:r>
        <w:rPr>
          <w:spacing w:val="-3"/>
          <w:sz w:val="21"/>
        </w:rPr>
        <w:t>紧急情况下无能力或不愿进行抢救</w:t>
      </w:r>
    </w:p>
    <w:p>
      <w:pPr>
        <w:pStyle w:val="10"/>
        <w:spacing w:before="7"/>
        <w:rPr>
          <w:sz w:val="15"/>
        </w:rPr>
      </w:pPr>
    </w:p>
    <w:p>
      <w:pPr>
        <w:pStyle w:val="10"/>
        <w:spacing w:line="417" w:lineRule="auto"/>
        <w:ind w:left="212" w:right="525" w:firstLine="420"/>
        <w:jc w:val="both"/>
      </w:pPr>
      <w:r>
        <w:rPr>
          <w:spacing w:val="-5"/>
        </w:rPr>
        <w:t>在工程实施期间或缺陷责任期内发生危及工程安全的事件，监理人通知承包人进行抢救，承包人声明</w:t>
      </w:r>
      <w:r>
        <w:rPr>
          <w:spacing w:val="-4"/>
        </w:rPr>
        <w:t xml:space="preserve">无能力或不愿立即执行的，发包人有权雇佣其他人员进行抢救。此类抢救按合同约定属于承包人义务的， </w:t>
      </w:r>
      <w:r>
        <w:rPr>
          <w:spacing w:val="-3"/>
          <w:highlight w:val="yellow"/>
        </w:rPr>
        <w:t>由此发生的金额和工期延误由承包人承担</w:t>
      </w:r>
      <w:r>
        <w:rPr>
          <w:spacing w:val="-3"/>
        </w:rPr>
        <w:t>。</w:t>
      </w:r>
    </w:p>
    <w:p>
      <w:pPr>
        <w:pStyle w:val="10"/>
        <w:spacing w:before="12"/>
        <w:rPr>
          <w:sz w:val="22"/>
        </w:rPr>
      </w:pPr>
    </w:p>
    <w:p>
      <w:pPr>
        <w:ind w:firstLine="427" w:firstLineChars="196"/>
        <w:rPr>
          <w:rFonts w:ascii="Times New Roman" w:eastAsia="Times New Roman"/>
        </w:rPr>
      </w:pPr>
      <w:bookmarkStart w:id="301" w:name="_bookmark229"/>
      <w:bookmarkEnd w:id="301"/>
      <w:r>
        <w:rPr>
          <w:rFonts w:hint="eastAsia"/>
          <w:spacing w:val="-1"/>
        </w:rPr>
        <w:t xml:space="preserve">22.2 </w:t>
      </w:r>
      <w:r>
        <w:rPr>
          <w:spacing w:val="-1"/>
        </w:rPr>
        <w:t>发包人违约</w:t>
      </w:r>
    </w:p>
    <w:p>
      <w:pPr>
        <w:pStyle w:val="10"/>
        <w:spacing w:before="3"/>
        <w:rPr>
          <w:rFonts w:ascii="黑体"/>
          <w:sz w:val="38"/>
        </w:rPr>
      </w:pPr>
    </w:p>
    <w:p>
      <w:pPr>
        <w:tabs>
          <w:tab w:val="left" w:pos="1265"/>
        </w:tabs>
        <w:ind w:firstLine="499" w:firstLineChars="245"/>
        <w:jc w:val="both"/>
        <w:rPr>
          <w:rFonts w:ascii="Times New Roman" w:eastAsia="Times New Roman"/>
          <w:sz w:val="21"/>
        </w:rPr>
      </w:pPr>
      <w:r>
        <w:rPr>
          <w:rFonts w:hint="eastAsia"/>
          <w:spacing w:val="-3"/>
          <w:sz w:val="21"/>
        </w:rPr>
        <w:t xml:space="preserve">22.2.1 </w:t>
      </w:r>
      <w:r>
        <w:rPr>
          <w:spacing w:val="-3"/>
          <w:sz w:val="21"/>
        </w:rPr>
        <w:t>发包人违约的情形</w:t>
      </w:r>
    </w:p>
    <w:p>
      <w:pPr>
        <w:pStyle w:val="10"/>
        <w:spacing w:before="6"/>
        <w:rPr>
          <w:sz w:val="15"/>
        </w:rPr>
      </w:pPr>
    </w:p>
    <w:p>
      <w:pPr>
        <w:pStyle w:val="10"/>
        <w:spacing w:before="1"/>
        <w:ind w:left="633"/>
      </w:pPr>
      <w:r>
        <w:t>在履行合同过程中发生下列情形之一的，属发包人违约：</w:t>
      </w:r>
    </w:p>
    <w:p>
      <w:pPr>
        <w:pStyle w:val="10"/>
        <w:spacing w:before="6"/>
        <w:rPr>
          <w:sz w:val="15"/>
        </w:rPr>
      </w:pPr>
    </w:p>
    <w:p>
      <w:pPr>
        <w:pStyle w:val="35"/>
        <w:numPr>
          <w:ilvl w:val="0"/>
          <w:numId w:val="66"/>
        </w:numPr>
        <w:tabs>
          <w:tab w:val="left" w:pos="1163"/>
        </w:tabs>
        <w:ind w:hanging="530"/>
        <w:rPr>
          <w:sz w:val="21"/>
        </w:rPr>
      </w:pPr>
      <w:r>
        <w:rPr>
          <w:spacing w:val="-3"/>
          <w:sz w:val="21"/>
        </w:rPr>
        <w:t>发包人未能按合同约定支付价款，或拖延、拒绝批准付款申请和支付凭证，导致付款延误；</w:t>
      </w:r>
    </w:p>
    <w:p>
      <w:pPr>
        <w:pStyle w:val="10"/>
        <w:spacing w:before="7"/>
        <w:rPr>
          <w:sz w:val="15"/>
        </w:rPr>
      </w:pPr>
    </w:p>
    <w:p>
      <w:pPr>
        <w:pStyle w:val="35"/>
        <w:numPr>
          <w:ilvl w:val="0"/>
          <w:numId w:val="66"/>
        </w:numPr>
        <w:tabs>
          <w:tab w:val="left" w:pos="1163"/>
        </w:tabs>
        <w:spacing w:before="59"/>
        <w:ind w:hanging="530"/>
        <w:rPr>
          <w:sz w:val="21"/>
        </w:rPr>
      </w:pPr>
      <w:r>
        <w:rPr>
          <w:spacing w:val="-3"/>
          <w:sz w:val="21"/>
        </w:rPr>
        <w:t>发包人原因造成停工；</w:t>
      </w:r>
    </w:p>
    <w:p>
      <w:pPr>
        <w:pStyle w:val="35"/>
        <w:rPr>
          <w:spacing w:val="-3"/>
          <w:sz w:val="21"/>
        </w:rPr>
      </w:pPr>
    </w:p>
    <w:p>
      <w:pPr>
        <w:pStyle w:val="35"/>
        <w:numPr>
          <w:ilvl w:val="0"/>
          <w:numId w:val="66"/>
        </w:numPr>
        <w:tabs>
          <w:tab w:val="left" w:pos="1163"/>
        </w:tabs>
        <w:spacing w:before="59"/>
        <w:ind w:hanging="530"/>
        <w:rPr>
          <w:sz w:val="21"/>
        </w:rPr>
      </w:pPr>
      <w:r>
        <w:rPr>
          <w:spacing w:val="-3"/>
          <w:sz w:val="21"/>
        </w:rPr>
        <w:t>监理人无正当理由没有在约定期限内发出复工指示，导致承包人无法复工；</w:t>
      </w:r>
    </w:p>
    <w:p>
      <w:pPr>
        <w:pStyle w:val="10"/>
        <w:spacing w:before="7"/>
        <w:rPr>
          <w:sz w:val="15"/>
        </w:rPr>
      </w:pPr>
    </w:p>
    <w:p>
      <w:pPr>
        <w:pStyle w:val="35"/>
        <w:numPr>
          <w:ilvl w:val="0"/>
          <w:numId w:val="66"/>
        </w:numPr>
        <w:tabs>
          <w:tab w:val="left" w:pos="1163"/>
        </w:tabs>
        <w:ind w:hanging="530"/>
        <w:rPr>
          <w:sz w:val="21"/>
        </w:rPr>
      </w:pPr>
      <w:r>
        <w:rPr>
          <w:spacing w:val="-3"/>
          <w:sz w:val="21"/>
        </w:rPr>
        <w:t>发包人无法继续履行或明确表示不履行或实质上已停止履行合同；</w:t>
      </w:r>
    </w:p>
    <w:p>
      <w:pPr>
        <w:pStyle w:val="10"/>
        <w:spacing w:before="7"/>
        <w:rPr>
          <w:sz w:val="15"/>
        </w:rPr>
      </w:pPr>
    </w:p>
    <w:p>
      <w:pPr>
        <w:pStyle w:val="35"/>
        <w:numPr>
          <w:ilvl w:val="0"/>
          <w:numId w:val="66"/>
        </w:numPr>
        <w:tabs>
          <w:tab w:val="left" w:pos="1163"/>
        </w:tabs>
        <w:ind w:hanging="530"/>
        <w:rPr>
          <w:sz w:val="21"/>
        </w:rPr>
      </w:pPr>
      <w:r>
        <w:rPr>
          <w:spacing w:val="-3"/>
          <w:sz w:val="21"/>
        </w:rPr>
        <w:t>发包人不履行合同约定其他义务。</w:t>
      </w:r>
    </w:p>
    <w:p>
      <w:pPr>
        <w:pStyle w:val="10"/>
        <w:spacing w:before="7"/>
        <w:rPr>
          <w:sz w:val="15"/>
        </w:rPr>
      </w:pPr>
    </w:p>
    <w:p>
      <w:pPr>
        <w:tabs>
          <w:tab w:val="left" w:pos="1265"/>
        </w:tabs>
        <w:ind w:firstLine="399" w:firstLineChars="196"/>
        <w:jc w:val="both"/>
        <w:rPr>
          <w:rFonts w:ascii="Times New Roman" w:eastAsia="Times New Roman"/>
          <w:sz w:val="21"/>
        </w:rPr>
      </w:pPr>
      <w:r>
        <w:rPr>
          <w:rFonts w:hint="eastAsia"/>
          <w:spacing w:val="-3"/>
          <w:sz w:val="21"/>
        </w:rPr>
        <w:t xml:space="preserve">22.2.2 </w:t>
      </w:r>
      <w:r>
        <w:rPr>
          <w:spacing w:val="-3"/>
          <w:sz w:val="21"/>
        </w:rPr>
        <w:t>因发包人违约解除合同</w:t>
      </w:r>
    </w:p>
    <w:p>
      <w:pPr>
        <w:pStyle w:val="10"/>
        <w:spacing w:before="7"/>
        <w:rPr>
          <w:sz w:val="15"/>
        </w:rPr>
      </w:pPr>
    </w:p>
    <w:p>
      <w:pPr>
        <w:pStyle w:val="35"/>
        <w:tabs>
          <w:tab w:val="left" w:pos="1163"/>
        </w:tabs>
        <w:ind w:left="1162" w:firstLine="0"/>
        <w:jc w:val="both"/>
        <w:rPr>
          <w:sz w:val="21"/>
        </w:rPr>
      </w:pPr>
      <w:r>
        <w:rPr>
          <w:spacing w:val="-15"/>
          <w:sz w:val="21"/>
        </w:rPr>
        <w:t xml:space="preserve">发生第 </w:t>
      </w:r>
      <w:r>
        <w:rPr>
          <w:rFonts w:ascii="Times New Roman" w:eastAsia="Times New Roman"/>
          <w:sz w:val="21"/>
        </w:rPr>
        <w:t>22.2.1</w:t>
      </w:r>
      <w:r>
        <w:rPr>
          <w:sz w:val="21"/>
        </w:rPr>
        <w:t>（</w:t>
      </w:r>
      <w:r>
        <w:rPr>
          <w:rFonts w:ascii="Times New Roman" w:eastAsia="Times New Roman"/>
          <w:sz w:val="21"/>
        </w:rPr>
        <w:t>4</w:t>
      </w:r>
      <w:r>
        <w:rPr>
          <w:sz w:val="21"/>
        </w:rPr>
        <w:t>）</w:t>
      </w:r>
      <w:r>
        <w:rPr>
          <w:spacing w:val="-3"/>
          <w:sz w:val="21"/>
        </w:rPr>
        <w:t>目的违约情况时，承包人可书面通知发包人解除合同。</w:t>
      </w:r>
    </w:p>
    <w:p>
      <w:pPr>
        <w:pStyle w:val="10"/>
        <w:spacing w:before="6"/>
        <w:rPr>
          <w:sz w:val="15"/>
        </w:rPr>
      </w:pPr>
    </w:p>
    <w:p>
      <w:pPr>
        <w:tabs>
          <w:tab w:val="left" w:pos="1265"/>
        </w:tabs>
        <w:spacing w:line="269" w:lineRule="exact"/>
        <w:ind w:firstLine="399" w:firstLineChars="196"/>
        <w:jc w:val="both"/>
        <w:rPr>
          <w:rFonts w:ascii="Times New Roman" w:eastAsia="Times New Roman"/>
          <w:sz w:val="21"/>
        </w:rPr>
      </w:pPr>
      <w:r>
        <w:rPr>
          <w:rFonts w:hint="eastAsia"/>
          <w:spacing w:val="-3"/>
          <w:sz w:val="21"/>
        </w:rPr>
        <w:t xml:space="preserve">22.2.3 </w:t>
      </w:r>
      <w:r>
        <w:rPr>
          <w:spacing w:val="-3"/>
          <w:sz w:val="21"/>
        </w:rPr>
        <w:t>解除合同后的付款</w:t>
      </w:r>
    </w:p>
    <w:p>
      <w:pPr>
        <w:pStyle w:val="10"/>
        <w:spacing w:before="8"/>
        <w:rPr>
          <w:sz w:val="15"/>
        </w:rPr>
      </w:pPr>
    </w:p>
    <w:p>
      <w:pPr>
        <w:pStyle w:val="10"/>
        <w:spacing w:line="417" w:lineRule="auto"/>
        <w:ind w:left="212" w:right="502" w:firstLine="420"/>
      </w:pPr>
      <w:r>
        <w:t>因发包人违约解除合同的，发包人应在解除合同后 28 天内向承包人支付下列款项，承包人应在此期限内及时向发包人提交要求支付下列金额的有关资料和凭证：</w:t>
      </w:r>
    </w:p>
    <w:p>
      <w:pPr>
        <w:pStyle w:val="35"/>
        <w:numPr>
          <w:ilvl w:val="0"/>
          <w:numId w:val="67"/>
        </w:numPr>
        <w:tabs>
          <w:tab w:val="left" w:pos="1163"/>
        </w:tabs>
        <w:spacing w:line="269" w:lineRule="exact"/>
        <w:ind w:hanging="530"/>
        <w:rPr>
          <w:sz w:val="21"/>
        </w:rPr>
      </w:pPr>
      <w:r>
        <w:rPr>
          <w:spacing w:val="-3"/>
          <w:sz w:val="21"/>
        </w:rPr>
        <w:t>承包人发出解除合同通知前所完成工作的价款；</w:t>
      </w:r>
    </w:p>
    <w:p>
      <w:pPr>
        <w:pStyle w:val="10"/>
        <w:spacing w:before="6"/>
        <w:rPr>
          <w:sz w:val="15"/>
        </w:rPr>
      </w:pPr>
    </w:p>
    <w:p>
      <w:pPr>
        <w:pStyle w:val="35"/>
        <w:numPr>
          <w:ilvl w:val="0"/>
          <w:numId w:val="67"/>
        </w:numPr>
        <w:tabs>
          <w:tab w:val="left" w:pos="1165"/>
        </w:tabs>
        <w:spacing w:before="1" w:line="417" w:lineRule="auto"/>
        <w:ind w:left="212" w:right="556" w:firstLine="420"/>
        <w:rPr>
          <w:sz w:val="21"/>
        </w:rPr>
      </w:pPr>
      <w:r>
        <w:rPr>
          <w:spacing w:val="-1"/>
          <w:sz w:val="21"/>
        </w:rPr>
        <w:t>承包人为该工程施工订购并已付款的材料、工程设备和其他物品的金额。发包人付款后，该材</w:t>
      </w:r>
      <w:r>
        <w:rPr>
          <w:spacing w:val="-3"/>
          <w:sz w:val="21"/>
        </w:rPr>
        <w:t>料、工程设备和其他物品归发包人所有；</w:t>
      </w:r>
    </w:p>
    <w:p>
      <w:pPr>
        <w:pStyle w:val="35"/>
        <w:numPr>
          <w:ilvl w:val="0"/>
          <w:numId w:val="67"/>
        </w:numPr>
        <w:tabs>
          <w:tab w:val="left" w:pos="1163"/>
        </w:tabs>
        <w:spacing w:line="269" w:lineRule="exact"/>
        <w:ind w:hanging="530"/>
        <w:rPr>
          <w:sz w:val="21"/>
        </w:rPr>
      </w:pPr>
      <w:r>
        <w:rPr>
          <w:spacing w:val="-3"/>
          <w:sz w:val="21"/>
        </w:rPr>
        <w:t>承包人为完成工程所发生的，而发包人未支付的金额；</w:t>
      </w:r>
    </w:p>
    <w:p>
      <w:pPr>
        <w:pStyle w:val="10"/>
        <w:spacing w:before="6"/>
        <w:rPr>
          <w:sz w:val="15"/>
        </w:rPr>
      </w:pPr>
    </w:p>
    <w:p>
      <w:pPr>
        <w:pStyle w:val="35"/>
        <w:numPr>
          <w:ilvl w:val="0"/>
          <w:numId w:val="67"/>
        </w:numPr>
        <w:tabs>
          <w:tab w:val="left" w:pos="1163"/>
        </w:tabs>
        <w:ind w:hanging="530"/>
        <w:rPr>
          <w:sz w:val="21"/>
        </w:rPr>
      </w:pPr>
      <w:r>
        <w:rPr>
          <w:spacing w:val="-3"/>
          <w:sz w:val="21"/>
        </w:rPr>
        <w:t>承包人撤离施工场地以及遣散承包人人员的金额；</w:t>
      </w:r>
    </w:p>
    <w:p>
      <w:pPr>
        <w:pStyle w:val="10"/>
        <w:spacing w:before="7"/>
        <w:rPr>
          <w:sz w:val="15"/>
        </w:rPr>
      </w:pPr>
    </w:p>
    <w:p>
      <w:pPr>
        <w:pStyle w:val="35"/>
        <w:numPr>
          <w:ilvl w:val="0"/>
          <w:numId w:val="67"/>
        </w:numPr>
        <w:tabs>
          <w:tab w:val="left" w:pos="1163"/>
        </w:tabs>
        <w:ind w:hanging="530"/>
        <w:rPr>
          <w:sz w:val="21"/>
        </w:rPr>
      </w:pPr>
      <w:r>
        <w:rPr>
          <w:spacing w:val="-3"/>
          <w:sz w:val="21"/>
        </w:rPr>
        <w:t>因解除合同造成的承包人损失；</w:t>
      </w:r>
    </w:p>
    <w:p>
      <w:pPr>
        <w:pStyle w:val="10"/>
        <w:spacing w:before="7"/>
        <w:rPr>
          <w:sz w:val="15"/>
        </w:rPr>
      </w:pPr>
    </w:p>
    <w:p>
      <w:pPr>
        <w:pStyle w:val="35"/>
        <w:numPr>
          <w:ilvl w:val="0"/>
          <w:numId w:val="67"/>
        </w:numPr>
        <w:tabs>
          <w:tab w:val="left" w:pos="1163"/>
        </w:tabs>
        <w:ind w:hanging="530"/>
        <w:rPr>
          <w:sz w:val="21"/>
        </w:rPr>
      </w:pPr>
      <w:r>
        <w:rPr>
          <w:spacing w:val="-3"/>
          <w:sz w:val="21"/>
        </w:rPr>
        <w:t>按合同约定在承包人发出解除合同通知前应支付给承包人的其他金额。</w:t>
      </w:r>
    </w:p>
    <w:p>
      <w:pPr>
        <w:pStyle w:val="10"/>
        <w:spacing w:before="7"/>
        <w:rPr>
          <w:sz w:val="15"/>
        </w:rPr>
      </w:pPr>
    </w:p>
    <w:p>
      <w:pPr>
        <w:pStyle w:val="10"/>
        <w:spacing w:line="417" w:lineRule="auto"/>
        <w:ind w:left="212" w:right="522" w:firstLine="420"/>
      </w:pPr>
      <w:r>
        <w:t>发包人应按本项约定支付上述金额并退还质量保证金和履约担保，但有权要求承包人支付应偿还给发包人的各项金额。</w:t>
      </w:r>
    </w:p>
    <w:p>
      <w:pPr>
        <w:tabs>
          <w:tab w:val="left" w:pos="1265"/>
        </w:tabs>
        <w:spacing w:line="269" w:lineRule="exact"/>
        <w:ind w:firstLine="399" w:firstLineChars="196"/>
        <w:rPr>
          <w:rFonts w:ascii="Times New Roman" w:eastAsia="Times New Roman"/>
          <w:sz w:val="21"/>
        </w:rPr>
      </w:pPr>
      <w:r>
        <w:rPr>
          <w:rFonts w:hint="eastAsia"/>
          <w:spacing w:val="-3"/>
          <w:sz w:val="21"/>
        </w:rPr>
        <w:t xml:space="preserve">22.2.4 </w:t>
      </w:r>
      <w:r>
        <w:rPr>
          <w:spacing w:val="-3"/>
          <w:sz w:val="21"/>
        </w:rPr>
        <w:t>解除合同后的承包人撤离</w:t>
      </w:r>
    </w:p>
    <w:p>
      <w:pPr>
        <w:pStyle w:val="10"/>
        <w:spacing w:before="7"/>
        <w:rPr>
          <w:sz w:val="15"/>
        </w:rPr>
      </w:pPr>
    </w:p>
    <w:p>
      <w:pPr>
        <w:pStyle w:val="10"/>
        <w:spacing w:line="417" w:lineRule="auto"/>
        <w:ind w:left="212" w:right="440" w:firstLine="420"/>
      </w:pPr>
      <w:r>
        <w:rPr>
          <w:spacing w:val="-10"/>
        </w:rPr>
        <w:t xml:space="preserve">因发包人违约而解除合同后，承包人应妥善处理正在施工的工程和已购材料、设备的保护和移交工作， </w:t>
      </w:r>
      <w:r>
        <w:rPr>
          <w:spacing w:val="-8"/>
        </w:rPr>
        <w:t xml:space="preserve">并按发包人的要求将承包人设备和人员撤出施工场地。承包人撤出施工场地应遵守第 </w:t>
      </w:r>
      <w:r>
        <w:rPr>
          <w:rFonts w:ascii="Times New Roman" w:eastAsia="Times New Roman"/>
        </w:rPr>
        <w:t xml:space="preserve">18.7.1 </w:t>
      </w:r>
      <w:r>
        <w:rPr>
          <w:spacing w:val="-10"/>
        </w:rPr>
        <w:t>项的约定，发</w:t>
      </w:r>
      <w:r>
        <w:rPr>
          <w:spacing w:val="-5"/>
        </w:rPr>
        <w:t>包人应为承包人撤出提供必要条件并办理移交手续。</w:t>
      </w:r>
    </w:p>
    <w:p>
      <w:pPr>
        <w:pStyle w:val="10"/>
        <w:rPr>
          <w:sz w:val="23"/>
        </w:rPr>
      </w:pPr>
    </w:p>
    <w:p>
      <w:pPr>
        <w:ind w:firstLine="432" w:firstLineChars="200"/>
        <w:rPr>
          <w:rFonts w:ascii="Times New Roman" w:eastAsia="Times New Roman"/>
        </w:rPr>
      </w:pPr>
      <w:bookmarkStart w:id="302" w:name="_bookmark230"/>
      <w:bookmarkEnd w:id="302"/>
      <w:r>
        <w:rPr>
          <w:rFonts w:hint="eastAsia"/>
          <w:spacing w:val="-2"/>
        </w:rPr>
        <w:t xml:space="preserve">22.3 </w:t>
      </w:r>
      <w:r>
        <w:rPr>
          <w:spacing w:val="-2"/>
        </w:rPr>
        <w:t>第三人造成的违约</w:t>
      </w:r>
    </w:p>
    <w:p>
      <w:pPr>
        <w:pStyle w:val="10"/>
        <w:spacing w:before="2"/>
        <w:rPr>
          <w:rFonts w:ascii="黑体"/>
          <w:sz w:val="38"/>
        </w:rPr>
      </w:pPr>
    </w:p>
    <w:p>
      <w:pPr>
        <w:pStyle w:val="10"/>
        <w:spacing w:line="417" w:lineRule="auto"/>
        <w:ind w:left="212" w:right="546" w:firstLine="420"/>
        <w:rPr>
          <w:spacing w:val="-4"/>
        </w:rPr>
      </w:pPr>
      <w:r>
        <w:rPr>
          <w:spacing w:val="-6"/>
        </w:rPr>
        <w:t>在履行合同过程中，一方当事人因第三人的原因造成违约的，应当向对方当事人承担违约责任。一方</w:t>
      </w:r>
      <w:r>
        <w:rPr>
          <w:spacing w:val="-4"/>
        </w:rPr>
        <w:t>当事人和第三人之间的纠纷，依照法律规定或者按照约定解决。</w:t>
      </w:r>
      <w:bookmarkStart w:id="303" w:name="_bookmark231"/>
      <w:bookmarkEnd w:id="303"/>
    </w:p>
    <w:p>
      <w:pPr>
        <w:pStyle w:val="10"/>
        <w:spacing w:line="417" w:lineRule="auto"/>
        <w:ind w:left="212" w:right="546" w:firstLine="420"/>
        <w:rPr>
          <w:spacing w:val="-4"/>
        </w:rPr>
      </w:pPr>
    </w:p>
    <w:p>
      <w:pPr>
        <w:pStyle w:val="10"/>
        <w:spacing w:line="417" w:lineRule="auto"/>
        <w:ind w:left="212" w:right="546" w:firstLine="420"/>
      </w:pPr>
      <w:r>
        <w:rPr>
          <w:rFonts w:hint="eastAsia"/>
        </w:rPr>
        <w:t xml:space="preserve">23 </w:t>
      </w:r>
      <w:r>
        <w:t>索赔</w:t>
      </w:r>
    </w:p>
    <w:p>
      <w:pPr>
        <w:pStyle w:val="10"/>
        <w:spacing w:before="5"/>
        <w:rPr>
          <w:rFonts w:ascii="黑体"/>
          <w:b/>
          <w:sz w:val="39"/>
        </w:rPr>
      </w:pPr>
    </w:p>
    <w:p>
      <w:pPr>
        <w:ind w:firstLine="432" w:firstLineChars="200"/>
        <w:rPr>
          <w:rFonts w:ascii="Times New Roman" w:eastAsia="Times New Roman"/>
        </w:rPr>
      </w:pPr>
      <w:bookmarkStart w:id="304" w:name="_bookmark232"/>
      <w:bookmarkEnd w:id="304"/>
      <w:r>
        <w:rPr>
          <w:rFonts w:hint="eastAsia"/>
          <w:spacing w:val="-2"/>
        </w:rPr>
        <w:t xml:space="preserve">23.1 </w:t>
      </w:r>
      <w:r>
        <w:rPr>
          <w:spacing w:val="-2"/>
        </w:rPr>
        <w:t>承包人索赔的提出</w:t>
      </w:r>
    </w:p>
    <w:p>
      <w:pPr>
        <w:pStyle w:val="10"/>
        <w:spacing w:before="2"/>
        <w:rPr>
          <w:rFonts w:ascii="黑体"/>
          <w:sz w:val="38"/>
        </w:rPr>
      </w:pPr>
    </w:p>
    <w:p>
      <w:pPr>
        <w:pStyle w:val="10"/>
        <w:ind w:left="633"/>
      </w:pPr>
      <w:r>
        <w:t>根据合同约定，承包人认为有权得到追加付款和（或）延长工期的，应按以下程序向发包人提出索赔：</w:t>
      </w:r>
    </w:p>
    <w:p>
      <w:pPr>
        <w:pStyle w:val="10"/>
        <w:spacing w:before="6"/>
        <w:rPr>
          <w:sz w:val="15"/>
        </w:rPr>
      </w:pPr>
    </w:p>
    <w:p>
      <w:pPr>
        <w:pStyle w:val="35"/>
        <w:numPr>
          <w:ilvl w:val="0"/>
          <w:numId w:val="68"/>
        </w:numPr>
        <w:tabs>
          <w:tab w:val="left" w:pos="1160"/>
        </w:tabs>
        <w:spacing w:before="1"/>
        <w:rPr>
          <w:sz w:val="21"/>
        </w:rPr>
      </w:pPr>
      <w:r>
        <w:rPr>
          <w:spacing w:val="-6"/>
          <w:sz w:val="21"/>
        </w:rPr>
        <w:t xml:space="preserve">承包人应在知道或应当知道索赔事件发生后 </w:t>
      </w:r>
      <w:r>
        <w:rPr>
          <w:rFonts w:ascii="Times New Roman" w:eastAsia="Times New Roman"/>
          <w:sz w:val="21"/>
        </w:rPr>
        <w:t>28</w:t>
      </w:r>
      <w:r>
        <w:rPr>
          <w:rFonts w:ascii="Times New Roman" w:eastAsia="Times New Roman"/>
          <w:spacing w:val="5"/>
          <w:sz w:val="21"/>
        </w:rPr>
        <w:t xml:space="preserve"> </w:t>
      </w:r>
      <w:r>
        <w:rPr>
          <w:spacing w:val="-9"/>
          <w:sz w:val="21"/>
        </w:rPr>
        <w:t>天内，向监理人递交索赔意向通知书，并说明发</w:t>
      </w:r>
    </w:p>
    <w:p>
      <w:pPr>
        <w:pStyle w:val="10"/>
        <w:spacing w:before="6"/>
        <w:rPr>
          <w:sz w:val="15"/>
        </w:rPr>
      </w:pPr>
    </w:p>
    <w:p>
      <w:pPr>
        <w:pStyle w:val="10"/>
        <w:spacing w:line="417" w:lineRule="auto"/>
        <w:ind w:left="212" w:right="546"/>
      </w:pPr>
      <w:r>
        <w:t xml:space="preserve">生索赔事件的事由。承包人未在前述 </w:t>
      </w:r>
      <w:r>
        <w:rPr>
          <w:rFonts w:ascii="Times New Roman" w:eastAsia="Times New Roman"/>
        </w:rPr>
        <w:t xml:space="preserve">28 </w:t>
      </w:r>
      <w:r>
        <w:t>天内发出索赔意向通知书的，工期不予顺延，且承包人无权获得追加付款；</w:t>
      </w:r>
    </w:p>
    <w:p>
      <w:pPr>
        <w:pStyle w:val="35"/>
        <w:numPr>
          <w:ilvl w:val="0"/>
          <w:numId w:val="68"/>
        </w:numPr>
        <w:tabs>
          <w:tab w:val="left" w:pos="1163"/>
        </w:tabs>
        <w:spacing w:line="417" w:lineRule="auto"/>
        <w:ind w:left="212" w:right="548" w:firstLine="420"/>
        <w:rPr>
          <w:sz w:val="21"/>
        </w:rPr>
      </w:pPr>
      <w:r>
        <w:rPr>
          <w:spacing w:val="-5"/>
          <w:sz w:val="21"/>
        </w:rPr>
        <w:t xml:space="preserve">承包人应在发出索赔意向通知书后 </w:t>
      </w:r>
      <w:r>
        <w:rPr>
          <w:rFonts w:ascii="Times New Roman" w:eastAsia="Times New Roman"/>
          <w:sz w:val="21"/>
        </w:rPr>
        <w:t>28</w:t>
      </w:r>
      <w:r>
        <w:rPr>
          <w:rFonts w:ascii="Times New Roman" w:eastAsia="Times New Roman"/>
          <w:spacing w:val="22"/>
          <w:sz w:val="21"/>
        </w:rPr>
        <w:t xml:space="preserve"> </w:t>
      </w:r>
      <w:r>
        <w:rPr>
          <w:spacing w:val="-5"/>
          <w:sz w:val="21"/>
        </w:rPr>
        <w:t>天内，向监理人正式递交索赔通知书。索赔通知书应详细</w:t>
      </w:r>
      <w:r>
        <w:rPr>
          <w:spacing w:val="-4"/>
          <w:sz w:val="21"/>
        </w:rPr>
        <w:t>说明索赔理由以及要求追加的付款金额和</w:t>
      </w:r>
      <w:r>
        <w:rPr>
          <w:sz w:val="21"/>
        </w:rPr>
        <w:t>（</w:t>
      </w:r>
      <w:r>
        <w:rPr>
          <w:spacing w:val="-3"/>
          <w:sz w:val="21"/>
        </w:rPr>
        <w:t>或</w:t>
      </w:r>
      <w:r>
        <w:rPr>
          <w:sz w:val="21"/>
        </w:rPr>
        <w:t>）</w:t>
      </w:r>
      <w:r>
        <w:rPr>
          <w:spacing w:val="-3"/>
          <w:sz w:val="21"/>
        </w:rPr>
        <w:t>延长的工期，并附必要的记录和证明材料；</w:t>
      </w:r>
    </w:p>
    <w:p>
      <w:pPr>
        <w:pStyle w:val="35"/>
        <w:numPr>
          <w:ilvl w:val="0"/>
          <w:numId w:val="68"/>
        </w:numPr>
        <w:tabs>
          <w:tab w:val="left" w:pos="1165"/>
        </w:tabs>
        <w:spacing w:line="417" w:lineRule="auto"/>
        <w:ind w:left="212" w:right="552" w:firstLine="420"/>
        <w:rPr>
          <w:sz w:val="21"/>
        </w:rPr>
      </w:pPr>
      <w:r>
        <w:rPr>
          <w:spacing w:val="-1"/>
          <w:sz w:val="21"/>
        </w:rPr>
        <w:t>索赔事件具有连续影响的，承包人应按合理时间间隔继续递交延续索赔通知，说明连续影响的</w:t>
      </w:r>
      <w:r>
        <w:rPr>
          <w:spacing w:val="-3"/>
          <w:sz w:val="21"/>
        </w:rPr>
        <w:t>实际情况和记录，列出累计的追加付款金额和</w:t>
      </w:r>
      <w:r>
        <w:rPr>
          <w:sz w:val="21"/>
        </w:rPr>
        <w:t>（</w:t>
      </w:r>
      <w:r>
        <w:rPr>
          <w:spacing w:val="-3"/>
          <w:sz w:val="21"/>
        </w:rPr>
        <w:t>或</w:t>
      </w:r>
      <w:r>
        <w:rPr>
          <w:sz w:val="21"/>
        </w:rPr>
        <w:t>）</w:t>
      </w:r>
      <w:r>
        <w:rPr>
          <w:spacing w:val="-3"/>
          <w:sz w:val="21"/>
        </w:rPr>
        <w:t>工期延长天数；</w:t>
      </w:r>
    </w:p>
    <w:p>
      <w:pPr>
        <w:pStyle w:val="35"/>
        <w:numPr>
          <w:ilvl w:val="0"/>
          <w:numId w:val="68"/>
        </w:numPr>
        <w:tabs>
          <w:tab w:val="left" w:pos="1160"/>
        </w:tabs>
        <w:spacing w:line="417" w:lineRule="auto"/>
        <w:ind w:left="212" w:right="546" w:firstLine="420"/>
        <w:rPr>
          <w:sz w:val="21"/>
        </w:rPr>
      </w:pPr>
      <w:r>
        <w:rPr>
          <w:spacing w:val="-6"/>
          <w:sz w:val="21"/>
        </w:rPr>
        <w:t xml:space="preserve">在索赔事件影响结束后的 </w:t>
      </w:r>
      <w:r>
        <w:rPr>
          <w:sz w:val="21"/>
        </w:rPr>
        <w:t>28</w:t>
      </w:r>
      <w:r>
        <w:rPr>
          <w:spacing w:val="-5"/>
          <w:sz w:val="21"/>
        </w:rPr>
        <w:t xml:space="preserve"> 天内，承包人应向监理人递交最终索赔通知书，说明最终要求索</w:t>
      </w:r>
      <w:r>
        <w:rPr>
          <w:spacing w:val="-4"/>
          <w:sz w:val="21"/>
        </w:rPr>
        <w:t>赔的追加付款金额和延长的工期，并附必要的记录和证明材料。</w:t>
      </w:r>
    </w:p>
    <w:p>
      <w:pPr>
        <w:pStyle w:val="10"/>
        <w:spacing w:before="12"/>
        <w:rPr>
          <w:sz w:val="22"/>
        </w:rPr>
      </w:pPr>
    </w:p>
    <w:p>
      <w:pPr>
        <w:ind w:firstLine="432" w:firstLineChars="200"/>
        <w:rPr>
          <w:rFonts w:ascii="Times New Roman" w:eastAsia="Times New Roman"/>
        </w:rPr>
      </w:pPr>
      <w:bookmarkStart w:id="305" w:name="_bookmark233"/>
      <w:bookmarkEnd w:id="305"/>
      <w:r>
        <w:rPr>
          <w:rFonts w:hint="eastAsia"/>
          <w:spacing w:val="-2"/>
        </w:rPr>
        <w:t xml:space="preserve">23.2 </w:t>
      </w:r>
      <w:r>
        <w:rPr>
          <w:spacing w:val="-2"/>
        </w:rPr>
        <w:t>承包人索赔处理程序</w:t>
      </w:r>
    </w:p>
    <w:p>
      <w:pPr>
        <w:pStyle w:val="10"/>
        <w:spacing w:before="5"/>
        <w:rPr>
          <w:rFonts w:ascii="黑体"/>
          <w:sz w:val="38"/>
        </w:rPr>
      </w:pPr>
    </w:p>
    <w:p>
      <w:pPr>
        <w:pStyle w:val="35"/>
        <w:numPr>
          <w:ilvl w:val="0"/>
          <w:numId w:val="69"/>
        </w:numPr>
        <w:tabs>
          <w:tab w:val="left" w:pos="1165"/>
        </w:tabs>
        <w:spacing w:line="417" w:lineRule="auto"/>
        <w:ind w:right="556" w:firstLine="420"/>
        <w:rPr>
          <w:sz w:val="21"/>
        </w:rPr>
      </w:pPr>
      <w:r>
        <w:rPr>
          <w:spacing w:val="-1"/>
          <w:sz w:val="21"/>
        </w:rPr>
        <w:t>监理人收到承包人提交的索赔通知书后，应及时审查索赔通知书的内容、查验承包人的记录和</w:t>
      </w:r>
      <w:r>
        <w:rPr>
          <w:spacing w:val="-3"/>
          <w:sz w:val="21"/>
        </w:rPr>
        <w:t>证明材料，必要时监理人可要求承包人提交全部原始记录副本。</w:t>
      </w:r>
    </w:p>
    <w:p>
      <w:pPr>
        <w:pStyle w:val="35"/>
        <w:numPr>
          <w:ilvl w:val="0"/>
          <w:numId w:val="69"/>
        </w:numPr>
        <w:tabs>
          <w:tab w:val="left" w:pos="1163"/>
        </w:tabs>
        <w:ind w:left="1162" w:hanging="530"/>
        <w:rPr>
          <w:sz w:val="21"/>
        </w:rPr>
      </w:pPr>
      <w:r>
        <w:rPr>
          <w:sz w:val="21"/>
        </w:rPr>
        <w:t xml:space="preserve">监理人应按第 </w:t>
      </w:r>
      <w:r>
        <w:rPr>
          <w:rFonts w:ascii="Times New Roman" w:eastAsia="Times New Roman"/>
          <w:sz w:val="21"/>
        </w:rPr>
        <w:t>3.5</w:t>
      </w:r>
      <w:r>
        <w:rPr>
          <w:rFonts w:ascii="Times New Roman" w:eastAsia="Times New Roman"/>
          <w:spacing w:val="5"/>
          <w:sz w:val="21"/>
        </w:rPr>
        <w:t xml:space="preserve"> </w:t>
      </w:r>
      <w:r>
        <w:rPr>
          <w:spacing w:val="-2"/>
          <w:sz w:val="21"/>
        </w:rPr>
        <w:t>款商定或确定追加的付款和</w:t>
      </w:r>
      <w:r>
        <w:rPr>
          <w:sz w:val="21"/>
        </w:rPr>
        <w:t>（或）</w:t>
      </w:r>
      <w:r>
        <w:rPr>
          <w:spacing w:val="-3"/>
          <w:sz w:val="21"/>
        </w:rPr>
        <w:t>延长的工期，并在收到上述索赔通知书或</w:t>
      </w:r>
    </w:p>
    <w:p>
      <w:pPr>
        <w:pStyle w:val="10"/>
        <w:spacing w:before="6"/>
        <w:rPr>
          <w:sz w:val="15"/>
        </w:rPr>
      </w:pPr>
    </w:p>
    <w:p>
      <w:pPr>
        <w:pStyle w:val="10"/>
        <w:spacing w:before="1"/>
        <w:ind w:left="212"/>
      </w:pPr>
      <w:r>
        <w:t xml:space="preserve">有关索赔的进一步证明材料后的 </w:t>
      </w:r>
      <w:r>
        <w:rPr>
          <w:rFonts w:ascii="Times New Roman" w:eastAsia="Times New Roman"/>
        </w:rPr>
        <w:t xml:space="preserve">42 </w:t>
      </w:r>
      <w:r>
        <w:t>天内，将索赔处理结果答复承包人。监理人应当在收到索赔通知书或</w:t>
      </w:r>
    </w:p>
    <w:p>
      <w:pPr>
        <w:pStyle w:val="10"/>
        <w:spacing w:before="6"/>
        <w:rPr>
          <w:sz w:val="15"/>
        </w:rPr>
      </w:pPr>
    </w:p>
    <w:p>
      <w:pPr>
        <w:pStyle w:val="10"/>
        <w:ind w:left="212"/>
      </w:pPr>
      <w:r>
        <w:t xml:space="preserve">有关索赔的进一步证明材料后的 </w:t>
      </w:r>
      <w:r>
        <w:rPr>
          <w:rFonts w:ascii="Times New Roman" w:eastAsia="Times New Roman"/>
        </w:rPr>
        <w:t xml:space="preserve">42 </w:t>
      </w:r>
      <w:r>
        <w:t>天内不予答复的，视为认可索赔。</w:t>
      </w:r>
    </w:p>
    <w:p>
      <w:pPr>
        <w:pStyle w:val="10"/>
        <w:spacing w:before="7"/>
        <w:rPr>
          <w:sz w:val="15"/>
        </w:rPr>
      </w:pPr>
    </w:p>
    <w:p>
      <w:pPr>
        <w:pStyle w:val="35"/>
        <w:numPr>
          <w:ilvl w:val="0"/>
          <w:numId w:val="69"/>
        </w:numPr>
        <w:tabs>
          <w:tab w:val="left" w:pos="1160"/>
        </w:tabs>
        <w:ind w:left="1159" w:hanging="527"/>
        <w:rPr>
          <w:sz w:val="21"/>
        </w:rPr>
      </w:pPr>
      <w:r>
        <w:rPr>
          <w:spacing w:val="-7"/>
          <w:sz w:val="21"/>
        </w:rPr>
        <w:t xml:space="preserve">承包人接受索赔处理结果的，发包人应在作出索赔处理结果答复后 </w:t>
      </w:r>
      <w:r>
        <w:rPr>
          <w:sz w:val="21"/>
        </w:rPr>
        <w:t>28</w:t>
      </w:r>
      <w:r>
        <w:rPr>
          <w:spacing w:val="-5"/>
          <w:sz w:val="21"/>
        </w:rPr>
        <w:t xml:space="preserve"> 天内完成赔付。承包人不</w:t>
      </w:r>
    </w:p>
    <w:p>
      <w:pPr>
        <w:pStyle w:val="10"/>
        <w:spacing w:before="7"/>
        <w:rPr>
          <w:sz w:val="15"/>
        </w:rPr>
      </w:pPr>
    </w:p>
    <w:p>
      <w:pPr>
        <w:pStyle w:val="10"/>
        <w:ind w:left="212"/>
      </w:pPr>
      <w:r>
        <w:t>接受索赔处理结果的，按第 24 条的约定执行。</w:t>
      </w:r>
    </w:p>
    <w:p>
      <w:pPr>
        <w:pStyle w:val="10"/>
        <w:rPr>
          <w:sz w:val="20"/>
        </w:rPr>
      </w:pPr>
    </w:p>
    <w:p>
      <w:pPr>
        <w:pStyle w:val="10"/>
        <w:spacing w:before="7"/>
        <w:rPr>
          <w:sz w:val="18"/>
        </w:rPr>
      </w:pPr>
    </w:p>
    <w:p>
      <w:pPr>
        <w:pStyle w:val="35"/>
        <w:numPr>
          <w:ilvl w:val="1"/>
          <w:numId w:val="70"/>
        </w:numPr>
        <w:rPr>
          <w:rFonts w:ascii="Times New Roman" w:eastAsia="Times New Roman"/>
        </w:rPr>
      </w:pPr>
      <w:bookmarkStart w:id="306" w:name="_bookmark234"/>
      <w:bookmarkEnd w:id="306"/>
      <w:r>
        <w:rPr>
          <w:spacing w:val="-2"/>
        </w:rPr>
        <w:t>承包人提出索赔的期限</w:t>
      </w:r>
    </w:p>
    <w:p>
      <w:pPr>
        <w:pStyle w:val="10"/>
        <w:spacing w:before="5"/>
        <w:rPr>
          <w:rFonts w:ascii="黑体"/>
          <w:sz w:val="38"/>
        </w:rPr>
      </w:pPr>
    </w:p>
    <w:p>
      <w:pPr>
        <w:tabs>
          <w:tab w:val="left" w:pos="1267"/>
        </w:tabs>
        <w:spacing w:line="417" w:lineRule="auto"/>
        <w:ind w:right="550" w:firstLine="311" w:firstLineChars="147"/>
        <w:rPr>
          <w:rFonts w:ascii="Times New Roman" w:eastAsia="Times New Roman"/>
          <w:sz w:val="21"/>
        </w:rPr>
      </w:pPr>
      <w:r>
        <w:rPr>
          <w:rFonts w:hint="eastAsia"/>
          <w:spacing w:val="1"/>
          <w:sz w:val="21"/>
        </w:rPr>
        <w:t xml:space="preserve">23.3.1 </w:t>
      </w:r>
      <w:r>
        <w:rPr>
          <w:spacing w:val="1"/>
          <w:sz w:val="21"/>
        </w:rPr>
        <w:t xml:space="preserve">承包人按第 </w:t>
      </w:r>
      <w:r>
        <w:rPr>
          <w:rFonts w:ascii="Times New Roman" w:eastAsia="Times New Roman"/>
          <w:sz w:val="21"/>
        </w:rPr>
        <w:t>17.5</w:t>
      </w:r>
      <w:r>
        <w:rPr>
          <w:rFonts w:ascii="Times New Roman" w:eastAsia="Times New Roman"/>
          <w:spacing w:val="19"/>
          <w:sz w:val="21"/>
        </w:rPr>
        <w:t xml:space="preserve"> </w:t>
      </w:r>
      <w:r>
        <w:rPr>
          <w:spacing w:val="-3"/>
          <w:sz w:val="21"/>
        </w:rPr>
        <w:t>款的约定接受了竣工付款证书后，应被认为已无权再提出在合同工程接收证书颁发前所发生的任何索赔。</w:t>
      </w:r>
    </w:p>
    <w:p>
      <w:pPr>
        <w:tabs>
          <w:tab w:val="left" w:pos="1267"/>
        </w:tabs>
        <w:spacing w:line="417" w:lineRule="auto"/>
        <w:ind w:right="549" w:firstLine="207" w:firstLineChars="98"/>
        <w:rPr>
          <w:rFonts w:ascii="Times New Roman" w:eastAsia="Times New Roman"/>
        </w:rPr>
      </w:pPr>
      <w:r>
        <w:rPr>
          <w:rFonts w:hint="eastAsia"/>
          <w:spacing w:val="1"/>
          <w:sz w:val="21"/>
        </w:rPr>
        <w:t xml:space="preserve">23.3.2 </w:t>
      </w:r>
      <w:r>
        <w:rPr>
          <w:spacing w:val="1"/>
          <w:sz w:val="21"/>
        </w:rPr>
        <w:t xml:space="preserve">承包人按第 </w:t>
      </w:r>
      <w:r>
        <w:rPr>
          <w:rFonts w:ascii="Times New Roman" w:eastAsia="Times New Roman"/>
          <w:sz w:val="21"/>
        </w:rPr>
        <w:t>17.6</w:t>
      </w:r>
      <w:r>
        <w:rPr>
          <w:rFonts w:ascii="Times New Roman" w:eastAsia="Times New Roman"/>
          <w:spacing w:val="18"/>
          <w:sz w:val="21"/>
        </w:rPr>
        <w:t xml:space="preserve"> </w:t>
      </w:r>
      <w:r>
        <w:rPr>
          <w:spacing w:val="-3"/>
          <w:sz w:val="21"/>
        </w:rPr>
        <w:t>款的约定提交的最终结清申请单中，只限于提出工程接收证书颁发后发生的索赔。提出索赔的期限自接受最终结清证书时终止</w:t>
      </w:r>
      <w:r>
        <w:rPr>
          <w:rFonts w:hint="eastAsia"/>
          <w:spacing w:val="-3"/>
          <w:sz w:val="21"/>
        </w:rPr>
        <w:t>。</w:t>
      </w:r>
      <w:bookmarkStart w:id="307" w:name="_bookmark235"/>
      <w:bookmarkEnd w:id="307"/>
    </w:p>
    <w:p>
      <w:pPr>
        <w:pStyle w:val="35"/>
        <w:tabs>
          <w:tab w:val="left" w:pos="1267"/>
        </w:tabs>
        <w:spacing w:line="417" w:lineRule="auto"/>
        <w:ind w:left="632" w:right="549" w:firstLine="0"/>
        <w:rPr>
          <w:spacing w:val="-1"/>
        </w:rPr>
      </w:pPr>
    </w:p>
    <w:p>
      <w:pPr>
        <w:pStyle w:val="35"/>
        <w:tabs>
          <w:tab w:val="left" w:pos="1267"/>
        </w:tabs>
        <w:spacing w:line="417" w:lineRule="auto"/>
        <w:ind w:left="632" w:right="549" w:firstLine="0"/>
        <w:rPr>
          <w:rFonts w:ascii="Times New Roman" w:eastAsia="Times New Roman"/>
        </w:rPr>
      </w:pPr>
      <w:r>
        <w:rPr>
          <w:rFonts w:hint="eastAsia"/>
          <w:spacing w:val="-1"/>
        </w:rPr>
        <w:t xml:space="preserve">23.4 </w:t>
      </w:r>
      <w:r>
        <w:rPr>
          <w:spacing w:val="-1"/>
        </w:rPr>
        <w:t>发包人的索赔</w:t>
      </w:r>
    </w:p>
    <w:p>
      <w:pPr>
        <w:pStyle w:val="10"/>
        <w:spacing w:before="4"/>
        <w:rPr>
          <w:rFonts w:ascii="黑体"/>
          <w:sz w:val="38"/>
        </w:rPr>
      </w:pPr>
    </w:p>
    <w:p>
      <w:pPr>
        <w:tabs>
          <w:tab w:val="left" w:pos="1265"/>
        </w:tabs>
        <w:spacing w:line="417" w:lineRule="auto"/>
        <w:ind w:right="546" w:firstLine="199" w:firstLineChars="98"/>
        <w:jc w:val="both"/>
        <w:rPr>
          <w:rFonts w:ascii="Times New Roman" w:eastAsia="Times New Roman"/>
          <w:sz w:val="21"/>
        </w:rPr>
      </w:pPr>
      <w:r>
        <w:rPr>
          <w:rFonts w:hint="eastAsia"/>
          <w:spacing w:val="-3"/>
          <w:sz w:val="21"/>
        </w:rPr>
        <w:t xml:space="preserve">23.4.1 </w:t>
      </w:r>
      <w:r>
        <w:rPr>
          <w:spacing w:val="-3"/>
          <w:sz w:val="21"/>
        </w:rPr>
        <w:t xml:space="preserve">发包人应在知道或应当知道索赔事件发生后 </w:t>
      </w:r>
      <w:r>
        <w:rPr>
          <w:sz w:val="21"/>
        </w:rPr>
        <w:t>28</w:t>
      </w:r>
      <w:r>
        <w:rPr>
          <w:spacing w:val="-3"/>
          <w:sz w:val="21"/>
        </w:rPr>
        <w:t xml:space="preserve"> 天内，向承包人发出索赔通知，并说明发包人有权扣减的付款和（</w:t>
      </w:r>
      <w:r>
        <w:rPr>
          <w:sz w:val="21"/>
        </w:rPr>
        <w:t>或</w:t>
      </w:r>
      <w:r>
        <w:rPr>
          <w:spacing w:val="-3"/>
          <w:sz w:val="21"/>
        </w:rPr>
        <w:t xml:space="preserve">）延长缺陷责任期的细节和依据。发包人未在前述 </w:t>
      </w:r>
      <w:r>
        <w:rPr>
          <w:sz w:val="21"/>
        </w:rPr>
        <w:t>28</w:t>
      </w:r>
      <w:r>
        <w:rPr>
          <w:spacing w:val="-3"/>
          <w:sz w:val="21"/>
        </w:rPr>
        <w:t xml:space="preserve"> 天内发出索赔通知的，丧失要求扣减付款和</w:t>
      </w:r>
      <w:r>
        <w:rPr>
          <w:sz w:val="21"/>
        </w:rPr>
        <w:t>（或）</w:t>
      </w:r>
      <w:r>
        <w:rPr>
          <w:spacing w:val="-2"/>
          <w:sz w:val="21"/>
        </w:rPr>
        <w:t xml:space="preserve">延长缺陷责任期的权利。发包人提出索赔的期限和要求与第 </w:t>
      </w:r>
      <w:r>
        <w:rPr>
          <w:rFonts w:ascii="Times New Roman" w:eastAsia="Times New Roman"/>
          <w:sz w:val="21"/>
        </w:rPr>
        <w:t>23.3</w:t>
      </w:r>
      <w:r>
        <w:rPr>
          <w:rFonts w:ascii="Times New Roman" w:eastAsia="Times New Roman"/>
          <w:spacing w:val="23"/>
          <w:sz w:val="21"/>
        </w:rPr>
        <w:t xml:space="preserve"> </w:t>
      </w:r>
      <w:r>
        <w:rPr>
          <w:spacing w:val="-2"/>
          <w:sz w:val="21"/>
        </w:rPr>
        <w:t xml:space="preserve">款的约定相同， </w:t>
      </w:r>
      <w:r>
        <w:rPr>
          <w:spacing w:val="-3"/>
          <w:sz w:val="21"/>
        </w:rPr>
        <w:t>要求延长缺陷责任期的通知应在缺陷责任期届满前发出。</w:t>
      </w:r>
    </w:p>
    <w:p>
      <w:pPr>
        <w:tabs>
          <w:tab w:val="left" w:pos="1265"/>
        </w:tabs>
        <w:spacing w:line="417" w:lineRule="auto"/>
        <w:ind w:right="441" w:firstLine="190" w:firstLineChars="100"/>
        <w:rPr>
          <w:rFonts w:ascii="Times New Roman" w:eastAsia="Times New Roman"/>
          <w:sz w:val="21"/>
        </w:rPr>
      </w:pPr>
      <w:r>
        <w:rPr>
          <w:rFonts w:hint="eastAsia"/>
          <w:spacing w:val="-10"/>
          <w:sz w:val="21"/>
        </w:rPr>
        <w:t xml:space="preserve">23.4.2 </w:t>
      </w:r>
      <w:r>
        <w:rPr>
          <w:spacing w:val="-10"/>
          <w:sz w:val="21"/>
        </w:rPr>
        <w:t xml:space="preserve">发包人按第 </w:t>
      </w:r>
      <w:r>
        <w:rPr>
          <w:rFonts w:ascii="Times New Roman" w:eastAsia="Times New Roman"/>
          <w:sz w:val="21"/>
        </w:rPr>
        <w:t>3.5</w:t>
      </w:r>
      <w:r>
        <w:rPr>
          <w:rFonts w:ascii="Times New Roman" w:eastAsia="Times New Roman"/>
          <w:spacing w:val="28"/>
          <w:sz w:val="21"/>
        </w:rPr>
        <w:t xml:space="preserve"> </w:t>
      </w:r>
      <w:r>
        <w:rPr>
          <w:spacing w:val="-6"/>
          <w:sz w:val="21"/>
        </w:rPr>
        <w:t>款商定或确定发包人从承包人处得到赔付的金额和</w:t>
      </w:r>
      <w:r>
        <w:rPr>
          <w:spacing w:val="-3"/>
          <w:sz w:val="21"/>
        </w:rPr>
        <w:t>（</w:t>
      </w:r>
      <w:r>
        <w:rPr>
          <w:sz w:val="21"/>
        </w:rPr>
        <w:t>或</w:t>
      </w:r>
      <w:r>
        <w:rPr>
          <w:spacing w:val="-65"/>
          <w:sz w:val="21"/>
        </w:rPr>
        <w:t>）</w:t>
      </w:r>
      <w:r>
        <w:rPr>
          <w:spacing w:val="-3"/>
          <w:sz w:val="21"/>
        </w:rPr>
        <w:t>缺陷责任期的延长期。</w:t>
      </w:r>
      <w:r>
        <w:rPr>
          <w:sz w:val="21"/>
        </w:rPr>
        <w:t>承包人应付给发包人的金额可从拟支付给承包人的合同价款中扣除，或由承包人以其他方式支付给发包 人。</w:t>
      </w:r>
    </w:p>
    <w:p>
      <w:pPr>
        <w:pStyle w:val="10"/>
        <w:spacing w:before="10"/>
        <w:rPr>
          <w:sz w:val="20"/>
        </w:rPr>
      </w:pPr>
    </w:p>
    <w:p>
      <w:pPr>
        <w:pStyle w:val="4"/>
      </w:pPr>
      <w:bookmarkStart w:id="308" w:name="_bookmark236"/>
      <w:bookmarkEnd w:id="308"/>
      <w:bookmarkStart w:id="309" w:name="_Toc37926075"/>
      <w:r>
        <w:rPr>
          <w:rFonts w:hint="eastAsia"/>
        </w:rPr>
        <w:t xml:space="preserve">24 </w:t>
      </w:r>
      <w:r>
        <w:t>争议的解决</w:t>
      </w:r>
      <w:bookmarkEnd w:id="309"/>
    </w:p>
    <w:p>
      <w:pPr>
        <w:pStyle w:val="10"/>
        <w:spacing w:before="4"/>
        <w:rPr>
          <w:rFonts w:ascii="黑体"/>
          <w:b/>
          <w:sz w:val="39"/>
        </w:rPr>
      </w:pPr>
    </w:p>
    <w:p>
      <w:pPr>
        <w:ind w:firstLine="432" w:firstLineChars="200"/>
        <w:rPr>
          <w:rFonts w:ascii="Times New Roman" w:eastAsia="Times New Roman"/>
        </w:rPr>
      </w:pPr>
      <w:bookmarkStart w:id="310" w:name="_bookmark237"/>
      <w:bookmarkEnd w:id="310"/>
      <w:r>
        <w:rPr>
          <w:rFonts w:hint="eastAsia"/>
          <w:spacing w:val="-2"/>
        </w:rPr>
        <w:t xml:space="preserve">24.1 </w:t>
      </w:r>
      <w:r>
        <w:rPr>
          <w:spacing w:val="-2"/>
        </w:rPr>
        <w:t>争议的解决方式</w:t>
      </w:r>
    </w:p>
    <w:p>
      <w:pPr>
        <w:pStyle w:val="10"/>
        <w:spacing w:before="2"/>
        <w:rPr>
          <w:rFonts w:ascii="黑体"/>
          <w:sz w:val="38"/>
        </w:rPr>
      </w:pPr>
    </w:p>
    <w:p>
      <w:pPr>
        <w:pStyle w:val="10"/>
        <w:spacing w:line="417" w:lineRule="auto"/>
        <w:ind w:left="212" w:right="546" w:firstLine="420"/>
        <w:jc w:val="both"/>
      </w:pPr>
      <w:r>
        <w:rPr>
          <w:spacing w:val="-5"/>
        </w:rPr>
        <w:t>发包人和承包人在履行合同中发生争议的，可以友好协商解决或者提请争议评审组评审。合同当事人</w:t>
      </w:r>
      <w:r>
        <w:rPr>
          <w:spacing w:val="-7"/>
        </w:rPr>
        <w:t>友好协商解决不成、不愿提请争议评审或者不接受争议评审组意见的，可在专用合同条款中约定下列</w:t>
      </w:r>
      <w:r>
        <w:rPr>
          <w:rFonts w:hint="eastAsia"/>
          <w:spacing w:val="-7"/>
        </w:rPr>
        <w:t>一</w:t>
      </w:r>
      <w:r>
        <w:rPr>
          <w:spacing w:val="-7"/>
        </w:rPr>
        <w:t>种</w:t>
      </w:r>
      <w:r>
        <w:rPr>
          <w:spacing w:val="-4"/>
        </w:rPr>
        <w:t>方式解决：</w:t>
      </w:r>
      <w:r>
        <w:t xml:space="preserve"> </w:t>
      </w:r>
    </w:p>
    <w:p>
      <w:pPr>
        <w:pStyle w:val="35"/>
        <w:numPr>
          <w:ilvl w:val="0"/>
          <w:numId w:val="71"/>
        </w:numPr>
        <w:tabs>
          <w:tab w:val="left" w:pos="1163"/>
        </w:tabs>
        <w:spacing w:line="269" w:lineRule="exact"/>
        <w:ind w:hanging="530"/>
        <w:rPr>
          <w:sz w:val="21"/>
        </w:rPr>
      </w:pPr>
      <w:r>
        <w:rPr>
          <w:spacing w:val="-3"/>
          <w:sz w:val="21"/>
        </w:rPr>
        <w:t>向约定的仲裁委员会申请仲裁；</w:t>
      </w:r>
    </w:p>
    <w:p>
      <w:pPr>
        <w:pStyle w:val="10"/>
        <w:spacing w:before="7"/>
        <w:rPr>
          <w:sz w:val="15"/>
        </w:rPr>
      </w:pPr>
    </w:p>
    <w:p>
      <w:pPr>
        <w:pStyle w:val="35"/>
        <w:numPr>
          <w:ilvl w:val="0"/>
          <w:numId w:val="71"/>
        </w:numPr>
        <w:tabs>
          <w:tab w:val="left" w:pos="1163"/>
        </w:tabs>
        <w:ind w:hanging="530"/>
        <w:rPr>
          <w:sz w:val="21"/>
        </w:rPr>
      </w:pPr>
      <w:r>
        <w:rPr>
          <w:spacing w:val="-3"/>
          <w:sz w:val="21"/>
        </w:rPr>
        <w:t>向有管辖权的人民法院提起诉讼。</w:t>
      </w:r>
    </w:p>
    <w:p>
      <w:pPr>
        <w:pStyle w:val="10"/>
        <w:rPr>
          <w:sz w:val="22"/>
        </w:rPr>
      </w:pPr>
    </w:p>
    <w:p>
      <w:pPr>
        <w:pStyle w:val="10"/>
        <w:spacing w:before="7"/>
        <w:rPr>
          <w:sz w:val="16"/>
        </w:rPr>
      </w:pPr>
    </w:p>
    <w:p>
      <w:pPr>
        <w:ind w:firstLine="427" w:firstLineChars="196"/>
        <w:rPr>
          <w:rFonts w:ascii="Times New Roman" w:eastAsia="Times New Roman"/>
        </w:rPr>
      </w:pPr>
      <w:bookmarkStart w:id="311" w:name="_bookmark238"/>
      <w:bookmarkEnd w:id="311"/>
      <w:r>
        <w:rPr>
          <w:rFonts w:hint="eastAsia"/>
          <w:spacing w:val="-1"/>
        </w:rPr>
        <w:t xml:space="preserve">24.2 </w:t>
      </w:r>
      <w:r>
        <w:rPr>
          <w:spacing w:val="-1"/>
        </w:rPr>
        <w:t>友好解决</w:t>
      </w:r>
    </w:p>
    <w:p>
      <w:pPr>
        <w:pStyle w:val="10"/>
        <w:spacing w:before="4"/>
        <w:rPr>
          <w:rFonts w:ascii="黑体"/>
          <w:sz w:val="38"/>
        </w:rPr>
      </w:pPr>
    </w:p>
    <w:p>
      <w:pPr>
        <w:pStyle w:val="10"/>
        <w:spacing w:before="1" w:line="417" w:lineRule="auto"/>
        <w:ind w:left="212" w:right="548" w:firstLine="420"/>
      </w:pPr>
      <w:r>
        <w:rPr>
          <w:spacing w:val="-7"/>
        </w:rPr>
        <w:t>在提请争议评审、仲裁或者诉讼前，以及在争议评审、仲裁或诉讼过程中，发包人和承包人均可共同</w:t>
      </w:r>
      <w:r>
        <w:rPr>
          <w:spacing w:val="-5"/>
        </w:rPr>
        <w:t>努力友好协商解决争议。</w:t>
      </w:r>
    </w:p>
    <w:p>
      <w:pPr>
        <w:pStyle w:val="10"/>
        <w:spacing w:before="12"/>
        <w:rPr>
          <w:sz w:val="22"/>
        </w:rPr>
      </w:pPr>
    </w:p>
    <w:p>
      <w:pPr>
        <w:ind w:firstLine="427" w:firstLineChars="196"/>
        <w:rPr>
          <w:rFonts w:ascii="Times New Roman" w:eastAsia="Times New Roman"/>
        </w:rPr>
      </w:pPr>
      <w:bookmarkStart w:id="312" w:name="_bookmark239"/>
      <w:bookmarkEnd w:id="312"/>
      <w:r>
        <w:rPr>
          <w:rFonts w:hint="eastAsia"/>
          <w:spacing w:val="-1"/>
        </w:rPr>
        <w:t xml:space="preserve">24.3 </w:t>
      </w:r>
      <w:r>
        <w:rPr>
          <w:spacing w:val="-1"/>
        </w:rPr>
        <w:t>争议评审</w:t>
      </w:r>
    </w:p>
    <w:p>
      <w:pPr>
        <w:pStyle w:val="10"/>
        <w:spacing w:before="2"/>
        <w:rPr>
          <w:rFonts w:ascii="黑体"/>
          <w:sz w:val="38"/>
        </w:rPr>
      </w:pPr>
    </w:p>
    <w:p>
      <w:pPr>
        <w:tabs>
          <w:tab w:val="left" w:pos="1265"/>
        </w:tabs>
        <w:spacing w:before="1" w:line="417" w:lineRule="auto"/>
        <w:ind w:right="546" w:firstLine="399" w:firstLineChars="196"/>
        <w:rPr>
          <w:rFonts w:ascii="Times New Roman" w:eastAsia="Times New Roman"/>
          <w:sz w:val="21"/>
        </w:rPr>
      </w:pPr>
      <w:r>
        <w:rPr>
          <w:rFonts w:hint="eastAsia"/>
          <w:spacing w:val="-3"/>
          <w:sz w:val="21"/>
        </w:rPr>
        <w:t xml:space="preserve">24.3.1 </w:t>
      </w:r>
      <w:r>
        <w:rPr>
          <w:spacing w:val="-3"/>
          <w:sz w:val="21"/>
        </w:rPr>
        <w:t xml:space="preserve">采用争议评审的，发包人和承包人应在开工日后的 </w:t>
      </w:r>
      <w:r>
        <w:rPr>
          <w:sz w:val="21"/>
        </w:rPr>
        <w:t>28</w:t>
      </w:r>
      <w:r>
        <w:rPr>
          <w:spacing w:val="-3"/>
          <w:sz w:val="21"/>
        </w:rPr>
        <w:t xml:space="preserve"> 天内或在争议发生后，协商成立争议评审组。争议评审组由有合同管理和工程实践经验的专家组成。</w:t>
      </w:r>
    </w:p>
    <w:p>
      <w:pPr>
        <w:tabs>
          <w:tab w:val="left" w:pos="1265"/>
        </w:tabs>
        <w:spacing w:line="417" w:lineRule="auto"/>
        <w:ind w:right="546" w:firstLine="396" w:firstLineChars="200"/>
        <w:rPr>
          <w:rFonts w:ascii="Times New Roman" w:eastAsia="Times New Roman"/>
          <w:sz w:val="21"/>
        </w:rPr>
      </w:pPr>
      <w:r>
        <w:rPr>
          <w:rFonts w:hint="eastAsia"/>
          <w:spacing w:val="-6"/>
          <w:sz w:val="21"/>
        </w:rPr>
        <w:t xml:space="preserve">24.3.2 </w:t>
      </w:r>
      <w:r>
        <w:rPr>
          <w:spacing w:val="-6"/>
          <w:sz w:val="21"/>
        </w:rPr>
        <w:t>合同双方的争议，应首先由申请人向争议评审组提交一份详细的评审申请报告，并附必要的文</w:t>
      </w:r>
      <w:r>
        <w:rPr>
          <w:spacing w:val="-4"/>
          <w:sz w:val="21"/>
        </w:rPr>
        <w:t>件、图纸和证明材料，申请人还应将上述报告的副本同时提交给被申请人和监理人。</w:t>
      </w:r>
    </w:p>
    <w:p>
      <w:pPr>
        <w:tabs>
          <w:tab w:val="left" w:pos="1265"/>
        </w:tabs>
        <w:spacing w:line="269" w:lineRule="exact"/>
        <w:ind w:firstLine="404" w:firstLineChars="200"/>
      </w:pPr>
      <w:r>
        <w:rPr>
          <w:rFonts w:hint="eastAsia"/>
          <w:spacing w:val="-4"/>
          <w:sz w:val="21"/>
        </w:rPr>
        <w:t xml:space="preserve">24.3.3 </w:t>
      </w:r>
      <w:r>
        <w:rPr>
          <w:spacing w:val="-4"/>
          <w:sz w:val="21"/>
        </w:rPr>
        <w:t xml:space="preserve">被申请人在收到申请人评审申请报告副本后的 </w:t>
      </w:r>
      <w:r>
        <w:rPr>
          <w:sz w:val="21"/>
        </w:rPr>
        <w:t>28</w:t>
      </w:r>
      <w:r>
        <w:rPr>
          <w:spacing w:val="-3"/>
          <w:sz w:val="21"/>
        </w:rPr>
        <w:t xml:space="preserve"> 天内，向争议评审组提交一份答辩报告，并</w:t>
      </w:r>
      <w:r>
        <w:t>附证明材料。被申请人应将答辩报告的副本同时提交给申请人和监理人。</w:t>
      </w:r>
    </w:p>
    <w:p>
      <w:pPr>
        <w:pStyle w:val="10"/>
        <w:spacing w:before="7"/>
        <w:rPr>
          <w:sz w:val="15"/>
        </w:rPr>
      </w:pPr>
    </w:p>
    <w:p>
      <w:pPr>
        <w:tabs>
          <w:tab w:val="left" w:pos="1265"/>
        </w:tabs>
        <w:spacing w:line="417" w:lineRule="auto"/>
        <w:ind w:right="546" w:firstLine="399" w:firstLineChars="196"/>
        <w:jc w:val="both"/>
        <w:rPr>
          <w:rFonts w:ascii="Times New Roman" w:eastAsia="Times New Roman"/>
          <w:sz w:val="21"/>
        </w:rPr>
      </w:pPr>
      <w:r>
        <w:rPr>
          <w:rFonts w:hint="eastAsia"/>
          <w:spacing w:val="-3"/>
          <w:sz w:val="21"/>
        </w:rPr>
        <w:t xml:space="preserve">24.3.4 </w:t>
      </w:r>
      <w:r>
        <w:rPr>
          <w:spacing w:val="-3"/>
          <w:sz w:val="21"/>
        </w:rPr>
        <w:t xml:space="preserve">除专用合同条款另有约定外，争议评审组在收到合同双方报告后的 </w:t>
      </w:r>
      <w:r>
        <w:rPr>
          <w:sz w:val="21"/>
        </w:rPr>
        <w:t>14</w:t>
      </w:r>
      <w:r>
        <w:rPr>
          <w:spacing w:val="-3"/>
          <w:sz w:val="21"/>
        </w:rPr>
        <w:t xml:space="preserve"> 天内，邀请双方代表和有关人员举行调查会，向双方调查争议细节；必要时争议评审组可要求双方进一步提供补充材料。</w:t>
      </w:r>
    </w:p>
    <w:p>
      <w:pPr>
        <w:tabs>
          <w:tab w:val="left" w:pos="1265"/>
        </w:tabs>
        <w:spacing w:line="417" w:lineRule="auto"/>
        <w:ind w:right="546" w:firstLine="499" w:firstLineChars="245"/>
        <w:jc w:val="both"/>
        <w:rPr>
          <w:rFonts w:ascii="Times New Roman" w:eastAsia="Times New Roman"/>
          <w:sz w:val="21"/>
        </w:rPr>
      </w:pPr>
      <w:r>
        <w:rPr>
          <w:rFonts w:hint="eastAsia"/>
          <w:spacing w:val="-3"/>
          <w:sz w:val="21"/>
        </w:rPr>
        <w:t xml:space="preserve">24.3.5 </w:t>
      </w:r>
      <w:r>
        <w:rPr>
          <w:spacing w:val="-3"/>
          <w:sz w:val="21"/>
        </w:rPr>
        <w:t xml:space="preserve">除专用合同条款另有约定外，在调查会结束后的 </w:t>
      </w:r>
      <w:r>
        <w:rPr>
          <w:sz w:val="21"/>
        </w:rPr>
        <w:t>14</w:t>
      </w:r>
      <w:r>
        <w:rPr>
          <w:spacing w:val="-3"/>
          <w:sz w:val="21"/>
        </w:rPr>
        <w:t xml:space="preserve"> 天内，争议评审组应在不受任何干扰的情</w:t>
      </w:r>
      <w:r>
        <w:rPr>
          <w:spacing w:val="-7"/>
          <w:sz w:val="21"/>
        </w:rPr>
        <w:t>况下进行独立、公正的评审，作出书面评审意见，并说明理由。在争议评审期间，争议双方暂按总监理工</w:t>
      </w:r>
      <w:r>
        <w:rPr>
          <w:spacing w:val="-5"/>
          <w:sz w:val="21"/>
        </w:rPr>
        <w:t>程师的确定执行。</w:t>
      </w:r>
    </w:p>
    <w:p>
      <w:pPr>
        <w:tabs>
          <w:tab w:val="left" w:pos="1265"/>
        </w:tabs>
        <w:spacing w:line="417" w:lineRule="auto"/>
        <w:ind w:right="546" w:firstLine="399" w:firstLineChars="196"/>
        <w:jc w:val="both"/>
        <w:rPr>
          <w:rFonts w:ascii="Times New Roman" w:eastAsia="Times New Roman"/>
          <w:sz w:val="21"/>
        </w:rPr>
      </w:pPr>
      <w:r>
        <w:rPr>
          <w:rFonts w:hint="eastAsia"/>
          <w:spacing w:val="-3"/>
          <w:sz w:val="21"/>
        </w:rPr>
        <w:t xml:space="preserve">24.3.6 </w:t>
      </w:r>
      <w:r>
        <w:rPr>
          <w:spacing w:val="-5"/>
          <w:sz w:val="21"/>
        </w:rPr>
        <w:t>发包人和承包人接受评审意见的，由监理人根据评审意见拟定执行协议，经争议双方签字后作</w:t>
      </w:r>
      <w:r>
        <w:rPr>
          <w:spacing w:val="-4"/>
          <w:sz w:val="21"/>
        </w:rPr>
        <w:t>为合同的补充文件，并遵照执行。</w:t>
      </w:r>
    </w:p>
    <w:p>
      <w:pPr>
        <w:tabs>
          <w:tab w:val="left" w:pos="1265"/>
        </w:tabs>
        <w:spacing w:line="417" w:lineRule="auto"/>
        <w:ind w:right="546" w:firstLine="399" w:firstLineChars="196"/>
        <w:jc w:val="both"/>
        <w:rPr>
          <w:rFonts w:ascii="Times New Roman" w:eastAsia="Times New Roman"/>
          <w:sz w:val="21"/>
        </w:rPr>
      </w:pPr>
      <w:r>
        <w:rPr>
          <w:rFonts w:hint="eastAsia"/>
          <w:spacing w:val="-3"/>
          <w:sz w:val="21"/>
        </w:rPr>
        <w:t xml:space="preserve">24.3.7 </w:t>
      </w:r>
      <w:r>
        <w:rPr>
          <w:spacing w:val="-13"/>
          <w:sz w:val="21"/>
        </w:rPr>
        <w:t xml:space="preserve">发包人或承包人不接受评审意见，并要求提交仲裁或提起诉讼的，应在收到评审意见后的 </w:t>
      </w:r>
      <w:r>
        <w:rPr>
          <w:sz w:val="21"/>
        </w:rPr>
        <w:t>14</w:t>
      </w:r>
      <w:r>
        <w:rPr>
          <w:spacing w:val="13"/>
          <w:sz w:val="21"/>
        </w:rPr>
        <w:t xml:space="preserve"> 天</w:t>
      </w:r>
      <w:r>
        <w:rPr>
          <w:spacing w:val="-5"/>
          <w:sz w:val="21"/>
        </w:rPr>
        <w:t>内将仲裁或起诉意向书面通知另一方，并抄送监理人，但在仲裁或诉讼结束前应暂按总监理工程师的确定执行。</w:t>
      </w:r>
    </w:p>
    <w:p>
      <w:pPr>
        <w:spacing w:line="417" w:lineRule="auto"/>
        <w:jc w:val="both"/>
        <w:rPr>
          <w:rFonts w:ascii="Times New Roman" w:eastAsia="Times New Roman"/>
          <w:sz w:val="21"/>
        </w:rPr>
        <w:sectPr>
          <w:pgSz w:w="11910" w:h="16840"/>
          <w:pgMar w:top="1440" w:right="580" w:bottom="1220" w:left="920" w:header="0" w:footer="950" w:gutter="0"/>
          <w:cols w:space="720" w:num="1"/>
        </w:sectPr>
      </w:pPr>
    </w:p>
    <w:p>
      <w:pPr>
        <w:pStyle w:val="10"/>
        <w:spacing w:before="4"/>
        <w:rPr>
          <w:sz w:val="10"/>
        </w:rPr>
      </w:pPr>
    </w:p>
    <w:p>
      <w:pPr>
        <w:pStyle w:val="3"/>
        <w:spacing w:before="54"/>
        <w:ind w:left="0" w:right="341" w:firstLine="0"/>
        <w:jc w:val="center"/>
      </w:pPr>
      <w:bookmarkStart w:id="313" w:name="_bookmark240"/>
      <w:bookmarkEnd w:id="313"/>
      <w:bookmarkStart w:id="314" w:name="_Toc37926076"/>
      <w:r>
        <w:t>第二节 专用合同条款</w:t>
      </w:r>
      <w:bookmarkEnd w:id="314"/>
    </w:p>
    <w:p>
      <w:pPr>
        <w:pStyle w:val="10"/>
        <w:rPr>
          <w:rFonts w:ascii="黑体"/>
          <w:b/>
          <w:sz w:val="20"/>
        </w:rPr>
      </w:pPr>
    </w:p>
    <w:p>
      <w:pPr>
        <w:pStyle w:val="4"/>
      </w:pPr>
      <w:bookmarkStart w:id="315" w:name="_Toc37926077"/>
      <w:r>
        <w:rPr>
          <w:rFonts w:hint="eastAsia"/>
        </w:rPr>
        <w:t>1. 一般约定</w:t>
      </w:r>
      <w:bookmarkEnd w:id="315"/>
    </w:p>
    <w:p>
      <w:r>
        <w:rPr>
          <w:rFonts w:hint="eastAsia"/>
        </w:rPr>
        <w:t>1.1 词语定义</w:t>
      </w:r>
    </w:p>
    <w:p>
      <w:pPr>
        <w:ind w:firstLine="431" w:firstLineChars="196"/>
        <w:rPr>
          <w:szCs w:val="21"/>
        </w:rPr>
      </w:pPr>
      <w:r>
        <w:t>按合同通用条款的规定。</w:t>
      </w:r>
    </w:p>
    <w:p>
      <w:r>
        <w:rPr>
          <w:rFonts w:hint="eastAsia"/>
        </w:rPr>
        <w:t>1.2 语言文字</w:t>
      </w:r>
    </w:p>
    <w:p>
      <w:pPr>
        <w:rPr>
          <w:szCs w:val="21"/>
        </w:rPr>
      </w:pPr>
      <w:r>
        <w:t>按合同通用条款的规定。</w:t>
      </w:r>
    </w:p>
    <w:p>
      <w:r>
        <w:rPr>
          <w:rFonts w:hint="eastAsia"/>
        </w:rPr>
        <w:t>1.3 法律</w:t>
      </w:r>
    </w:p>
    <w:p>
      <w:pPr>
        <w:tabs>
          <w:tab w:val="left" w:pos="653"/>
        </w:tabs>
        <w:spacing w:line="440" w:lineRule="exact"/>
      </w:pPr>
      <w:r>
        <w:rPr>
          <w:rFonts w:hint="eastAsia"/>
        </w:rPr>
        <w:t>1.3.1</w:t>
      </w:r>
      <w:r>
        <w:t>约定使用的法律的名称：按合同通用条款的规定。</w:t>
      </w:r>
    </w:p>
    <w:p>
      <w:pPr>
        <w:tabs>
          <w:tab w:val="left" w:pos="653"/>
        </w:tabs>
        <w:spacing w:line="440" w:lineRule="exact"/>
      </w:pPr>
      <w:r>
        <w:t>需要明示的法律、行政法规：</w:t>
      </w:r>
      <w:r>
        <w:rPr>
          <w:u w:val="dotted"/>
        </w:rPr>
        <w:t>广东省</w:t>
      </w:r>
      <w:r>
        <w:rPr>
          <w:rFonts w:hint="eastAsia"/>
          <w:u w:val="dotted"/>
        </w:rPr>
        <w:t>及</w:t>
      </w:r>
      <w:r>
        <w:rPr>
          <w:u w:val="dotted"/>
        </w:rPr>
        <w:t>江门市有关规定。</w:t>
      </w:r>
    </w:p>
    <w:p>
      <w:pPr>
        <w:tabs>
          <w:tab w:val="left" w:pos="653"/>
        </w:tabs>
        <w:spacing w:line="440" w:lineRule="exact"/>
      </w:pPr>
      <w:r>
        <w:rPr>
          <w:rFonts w:hint="eastAsia"/>
        </w:rPr>
        <w:t>1.3.2</w:t>
      </w:r>
      <w:r>
        <w:t xml:space="preserve"> 约定适用的标准、规范的名称：</w:t>
      </w:r>
    </w:p>
    <w:p>
      <w:bookmarkStart w:id="316" w:name="_bookmark241"/>
      <w:bookmarkEnd w:id="316"/>
      <w:r>
        <w:rPr>
          <w:rFonts w:hint="eastAsia"/>
          <w:spacing w:val="-2"/>
        </w:rPr>
        <w:t>1</w:t>
      </w:r>
      <w:r>
        <w:rPr>
          <w:spacing w:val="-2"/>
        </w:rPr>
        <w:t>.4 合同文件的优先顺序</w:t>
      </w:r>
    </w:p>
    <w:p>
      <w:pPr>
        <w:pStyle w:val="10"/>
        <w:spacing w:before="4"/>
        <w:rPr>
          <w:rFonts w:ascii="黑体"/>
          <w:sz w:val="38"/>
        </w:rPr>
      </w:pPr>
    </w:p>
    <w:p>
      <w:pPr>
        <w:pStyle w:val="10"/>
        <w:ind w:left="633"/>
      </w:pPr>
      <w:r>
        <w:t>解释合同的优先顺序如下：</w:t>
      </w:r>
    </w:p>
    <w:p>
      <w:pPr>
        <w:pStyle w:val="10"/>
        <w:spacing w:before="4"/>
        <w:rPr>
          <w:sz w:val="16"/>
        </w:rPr>
      </w:pPr>
    </w:p>
    <w:p>
      <w:pPr>
        <w:pStyle w:val="35"/>
        <w:numPr>
          <w:ilvl w:val="2"/>
          <w:numId w:val="72"/>
        </w:numPr>
        <w:tabs>
          <w:tab w:val="left" w:pos="1163"/>
        </w:tabs>
        <w:ind w:hanging="530"/>
        <w:rPr>
          <w:sz w:val="21"/>
        </w:rPr>
      </w:pPr>
      <w:r>
        <w:rPr>
          <w:spacing w:val="-3"/>
          <w:sz w:val="21"/>
        </w:rPr>
        <w:t>合同协议书</w:t>
      </w:r>
    </w:p>
    <w:p>
      <w:pPr>
        <w:pStyle w:val="10"/>
        <w:spacing w:before="1"/>
        <w:rPr>
          <w:sz w:val="16"/>
        </w:rPr>
      </w:pPr>
    </w:p>
    <w:p>
      <w:pPr>
        <w:pStyle w:val="35"/>
        <w:numPr>
          <w:ilvl w:val="2"/>
          <w:numId w:val="72"/>
        </w:numPr>
        <w:tabs>
          <w:tab w:val="left" w:pos="1163"/>
        </w:tabs>
        <w:ind w:hanging="530"/>
        <w:rPr>
          <w:sz w:val="21"/>
        </w:rPr>
      </w:pPr>
      <w:r>
        <w:rPr>
          <w:spacing w:val="-3"/>
          <w:sz w:val="21"/>
        </w:rPr>
        <w:t>中标通知书</w:t>
      </w:r>
    </w:p>
    <w:p>
      <w:pPr>
        <w:pStyle w:val="10"/>
        <w:spacing w:before="1"/>
        <w:rPr>
          <w:sz w:val="16"/>
        </w:rPr>
      </w:pPr>
    </w:p>
    <w:p>
      <w:pPr>
        <w:pStyle w:val="35"/>
        <w:numPr>
          <w:ilvl w:val="2"/>
          <w:numId w:val="72"/>
        </w:numPr>
        <w:tabs>
          <w:tab w:val="left" w:pos="1163"/>
        </w:tabs>
        <w:ind w:hanging="530"/>
        <w:rPr>
          <w:sz w:val="21"/>
        </w:rPr>
      </w:pPr>
      <w:r>
        <w:rPr>
          <w:spacing w:val="-3"/>
          <w:sz w:val="21"/>
        </w:rPr>
        <w:t>投标函及投标函附录</w:t>
      </w:r>
    </w:p>
    <w:p>
      <w:pPr>
        <w:pStyle w:val="10"/>
        <w:spacing w:before="4"/>
        <w:rPr>
          <w:sz w:val="16"/>
        </w:rPr>
      </w:pPr>
    </w:p>
    <w:p>
      <w:pPr>
        <w:pStyle w:val="35"/>
        <w:numPr>
          <w:ilvl w:val="2"/>
          <w:numId w:val="72"/>
        </w:numPr>
        <w:tabs>
          <w:tab w:val="left" w:pos="1163"/>
        </w:tabs>
        <w:ind w:hanging="530"/>
        <w:rPr>
          <w:sz w:val="21"/>
        </w:rPr>
      </w:pPr>
      <w:r>
        <w:rPr>
          <w:spacing w:val="-3"/>
          <w:sz w:val="21"/>
        </w:rPr>
        <w:t>专用合同条款</w:t>
      </w:r>
    </w:p>
    <w:p>
      <w:pPr>
        <w:pStyle w:val="10"/>
        <w:spacing w:before="1"/>
        <w:rPr>
          <w:sz w:val="16"/>
        </w:rPr>
      </w:pPr>
    </w:p>
    <w:p>
      <w:pPr>
        <w:pStyle w:val="35"/>
        <w:numPr>
          <w:ilvl w:val="2"/>
          <w:numId w:val="72"/>
        </w:numPr>
        <w:tabs>
          <w:tab w:val="left" w:pos="1163"/>
        </w:tabs>
        <w:ind w:hanging="530"/>
        <w:rPr>
          <w:sz w:val="21"/>
        </w:rPr>
      </w:pPr>
      <w:r>
        <w:rPr>
          <w:spacing w:val="-3"/>
          <w:sz w:val="21"/>
        </w:rPr>
        <w:t>通用合同条款</w:t>
      </w:r>
    </w:p>
    <w:p>
      <w:pPr>
        <w:pStyle w:val="10"/>
        <w:spacing w:before="1"/>
        <w:rPr>
          <w:sz w:val="16"/>
        </w:rPr>
      </w:pPr>
    </w:p>
    <w:p>
      <w:pPr>
        <w:pStyle w:val="10"/>
        <w:tabs>
          <w:tab w:val="left" w:pos="2466"/>
        </w:tabs>
        <w:spacing w:before="1"/>
        <w:ind w:left="633"/>
        <w:rPr>
          <w:rFonts w:ascii="Times New Roman" w:eastAsia="Times New Roman"/>
        </w:rPr>
      </w:pPr>
      <w:r>
        <w:t>（</w:t>
      </w:r>
      <w:r>
        <w:rPr>
          <w:rFonts w:ascii="Times New Roman" w:eastAsia="Times New Roman"/>
        </w:rPr>
        <w:t>6</w:t>
      </w:r>
      <w:r>
        <w:t>）</w:t>
      </w:r>
      <w:r>
        <w:rPr>
          <w:rFonts w:ascii="Times New Roman" w:eastAsia="Times New Roman"/>
          <w:u w:val="single"/>
        </w:rPr>
        <w:t xml:space="preserve"> </w:t>
      </w:r>
      <w:r>
        <w:rPr>
          <w:rFonts w:ascii="Times New Roman" w:eastAsia="Times New Roman"/>
          <w:u w:val="single"/>
        </w:rPr>
        <w:tab/>
      </w:r>
    </w:p>
    <w:p>
      <w:pPr>
        <w:pStyle w:val="10"/>
        <w:spacing w:before="3"/>
        <w:rPr>
          <w:rFonts w:ascii="Times New Roman"/>
          <w:sz w:val="11"/>
        </w:rPr>
      </w:pPr>
    </w:p>
    <w:p>
      <w:pPr>
        <w:pStyle w:val="10"/>
        <w:tabs>
          <w:tab w:val="left" w:pos="2468"/>
        </w:tabs>
        <w:spacing w:before="79"/>
        <w:ind w:left="633"/>
        <w:rPr>
          <w:rFonts w:ascii="Times New Roman" w:eastAsia="Times New Roman"/>
        </w:rPr>
      </w:pPr>
      <w:r>
        <w:t>（</w:t>
      </w:r>
      <w:r>
        <w:rPr>
          <w:rFonts w:ascii="Times New Roman" w:eastAsia="Times New Roman"/>
        </w:rPr>
        <w:t>7</w:t>
      </w:r>
      <w:r>
        <w:t>）</w:t>
      </w:r>
      <w:r>
        <w:rPr>
          <w:rFonts w:ascii="Times New Roman" w:eastAsia="Times New Roman"/>
          <w:u w:val="single"/>
        </w:rPr>
        <w:t xml:space="preserve"> </w:t>
      </w:r>
      <w:r>
        <w:rPr>
          <w:rFonts w:ascii="Times New Roman" w:eastAsia="Times New Roman"/>
          <w:u w:val="single"/>
        </w:rPr>
        <w:tab/>
      </w:r>
    </w:p>
    <w:p>
      <w:pPr>
        <w:pStyle w:val="10"/>
        <w:spacing w:before="1"/>
        <w:rPr>
          <w:rFonts w:ascii="Times New Roman"/>
          <w:sz w:val="11"/>
        </w:rPr>
      </w:pPr>
    </w:p>
    <w:p>
      <w:pPr>
        <w:pStyle w:val="10"/>
        <w:tabs>
          <w:tab w:val="left" w:pos="2466"/>
        </w:tabs>
        <w:spacing w:before="78"/>
        <w:ind w:left="633"/>
        <w:rPr>
          <w:rFonts w:ascii="Times New Roman" w:eastAsia="Times New Roman"/>
        </w:rPr>
      </w:pPr>
      <w:r>
        <w:t>（</w:t>
      </w:r>
      <w:r>
        <w:rPr>
          <w:rFonts w:ascii="Times New Roman" w:eastAsia="Times New Roman"/>
        </w:rPr>
        <w:t>8</w:t>
      </w:r>
      <w:r>
        <w:t>）</w:t>
      </w:r>
      <w:r>
        <w:rPr>
          <w:rFonts w:ascii="Times New Roman" w:eastAsia="Times New Roman"/>
          <w:u w:val="single"/>
        </w:rPr>
        <w:t xml:space="preserve"> </w:t>
      </w:r>
      <w:r>
        <w:rPr>
          <w:rFonts w:ascii="Times New Roman" w:eastAsia="Times New Roman"/>
          <w:u w:val="single"/>
        </w:rPr>
        <w:tab/>
      </w:r>
    </w:p>
    <w:p>
      <w:pPr>
        <w:pStyle w:val="10"/>
        <w:spacing w:before="2"/>
        <w:rPr>
          <w:rFonts w:ascii="Times New Roman"/>
          <w:sz w:val="11"/>
        </w:rPr>
      </w:pPr>
    </w:p>
    <w:p>
      <w:pPr>
        <w:pStyle w:val="10"/>
        <w:tabs>
          <w:tab w:val="left" w:pos="2466"/>
        </w:tabs>
        <w:spacing w:before="78"/>
        <w:ind w:left="633"/>
        <w:rPr>
          <w:rFonts w:ascii="Times New Roman" w:eastAsia="Times New Roman"/>
        </w:rPr>
      </w:pPr>
      <w:r>
        <w:t>（</w:t>
      </w:r>
      <w:r>
        <w:rPr>
          <w:rFonts w:ascii="Times New Roman" w:eastAsia="Times New Roman"/>
        </w:rPr>
        <w:t>9</w:t>
      </w:r>
      <w:r>
        <w:t>）</w:t>
      </w:r>
      <w:r>
        <w:rPr>
          <w:rFonts w:ascii="Times New Roman" w:eastAsia="Times New Roman"/>
          <w:u w:val="single"/>
        </w:rPr>
        <w:t xml:space="preserve"> </w:t>
      </w:r>
      <w:r>
        <w:rPr>
          <w:rFonts w:ascii="Times New Roman" w:eastAsia="Times New Roman"/>
          <w:u w:val="single"/>
        </w:rPr>
        <w:tab/>
      </w:r>
    </w:p>
    <w:p>
      <w:pPr>
        <w:pStyle w:val="10"/>
        <w:spacing w:before="10"/>
        <w:rPr>
          <w:rFonts w:ascii="Times New Roman"/>
          <w:sz w:val="11"/>
        </w:rPr>
      </w:pPr>
    </w:p>
    <w:p>
      <w:pPr>
        <w:pStyle w:val="10"/>
        <w:spacing w:before="72" w:line="415" w:lineRule="auto"/>
        <w:ind w:left="212" w:right="522" w:firstLine="420"/>
      </w:pPr>
      <w:r>
        <w:t>合同双方在合同履行过程中签订的补充协议亦构成合同文件的组成部分，其解释序视其内容与其他文件的相互关系而定。</w:t>
      </w:r>
    </w:p>
    <w:p>
      <w:pPr>
        <w:pStyle w:val="10"/>
        <w:spacing w:before="3"/>
        <w:rPr>
          <w:sz w:val="23"/>
        </w:rPr>
      </w:pPr>
    </w:p>
    <w:p>
      <w:bookmarkStart w:id="317" w:name="_bookmark242"/>
      <w:bookmarkEnd w:id="317"/>
      <w:r>
        <w:rPr>
          <w:rFonts w:hint="eastAsia"/>
        </w:rPr>
        <w:t>1</w:t>
      </w:r>
      <w:r>
        <w:t>.5 合同协议书</w:t>
      </w:r>
    </w:p>
    <w:p>
      <w:pPr>
        <w:pStyle w:val="10"/>
        <w:spacing w:before="4"/>
        <w:rPr>
          <w:rFonts w:ascii="黑体"/>
          <w:sz w:val="38"/>
        </w:rPr>
      </w:pPr>
    </w:p>
    <w:p>
      <w:pPr>
        <w:pStyle w:val="10"/>
        <w:tabs>
          <w:tab w:val="left" w:pos="2629"/>
          <w:tab w:val="left" w:pos="5145"/>
        </w:tabs>
        <w:ind w:left="633"/>
      </w:pPr>
      <w:r>
        <w:t>合同</w:t>
      </w:r>
      <w:r>
        <w:rPr>
          <w:spacing w:val="-3"/>
        </w:rPr>
        <w:t>生</w:t>
      </w:r>
      <w:r>
        <w:t>效</w:t>
      </w:r>
      <w:r>
        <w:rPr>
          <w:spacing w:val="-3"/>
        </w:rPr>
        <w:t>的</w:t>
      </w:r>
      <w:r>
        <w:t>条</w:t>
      </w:r>
      <w:r>
        <w:rPr>
          <w:spacing w:val="-3"/>
        </w:rPr>
        <w:t>件</w:t>
      </w:r>
      <w:r>
        <w:t>：</w:t>
      </w:r>
      <w:r>
        <w:rPr>
          <w:u w:val="single"/>
        </w:rPr>
        <w:t xml:space="preserve"> </w:t>
      </w:r>
      <w:r>
        <w:rPr>
          <w:u w:val="single"/>
        </w:rPr>
        <w:tab/>
      </w:r>
      <w:r>
        <w:rPr>
          <w:spacing w:val="-3"/>
          <w:u w:val="single"/>
        </w:rPr>
        <w:t>双方</w:t>
      </w:r>
      <w:r>
        <w:rPr>
          <w:u w:val="single"/>
        </w:rPr>
        <w:t>签字</w:t>
      </w:r>
      <w:r>
        <w:rPr>
          <w:spacing w:val="-3"/>
          <w:u w:val="single"/>
        </w:rPr>
        <w:t>盖</w:t>
      </w:r>
      <w:r>
        <w:rPr>
          <w:u w:val="single"/>
        </w:rPr>
        <w:t>章</w:t>
      </w:r>
      <w:r>
        <w:rPr>
          <w:spacing w:val="-3"/>
          <w:u w:val="single"/>
        </w:rPr>
        <w:t>后</w:t>
      </w:r>
      <w:r>
        <w:rPr>
          <w:u w:val="single"/>
        </w:rPr>
        <w:t>。</w:t>
      </w:r>
      <w:r>
        <w:rPr>
          <w:rFonts w:hint="eastAsia"/>
          <w:u w:val="single"/>
        </w:rPr>
        <w:t xml:space="preserve"> </w:t>
      </w:r>
    </w:p>
    <w:p>
      <w:pPr>
        <w:pStyle w:val="10"/>
        <w:rPr>
          <w:sz w:val="20"/>
        </w:rPr>
      </w:pPr>
    </w:p>
    <w:p>
      <w:bookmarkStart w:id="318" w:name="_bookmark243"/>
      <w:bookmarkEnd w:id="318"/>
      <w:r>
        <w:rPr>
          <w:rFonts w:hint="eastAsia"/>
          <w:spacing w:val="-2"/>
        </w:rPr>
        <w:t>1</w:t>
      </w:r>
      <w:r>
        <w:rPr>
          <w:spacing w:val="-2"/>
        </w:rPr>
        <w:t>.6 文件的提供和照管</w:t>
      </w:r>
    </w:p>
    <w:p>
      <w:pPr>
        <w:pStyle w:val="10"/>
        <w:spacing w:before="2"/>
        <w:rPr>
          <w:rFonts w:ascii="黑体"/>
          <w:sz w:val="38"/>
        </w:rPr>
      </w:pPr>
    </w:p>
    <w:p>
      <w:pPr>
        <w:pStyle w:val="35"/>
        <w:numPr>
          <w:ilvl w:val="2"/>
          <w:numId w:val="73"/>
        </w:numPr>
        <w:tabs>
          <w:tab w:val="left" w:pos="1264"/>
          <w:tab w:val="left" w:pos="1265"/>
          <w:tab w:val="left" w:pos="4624"/>
        </w:tabs>
        <w:spacing w:line="417" w:lineRule="auto"/>
        <w:ind w:right="546" w:firstLine="420"/>
        <w:rPr>
          <w:rFonts w:ascii="Times New Roman" w:eastAsia="Times New Roman"/>
          <w:sz w:val="21"/>
        </w:rPr>
      </w:pPr>
      <w:r>
        <w:rPr>
          <w:lang w:val="en-US" w:bidi="ar-SA"/>
        </w:rPr>
        <w:pict>
          <v:line id="直线 8" o:spid="_x0000_s1026" o:spt="20" style="position:absolute;left:0pt;margin-left:109.2pt;margin-top:35.3pt;height:0pt;width:359.95pt;mso-position-horizontal-relative:page;z-index:-261010432;mso-width-relative:page;mso-height-relative:page;" coordsize="21600,21600" o:gfxdata="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of+tgAAAAJAQAADwAAAAAAAAABACAAAAAiAAAAZHJzL2Rvd25y&#10;ZXYueG1sUEsBAhQAFAAAAAgAh07iQAph0u/FAQAAgQMAAA4AAAAAAAAAAQAgAAAAJwEAAGRycy9l&#10;Mm9Eb2MueG1sUEsFBgAAAAAGAAYAWQEAAF4FAAAAAA==&#10;">
            <v:path arrowok="t"/>
            <v:fill focussize="0,0"/>
            <v:stroke weight="0.48pt"/>
            <v:imagedata o:title=""/>
            <o:lock v:ext="edit"/>
          </v:line>
        </w:pict>
      </w:r>
      <w:r>
        <w:rPr>
          <w:sz w:val="21"/>
        </w:rPr>
        <w:t>除</w:t>
      </w:r>
      <w:r>
        <w:rPr>
          <w:spacing w:val="-3"/>
          <w:sz w:val="21"/>
        </w:rPr>
        <w:t>专</w:t>
      </w:r>
      <w:r>
        <w:rPr>
          <w:sz w:val="21"/>
        </w:rPr>
        <w:t>用</w:t>
      </w:r>
      <w:r>
        <w:rPr>
          <w:spacing w:val="-3"/>
          <w:sz w:val="21"/>
        </w:rPr>
        <w:t>合</w:t>
      </w:r>
      <w:r>
        <w:rPr>
          <w:sz w:val="21"/>
        </w:rPr>
        <w:t>同</w:t>
      </w:r>
      <w:r>
        <w:rPr>
          <w:spacing w:val="-3"/>
          <w:sz w:val="21"/>
        </w:rPr>
        <w:t>条</w:t>
      </w:r>
      <w:r>
        <w:rPr>
          <w:sz w:val="21"/>
        </w:rPr>
        <w:t>款</w:t>
      </w:r>
      <w:r>
        <w:rPr>
          <w:spacing w:val="-20"/>
          <w:sz w:val="21"/>
        </w:rPr>
        <w:t xml:space="preserve"> </w:t>
      </w:r>
      <w:r>
        <w:rPr>
          <w:rFonts w:ascii="Times New Roman" w:eastAsia="Times New Roman"/>
          <w:sz w:val="21"/>
        </w:rPr>
        <w:t>5.3</w:t>
      </w:r>
      <w:r>
        <w:rPr>
          <w:rFonts w:ascii="Times New Roman" w:eastAsia="Times New Roman"/>
          <w:spacing w:val="35"/>
          <w:sz w:val="21"/>
        </w:rPr>
        <w:t xml:space="preserve"> </w:t>
      </w:r>
      <w:r>
        <w:rPr>
          <w:sz w:val="21"/>
        </w:rPr>
        <w:t>款约</w:t>
      </w:r>
      <w:r>
        <w:rPr>
          <w:spacing w:val="-3"/>
          <w:sz w:val="21"/>
        </w:rPr>
        <w:t>定</w:t>
      </w:r>
      <w:r>
        <w:rPr>
          <w:sz w:val="21"/>
        </w:rPr>
        <w:t>的</w:t>
      </w:r>
      <w:r>
        <w:rPr>
          <w:spacing w:val="-3"/>
          <w:sz w:val="21"/>
        </w:rPr>
        <w:t>由</w:t>
      </w:r>
      <w:r>
        <w:rPr>
          <w:sz w:val="21"/>
        </w:rPr>
        <w:t>承</w:t>
      </w:r>
      <w:r>
        <w:rPr>
          <w:spacing w:val="-3"/>
          <w:sz w:val="21"/>
        </w:rPr>
        <w:t>包</w:t>
      </w:r>
      <w:r>
        <w:rPr>
          <w:sz w:val="21"/>
        </w:rPr>
        <w:t>人</w:t>
      </w:r>
      <w:r>
        <w:rPr>
          <w:spacing w:val="-3"/>
          <w:sz w:val="21"/>
        </w:rPr>
        <w:t>提供</w:t>
      </w:r>
      <w:r>
        <w:rPr>
          <w:sz w:val="21"/>
        </w:rPr>
        <w:t>的设</w:t>
      </w:r>
      <w:r>
        <w:rPr>
          <w:spacing w:val="-3"/>
          <w:sz w:val="21"/>
        </w:rPr>
        <w:t>计</w:t>
      </w:r>
      <w:r>
        <w:rPr>
          <w:sz w:val="21"/>
        </w:rPr>
        <w:t>文</w:t>
      </w:r>
      <w:r>
        <w:rPr>
          <w:spacing w:val="-3"/>
          <w:sz w:val="21"/>
        </w:rPr>
        <w:t>件</w:t>
      </w:r>
      <w:r>
        <w:rPr>
          <w:sz w:val="21"/>
        </w:rPr>
        <w:t>外</w:t>
      </w:r>
      <w:r>
        <w:rPr>
          <w:spacing w:val="-3"/>
          <w:sz w:val="21"/>
        </w:rPr>
        <w:t>，</w:t>
      </w:r>
      <w:r>
        <w:rPr>
          <w:sz w:val="21"/>
        </w:rPr>
        <w:t>本</w:t>
      </w:r>
      <w:r>
        <w:rPr>
          <w:spacing w:val="-3"/>
          <w:sz w:val="21"/>
        </w:rPr>
        <w:t>项</w:t>
      </w:r>
      <w:r>
        <w:rPr>
          <w:sz w:val="21"/>
        </w:rPr>
        <w:t>约</w:t>
      </w:r>
      <w:r>
        <w:rPr>
          <w:spacing w:val="-3"/>
          <w:sz w:val="21"/>
        </w:rPr>
        <w:t>定</w:t>
      </w:r>
      <w:r>
        <w:rPr>
          <w:sz w:val="21"/>
        </w:rPr>
        <w:t>的其</w:t>
      </w:r>
      <w:r>
        <w:rPr>
          <w:spacing w:val="-3"/>
          <w:sz w:val="21"/>
        </w:rPr>
        <w:t>他</w:t>
      </w:r>
      <w:r>
        <w:rPr>
          <w:sz w:val="21"/>
        </w:rPr>
        <w:t>由</w:t>
      </w:r>
      <w:r>
        <w:rPr>
          <w:spacing w:val="-3"/>
          <w:sz w:val="21"/>
        </w:rPr>
        <w:t>承</w:t>
      </w:r>
      <w:r>
        <w:rPr>
          <w:sz w:val="21"/>
        </w:rPr>
        <w:t>包</w:t>
      </w:r>
      <w:r>
        <w:rPr>
          <w:spacing w:val="-3"/>
          <w:sz w:val="21"/>
        </w:rPr>
        <w:t>人</w:t>
      </w:r>
      <w:r>
        <w:rPr>
          <w:sz w:val="21"/>
        </w:rPr>
        <w:t>提</w:t>
      </w:r>
      <w:r>
        <w:rPr>
          <w:spacing w:val="-3"/>
          <w:sz w:val="21"/>
        </w:rPr>
        <w:t>供</w:t>
      </w:r>
      <w:r>
        <w:rPr>
          <w:sz w:val="21"/>
        </w:rPr>
        <w:t>的文件，</w:t>
      </w:r>
      <w:r>
        <w:rPr>
          <w:spacing w:val="-3"/>
          <w:sz w:val="21"/>
        </w:rPr>
        <w:t>包</w:t>
      </w:r>
      <w:r>
        <w:rPr>
          <w:sz w:val="21"/>
        </w:rPr>
        <w:t>括：</w:t>
      </w:r>
      <w:r>
        <w:rPr>
          <w:sz w:val="21"/>
        </w:rPr>
        <w:tab/>
      </w:r>
      <w:r>
        <w:rPr>
          <w:sz w:val="21"/>
        </w:rPr>
        <w:tab/>
      </w:r>
      <w:r>
        <w:rPr>
          <w:sz w:val="21"/>
        </w:rPr>
        <w:tab/>
      </w:r>
      <w:r>
        <w:rPr>
          <w:rFonts w:ascii="Times New Roman" w:eastAsia="Times New Roman"/>
          <w:sz w:val="21"/>
        </w:rPr>
        <w:t>/</w:t>
      </w:r>
    </w:p>
    <w:p>
      <w:pPr>
        <w:pStyle w:val="35"/>
        <w:numPr>
          <w:ilvl w:val="0"/>
          <w:numId w:val="74"/>
        </w:numPr>
        <w:tabs>
          <w:tab w:val="left" w:pos="1163"/>
          <w:tab w:val="left" w:pos="4941"/>
          <w:tab w:val="left" w:pos="8463"/>
        </w:tabs>
        <w:ind w:hanging="530"/>
        <w:rPr>
          <w:rFonts w:ascii="Times New Roman" w:eastAsia="Times New Roman"/>
          <w:sz w:val="21"/>
        </w:rPr>
      </w:pPr>
      <w:r>
        <w:rPr>
          <w:sz w:val="21"/>
        </w:rPr>
        <w:t>承</w:t>
      </w:r>
      <w:r>
        <w:rPr>
          <w:spacing w:val="-3"/>
          <w:sz w:val="21"/>
        </w:rPr>
        <w:t>包</w:t>
      </w:r>
      <w:r>
        <w:rPr>
          <w:sz w:val="21"/>
        </w:rPr>
        <w:t>人</w:t>
      </w:r>
      <w:r>
        <w:rPr>
          <w:spacing w:val="-3"/>
          <w:sz w:val="21"/>
        </w:rPr>
        <w:t>提</w:t>
      </w:r>
      <w:r>
        <w:rPr>
          <w:sz w:val="21"/>
        </w:rPr>
        <w:t>供</w:t>
      </w:r>
      <w:r>
        <w:rPr>
          <w:spacing w:val="-3"/>
          <w:sz w:val="21"/>
        </w:rPr>
        <w:t>文</w:t>
      </w:r>
      <w:r>
        <w:rPr>
          <w:sz w:val="21"/>
        </w:rPr>
        <w:t>件</w:t>
      </w:r>
      <w:r>
        <w:rPr>
          <w:spacing w:val="-3"/>
          <w:sz w:val="21"/>
        </w:rPr>
        <w:t>的期</w:t>
      </w:r>
      <w:r>
        <w:rPr>
          <w:sz w:val="21"/>
        </w:rPr>
        <w:t>限：</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6"/>
        <w:rPr>
          <w:rFonts w:ascii="Times New Roman"/>
          <w:sz w:val="10"/>
        </w:rPr>
      </w:pPr>
    </w:p>
    <w:p>
      <w:pPr>
        <w:pStyle w:val="35"/>
        <w:numPr>
          <w:ilvl w:val="0"/>
          <w:numId w:val="74"/>
        </w:numPr>
        <w:tabs>
          <w:tab w:val="left" w:pos="1163"/>
          <w:tab w:val="left" w:pos="4941"/>
          <w:tab w:val="left" w:pos="8463"/>
        </w:tabs>
        <w:spacing w:before="78"/>
        <w:ind w:hanging="530"/>
        <w:rPr>
          <w:rFonts w:ascii="Times New Roman" w:eastAsia="Times New Roman"/>
          <w:sz w:val="21"/>
        </w:rPr>
      </w:pPr>
      <w:r>
        <w:rPr>
          <w:sz w:val="21"/>
        </w:rPr>
        <w:t>承</w:t>
      </w:r>
      <w:r>
        <w:rPr>
          <w:spacing w:val="-3"/>
          <w:sz w:val="21"/>
        </w:rPr>
        <w:t>包</w:t>
      </w:r>
      <w:r>
        <w:rPr>
          <w:sz w:val="21"/>
        </w:rPr>
        <w:t>人</w:t>
      </w:r>
      <w:r>
        <w:rPr>
          <w:spacing w:val="-3"/>
          <w:sz w:val="21"/>
        </w:rPr>
        <w:t>提</w:t>
      </w:r>
      <w:r>
        <w:rPr>
          <w:sz w:val="21"/>
        </w:rPr>
        <w:t>供</w:t>
      </w:r>
      <w:r>
        <w:rPr>
          <w:spacing w:val="-3"/>
          <w:sz w:val="21"/>
        </w:rPr>
        <w:t>文</w:t>
      </w:r>
      <w:r>
        <w:rPr>
          <w:sz w:val="21"/>
        </w:rPr>
        <w:t>件</w:t>
      </w:r>
      <w:r>
        <w:rPr>
          <w:spacing w:val="-3"/>
          <w:sz w:val="21"/>
        </w:rPr>
        <w:t>的数</w:t>
      </w:r>
      <w:r>
        <w:rPr>
          <w:sz w:val="21"/>
        </w:rPr>
        <w:t>量：</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6"/>
        <w:rPr>
          <w:rFonts w:ascii="Times New Roman"/>
          <w:sz w:val="10"/>
        </w:rPr>
      </w:pPr>
    </w:p>
    <w:p>
      <w:pPr>
        <w:pStyle w:val="35"/>
        <w:numPr>
          <w:ilvl w:val="2"/>
          <w:numId w:val="73"/>
        </w:numPr>
        <w:tabs>
          <w:tab w:val="left" w:pos="1159"/>
          <w:tab w:val="left" w:pos="4941"/>
          <w:tab w:val="left" w:pos="8357"/>
        </w:tabs>
        <w:spacing w:before="78"/>
        <w:ind w:left="1158" w:hanging="526"/>
        <w:rPr>
          <w:rFonts w:ascii="Times New Roman" w:eastAsia="Times New Roman"/>
          <w:sz w:val="21"/>
        </w:rPr>
      </w:pPr>
      <w:r>
        <w:rPr>
          <w:sz w:val="21"/>
        </w:rPr>
        <w:t>发</w:t>
      </w:r>
      <w:r>
        <w:rPr>
          <w:spacing w:val="-3"/>
          <w:sz w:val="21"/>
        </w:rPr>
        <w:t>包</w:t>
      </w:r>
      <w:r>
        <w:rPr>
          <w:sz w:val="21"/>
        </w:rPr>
        <w:t>人</w:t>
      </w:r>
      <w:r>
        <w:rPr>
          <w:spacing w:val="-3"/>
          <w:sz w:val="21"/>
        </w:rPr>
        <w:t>提</w:t>
      </w:r>
      <w:r>
        <w:rPr>
          <w:sz w:val="21"/>
        </w:rPr>
        <w:t>供</w:t>
      </w:r>
      <w:r>
        <w:rPr>
          <w:spacing w:val="-3"/>
          <w:sz w:val="21"/>
        </w:rPr>
        <w:t>的</w:t>
      </w:r>
      <w:r>
        <w:rPr>
          <w:sz w:val="21"/>
        </w:rPr>
        <w:t>文</w:t>
      </w:r>
      <w:r>
        <w:rPr>
          <w:spacing w:val="-3"/>
          <w:sz w:val="21"/>
        </w:rPr>
        <w:t>件：</w:t>
      </w:r>
      <w:r>
        <w:rPr>
          <w:spacing w:val="-3"/>
          <w:sz w:val="21"/>
          <w:u w:val="single"/>
        </w:rPr>
        <w:t xml:space="preserve"> </w:t>
      </w:r>
      <w:r>
        <w:rPr>
          <w:spacing w:val="-3"/>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6"/>
        <w:rPr>
          <w:rFonts w:ascii="Times New Roman"/>
          <w:sz w:val="10"/>
        </w:rPr>
      </w:pPr>
    </w:p>
    <w:p>
      <w:pPr>
        <w:pStyle w:val="35"/>
        <w:numPr>
          <w:ilvl w:val="0"/>
          <w:numId w:val="75"/>
        </w:numPr>
        <w:tabs>
          <w:tab w:val="left" w:pos="1163"/>
          <w:tab w:val="left" w:pos="4941"/>
          <w:tab w:val="left" w:pos="8463"/>
        </w:tabs>
        <w:spacing w:before="78"/>
        <w:ind w:hanging="530"/>
        <w:rPr>
          <w:rFonts w:ascii="Times New Roman" w:eastAsia="Times New Roman"/>
          <w:sz w:val="21"/>
        </w:rPr>
      </w:pPr>
      <w:r>
        <w:rPr>
          <w:sz w:val="21"/>
        </w:rPr>
        <w:t>发</w:t>
      </w:r>
      <w:r>
        <w:rPr>
          <w:spacing w:val="-3"/>
          <w:sz w:val="21"/>
        </w:rPr>
        <w:t>包</w:t>
      </w:r>
      <w:r>
        <w:rPr>
          <w:sz w:val="21"/>
        </w:rPr>
        <w:t>人</w:t>
      </w:r>
      <w:r>
        <w:rPr>
          <w:spacing w:val="-3"/>
          <w:sz w:val="21"/>
        </w:rPr>
        <w:t>提</w:t>
      </w:r>
      <w:r>
        <w:rPr>
          <w:sz w:val="21"/>
        </w:rPr>
        <w:t>供</w:t>
      </w:r>
      <w:r>
        <w:rPr>
          <w:spacing w:val="-3"/>
          <w:sz w:val="21"/>
        </w:rPr>
        <w:t>文</w:t>
      </w:r>
      <w:r>
        <w:rPr>
          <w:sz w:val="21"/>
        </w:rPr>
        <w:t>件</w:t>
      </w:r>
      <w:r>
        <w:rPr>
          <w:spacing w:val="-3"/>
          <w:sz w:val="21"/>
        </w:rPr>
        <w:t>的期</w:t>
      </w:r>
      <w:r>
        <w:rPr>
          <w:sz w:val="21"/>
        </w:rPr>
        <w:t>限：</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35"/>
        <w:numPr>
          <w:ilvl w:val="0"/>
          <w:numId w:val="75"/>
        </w:numPr>
        <w:tabs>
          <w:tab w:val="left" w:pos="910"/>
          <w:tab w:val="left" w:pos="1163"/>
          <w:tab w:val="left" w:pos="4941"/>
          <w:tab w:val="left" w:pos="8463"/>
        </w:tabs>
        <w:spacing w:before="33"/>
      </w:pPr>
      <w:r>
        <w:rPr>
          <w:sz w:val="21"/>
        </w:rPr>
        <w:t>发</w:t>
      </w:r>
      <w:r>
        <w:rPr>
          <w:spacing w:val="-3"/>
          <w:sz w:val="21"/>
        </w:rPr>
        <w:t>包</w:t>
      </w:r>
      <w:r>
        <w:rPr>
          <w:sz w:val="21"/>
        </w:rPr>
        <w:t>人</w:t>
      </w:r>
      <w:r>
        <w:rPr>
          <w:spacing w:val="-3"/>
          <w:sz w:val="21"/>
        </w:rPr>
        <w:t>提</w:t>
      </w:r>
      <w:r>
        <w:rPr>
          <w:sz w:val="21"/>
        </w:rPr>
        <w:t>供</w:t>
      </w:r>
      <w:r>
        <w:rPr>
          <w:spacing w:val="-3"/>
          <w:sz w:val="21"/>
        </w:rPr>
        <w:t>文</w:t>
      </w:r>
      <w:r>
        <w:rPr>
          <w:sz w:val="21"/>
        </w:rPr>
        <w:t>件</w:t>
      </w:r>
      <w:r>
        <w:rPr>
          <w:spacing w:val="-3"/>
          <w:sz w:val="21"/>
        </w:rPr>
        <w:t>的数</w:t>
      </w:r>
      <w:r>
        <w:rPr>
          <w:sz w:val="21"/>
        </w:rPr>
        <w:t>量：</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bookmarkStart w:id="319" w:name="_bookmark244"/>
      <w:bookmarkEnd w:id="319"/>
    </w:p>
    <w:p>
      <w:pPr>
        <w:pStyle w:val="35"/>
        <w:tabs>
          <w:tab w:val="left" w:pos="1163"/>
          <w:tab w:val="left" w:pos="4941"/>
          <w:tab w:val="left" w:pos="8463"/>
        </w:tabs>
        <w:spacing w:before="78"/>
        <w:ind w:left="1162" w:firstLine="0"/>
        <w:rPr>
          <w:rFonts w:ascii="Times New Roman" w:eastAsia="Times New Roman"/>
          <w:sz w:val="21"/>
        </w:rPr>
      </w:pPr>
    </w:p>
    <w:p>
      <w:pPr>
        <w:pStyle w:val="10"/>
        <w:spacing w:before="6"/>
        <w:rPr>
          <w:rFonts w:ascii="Times New Roman"/>
          <w:sz w:val="10"/>
        </w:rPr>
      </w:pPr>
    </w:p>
    <w:p>
      <w:pPr>
        <w:tabs>
          <w:tab w:val="left" w:pos="910"/>
          <w:tab w:val="left" w:pos="1163"/>
          <w:tab w:val="left" w:pos="4941"/>
          <w:tab w:val="left" w:pos="8463"/>
        </w:tabs>
        <w:spacing w:before="33"/>
        <w:ind w:firstLine="440" w:firstLineChars="200"/>
      </w:pPr>
      <w:r>
        <w:rPr>
          <w:rFonts w:hint="eastAsia"/>
          <w:highlight w:val="yellow"/>
        </w:rPr>
        <w:t xml:space="preserve">1.7 </w:t>
      </w:r>
      <w:r>
        <w:rPr>
          <w:highlight w:val="yellow"/>
        </w:rPr>
        <w:t>联络</w:t>
      </w:r>
    </w:p>
    <w:p>
      <w:pPr>
        <w:pStyle w:val="10"/>
        <w:spacing w:before="4"/>
        <w:rPr>
          <w:rFonts w:ascii="黑体"/>
          <w:sz w:val="38"/>
        </w:rPr>
      </w:pPr>
    </w:p>
    <w:p>
      <w:pPr>
        <w:pStyle w:val="35"/>
        <w:numPr>
          <w:ilvl w:val="2"/>
          <w:numId w:val="76"/>
        </w:numPr>
        <w:tabs>
          <w:tab w:val="left" w:pos="1264"/>
          <w:tab w:val="left" w:pos="1265"/>
        </w:tabs>
        <w:rPr>
          <w:sz w:val="21"/>
        </w:rPr>
      </w:pPr>
      <w:r>
        <w:rPr>
          <w:spacing w:val="-3"/>
          <w:sz w:val="21"/>
        </w:rPr>
        <w:t>联络来往函件的送达和接受</w:t>
      </w:r>
    </w:p>
    <w:p>
      <w:pPr>
        <w:pStyle w:val="10"/>
        <w:spacing w:before="4"/>
        <w:rPr>
          <w:sz w:val="16"/>
        </w:rPr>
      </w:pPr>
    </w:p>
    <w:p>
      <w:pPr>
        <w:pStyle w:val="35"/>
        <w:numPr>
          <w:ilvl w:val="3"/>
          <w:numId w:val="76"/>
        </w:numPr>
        <w:tabs>
          <w:tab w:val="left" w:pos="1477"/>
        </w:tabs>
        <w:spacing w:line="415" w:lineRule="auto"/>
        <w:ind w:right="527" w:firstLine="734"/>
        <w:rPr>
          <w:sz w:val="21"/>
        </w:rPr>
      </w:pPr>
      <w:r>
        <w:rPr>
          <w:spacing w:val="-3"/>
          <w:sz w:val="21"/>
        </w:rPr>
        <w:t>合同约定了发出期限的，送达期限为合同约定的发出期限后的</w:t>
      </w:r>
      <w:r>
        <w:rPr>
          <w:sz w:val="21"/>
        </w:rPr>
        <w:t>24</w:t>
      </w:r>
      <w:r>
        <w:rPr>
          <w:spacing w:val="-3"/>
          <w:sz w:val="21"/>
        </w:rPr>
        <w:t>小时内；合同约定了通知、提供或者报送期限的，通知、提供或者报送期限即为送达期限。</w:t>
      </w:r>
    </w:p>
    <w:p>
      <w:pPr>
        <w:pStyle w:val="35"/>
        <w:numPr>
          <w:ilvl w:val="3"/>
          <w:numId w:val="76"/>
        </w:numPr>
        <w:tabs>
          <w:tab w:val="left" w:pos="1477"/>
          <w:tab w:val="left" w:pos="5464"/>
          <w:tab w:val="left" w:pos="8777"/>
        </w:tabs>
        <w:spacing w:before="12"/>
        <w:ind w:left="1476" w:hanging="530"/>
        <w:rPr>
          <w:rFonts w:ascii="Times New Roman" w:eastAsia="Times New Roman"/>
          <w:sz w:val="21"/>
        </w:rPr>
      </w:pPr>
      <w:r>
        <w:rPr>
          <w:sz w:val="21"/>
        </w:rPr>
        <w:t>发</w:t>
      </w:r>
      <w:r>
        <w:rPr>
          <w:spacing w:val="-3"/>
          <w:sz w:val="21"/>
        </w:rPr>
        <w:t>包</w:t>
      </w:r>
      <w:r>
        <w:rPr>
          <w:sz w:val="21"/>
        </w:rPr>
        <w:t>人</w:t>
      </w:r>
      <w:r>
        <w:rPr>
          <w:spacing w:val="-3"/>
          <w:sz w:val="21"/>
        </w:rPr>
        <w:t>指</w:t>
      </w:r>
      <w:r>
        <w:rPr>
          <w:sz w:val="21"/>
        </w:rPr>
        <w:t>定</w:t>
      </w:r>
      <w:r>
        <w:rPr>
          <w:spacing w:val="-3"/>
          <w:sz w:val="21"/>
        </w:rPr>
        <w:t>的</w:t>
      </w:r>
      <w:r>
        <w:rPr>
          <w:sz w:val="21"/>
        </w:rPr>
        <w:t>接</w:t>
      </w:r>
      <w:r>
        <w:rPr>
          <w:spacing w:val="-3"/>
          <w:sz w:val="21"/>
        </w:rPr>
        <w:t>受地</w:t>
      </w:r>
      <w:r>
        <w:rPr>
          <w:sz w:val="21"/>
        </w:rPr>
        <w:t>点：</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4"/>
        <w:rPr>
          <w:rFonts w:ascii="Times New Roman"/>
          <w:sz w:val="11"/>
        </w:rPr>
      </w:pPr>
    </w:p>
    <w:p>
      <w:pPr>
        <w:pStyle w:val="35"/>
        <w:numPr>
          <w:ilvl w:val="3"/>
          <w:numId w:val="76"/>
        </w:numPr>
        <w:tabs>
          <w:tab w:val="left" w:pos="1477"/>
          <w:tab w:val="left" w:pos="5464"/>
          <w:tab w:val="left" w:pos="8777"/>
        </w:tabs>
        <w:spacing w:before="78"/>
        <w:ind w:left="1476" w:hanging="530"/>
        <w:rPr>
          <w:rFonts w:ascii="Times New Roman" w:eastAsia="Times New Roman"/>
          <w:sz w:val="21"/>
        </w:rPr>
      </w:pPr>
      <w:r>
        <w:rPr>
          <w:sz w:val="21"/>
        </w:rPr>
        <w:t>发</w:t>
      </w:r>
      <w:r>
        <w:rPr>
          <w:spacing w:val="-3"/>
          <w:sz w:val="21"/>
        </w:rPr>
        <w:t>包</w:t>
      </w:r>
      <w:r>
        <w:rPr>
          <w:sz w:val="21"/>
        </w:rPr>
        <w:t>人</w:t>
      </w:r>
      <w:r>
        <w:rPr>
          <w:spacing w:val="-3"/>
          <w:sz w:val="21"/>
        </w:rPr>
        <w:t>指</w:t>
      </w:r>
      <w:r>
        <w:rPr>
          <w:sz w:val="21"/>
        </w:rPr>
        <w:t>定</w:t>
      </w:r>
      <w:r>
        <w:rPr>
          <w:spacing w:val="-3"/>
          <w:sz w:val="21"/>
        </w:rPr>
        <w:t>的</w:t>
      </w:r>
      <w:r>
        <w:rPr>
          <w:sz w:val="21"/>
        </w:rPr>
        <w:t>接</w:t>
      </w:r>
      <w:r>
        <w:rPr>
          <w:spacing w:val="-3"/>
          <w:sz w:val="21"/>
        </w:rPr>
        <w:t>受人</w:t>
      </w:r>
      <w:r>
        <w:rPr>
          <w:sz w:val="21"/>
        </w:rPr>
        <w:t>为：</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1"/>
        <w:rPr>
          <w:rFonts w:ascii="Times New Roman"/>
          <w:sz w:val="11"/>
        </w:rPr>
      </w:pPr>
    </w:p>
    <w:p>
      <w:pPr>
        <w:pStyle w:val="35"/>
        <w:numPr>
          <w:ilvl w:val="3"/>
          <w:numId w:val="76"/>
        </w:numPr>
        <w:tabs>
          <w:tab w:val="left" w:pos="1477"/>
          <w:tab w:val="left" w:pos="5464"/>
          <w:tab w:val="left" w:pos="8566"/>
        </w:tabs>
        <w:spacing w:before="79"/>
        <w:ind w:left="1476" w:hanging="530"/>
        <w:rPr>
          <w:rFonts w:ascii="Times New Roman" w:eastAsia="Times New Roman"/>
          <w:sz w:val="21"/>
        </w:rPr>
      </w:pPr>
      <w:r>
        <w:rPr>
          <w:sz w:val="21"/>
        </w:rPr>
        <w:t>监</w:t>
      </w:r>
      <w:r>
        <w:rPr>
          <w:spacing w:val="-3"/>
          <w:sz w:val="21"/>
        </w:rPr>
        <w:t>理</w:t>
      </w:r>
      <w:r>
        <w:rPr>
          <w:sz w:val="21"/>
        </w:rPr>
        <w:t>指</w:t>
      </w:r>
      <w:r>
        <w:rPr>
          <w:spacing w:val="-3"/>
          <w:sz w:val="21"/>
        </w:rPr>
        <w:t>定</w:t>
      </w:r>
      <w:r>
        <w:rPr>
          <w:sz w:val="21"/>
        </w:rPr>
        <w:t>的</w:t>
      </w:r>
      <w:r>
        <w:rPr>
          <w:spacing w:val="-3"/>
          <w:sz w:val="21"/>
        </w:rPr>
        <w:t>接</w:t>
      </w:r>
      <w:r>
        <w:rPr>
          <w:sz w:val="21"/>
        </w:rPr>
        <w:t>受</w:t>
      </w:r>
      <w:r>
        <w:rPr>
          <w:spacing w:val="-3"/>
          <w:sz w:val="21"/>
        </w:rPr>
        <w:t>地点</w:t>
      </w:r>
      <w:r>
        <w:rPr>
          <w:sz w:val="21"/>
        </w:rPr>
        <w:t>：</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1"/>
        <w:rPr>
          <w:rFonts w:ascii="Times New Roman"/>
          <w:sz w:val="11"/>
        </w:rPr>
      </w:pPr>
    </w:p>
    <w:p>
      <w:pPr>
        <w:pStyle w:val="35"/>
        <w:numPr>
          <w:ilvl w:val="3"/>
          <w:numId w:val="76"/>
        </w:numPr>
        <w:tabs>
          <w:tab w:val="left" w:pos="1477"/>
          <w:tab w:val="left" w:pos="5464"/>
          <w:tab w:val="left" w:pos="8566"/>
        </w:tabs>
        <w:spacing w:before="78"/>
        <w:ind w:left="1476" w:hanging="530"/>
        <w:rPr>
          <w:rFonts w:ascii="Times New Roman" w:eastAsia="Times New Roman"/>
          <w:sz w:val="21"/>
        </w:rPr>
      </w:pPr>
      <w:r>
        <w:rPr>
          <w:sz w:val="21"/>
        </w:rPr>
        <w:t>监</w:t>
      </w:r>
      <w:r>
        <w:rPr>
          <w:spacing w:val="-3"/>
          <w:sz w:val="21"/>
        </w:rPr>
        <w:t>理</w:t>
      </w:r>
      <w:r>
        <w:rPr>
          <w:sz w:val="21"/>
        </w:rPr>
        <w:t>人</w:t>
      </w:r>
      <w:r>
        <w:rPr>
          <w:spacing w:val="-3"/>
          <w:sz w:val="21"/>
        </w:rPr>
        <w:t>指</w:t>
      </w:r>
      <w:r>
        <w:rPr>
          <w:sz w:val="21"/>
        </w:rPr>
        <w:t>定</w:t>
      </w:r>
      <w:r>
        <w:rPr>
          <w:spacing w:val="-3"/>
          <w:sz w:val="21"/>
        </w:rPr>
        <w:t>的</w:t>
      </w:r>
      <w:r>
        <w:rPr>
          <w:sz w:val="21"/>
        </w:rPr>
        <w:t>接</w:t>
      </w:r>
      <w:r>
        <w:rPr>
          <w:spacing w:val="-3"/>
          <w:sz w:val="21"/>
        </w:rPr>
        <w:t>收人</w:t>
      </w:r>
      <w:r>
        <w:rPr>
          <w:sz w:val="21"/>
        </w:rPr>
        <w:t>：</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5"/>
        <w:rPr>
          <w:rFonts w:ascii="Times New Roman"/>
          <w:sz w:val="11"/>
        </w:rPr>
      </w:pPr>
    </w:p>
    <w:p>
      <w:pPr>
        <w:pStyle w:val="35"/>
        <w:numPr>
          <w:ilvl w:val="3"/>
          <w:numId w:val="76"/>
        </w:numPr>
        <w:tabs>
          <w:tab w:val="left" w:pos="1477"/>
        </w:tabs>
        <w:spacing w:before="78" w:line="417" w:lineRule="auto"/>
        <w:ind w:right="527" w:firstLine="734"/>
        <w:jc w:val="both"/>
        <w:rPr>
          <w:sz w:val="21"/>
        </w:rPr>
      </w:pPr>
      <w:r>
        <w:rPr>
          <w:spacing w:val="-3"/>
          <w:sz w:val="21"/>
        </w:rPr>
        <w:t>承包人指定的接收人为合同协议书中载明的承包人项目经理本人或者项目经理的授权代表。承包人应在收到开工通知后</w:t>
      </w:r>
      <w:r>
        <w:rPr>
          <w:rFonts w:ascii="Times New Roman" w:eastAsia="Times New Roman"/>
          <w:sz w:val="21"/>
        </w:rPr>
        <w:t>7</w:t>
      </w:r>
      <w:r>
        <w:rPr>
          <w:spacing w:val="-5"/>
          <w:sz w:val="21"/>
        </w:rPr>
        <w:t>天内，按照合同条款第</w:t>
      </w:r>
      <w:r>
        <w:rPr>
          <w:rFonts w:ascii="Times New Roman" w:eastAsia="Times New Roman"/>
          <w:sz w:val="21"/>
        </w:rPr>
        <w:t>4.5.</w:t>
      </w:r>
      <w:r>
        <w:rPr>
          <w:spacing w:val="-5"/>
          <w:sz w:val="21"/>
        </w:rPr>
        <w:t>项的约定，将授权代表其接受来往信函的项目经理</w:t>
      </w:r>
      <w:r>
        <w:rPr>
          <w:sz w:val="21"/>
        </w:rPr>
        <w:t>的授权代表姓名和授权范围通知监理人。承包人施工场地管理机构的办公地点即为承包人指定的接受地点。</w:t>
      </w:r>
    </w:p>
    <w:p>
      <w:pPr>
        <w:pStyle w:val="35"/>
        <w:numPr>
          <w:ilvl w:val="3"/>
          <w:numId w:val="76"/>
        </w:numPr>
        <w:tabs>
          <w:tab w:val="left" w:pos="1475"/>
        </w:tabs>
        <w:spacing w:before="7" w:line="417" w:lineRule="auto"/>
        <w:ind w:right="546" w:firstLine="734"/>
        <w:jc w:val="both"/>
        <w:rPr>
          <w:sz w:val="21"/>
        </w:rPr>
      </w:pPr>
      <w:r>
        <w:rPr>
          <w:spacing w:val="-4"/>
          <w:sz w:val="21"/>
        </w:rPr>
        <w:t>发包人</w:t>
      </w:r>
      <w:r>
        <w:rPr>
          <w:sz w:val="21"/>
        </w:rPr>
        <w:t>（</w:t>
      </w:r>
      <w:r>
        <w:rPr>
          <w:spacing w:val="-3"/>
          <w:sz w:val="21"/>
        </w:rPr>
        <w:t>包括监理人</w:t>
      </w:r>
      <w:r>
        <w:rPr>
          <w:spacing w:val="-5"/>
          <w:sz w:val="21"/>
        </w:rPr>
        <w:t>）</w:t>
      </w:r>
      <w:r>
        <w:rPr>
          <w:spacing w:val="-4"/>
          <w:sz w:val="21"/>
        </w:rPr>
        <w:t>和承包人中任何一方指定的接收人或者接受地点发生变动，应当在实</w:t>
      </w:r>
      <w:r>
        <w:rPr>
          <w:spacing w:val="-5"/>
          <w:sz w:val="21"/>
        </w:rPr>
        <w:t>际变动前提前至少一个工作日以书面形式通知另乙方。发包人</w:t>
      </w:r>
      <w:r>
        <w:rPr>
          <w:spacing w:val="-3"/>
          <w:sz w:val="21"/>
        </w:rPr>
        <w:t>（包括监理人</w:t>
      </w:r>
      <w:r>
        <w:rPr>
          <w:spacing w:val="-8"/>
          <w:sz w:val="21"/>
        </w:rPr>
        <w:t>）</w:t>
      </w:r>
      <w:r>
        <w:rPr>
          <w:spacing w:val="-3"/>
          <w:sz w:val="21"/>
        </w:rPr>
        <w:t>和承包人应当确保其各自的</w:t>
      </w:r>
      <w:r>
        <w:rPr>
          <w:spacing w:val="-4"/>
          <w:sz w:val="21"/>
        </w:rPr>
        <w:t>指定的接收人在法定的或符合合同约定的工作时间内始终工作在指定的接受地点，指定的接收人离开工作</w:t>
      </w:r>
      <w:r>
        <w:rPr>
          <w:spacing w:val="-3"/>
          <w:sz w:val="21"/>
        </w:rPr>
        <w:t>岗位而无法及时签收来往信函构成拒不签收。</w:t>
      </w:r>
    </w:p>
    <w:p>
      <w:pPr>
        <w:pStyle w:val="35"/>
        <w:numPr>
          <w:ilvl w:val="3"/>
          <w:numId w:val="76"/>
        </w:numPr>
        <w:tabs>
          <w:tab w:val="left" w:pos="1477"/>
        </w:tabs>
        <w:spacing w:before="6" w:line="417" w:lineRule="auto"/>
        <w:ind w:right="546" w:firstLine="734"/>
        <w:jc w:val="both"/>
        <w:rPr>
          <w:sz w:val="21"/>
        </w:rPr>
      </w:pPr>
      <w:r>
        <w:rPr>
          <w:spacing w:val="-4"/>
          <w:sz w:val="21"/>
        </w:rPr>
        <w:t>发包人</w:t>
      </w:r>
      <w:r>
        <w:rPr>
          <w:spacing w:val="-3"/>
          <w:sz w:val="21"/>
        </w:rPr>
        <w:t>（包括监理人</w:t>
      </w:r>
      <w:r>
        <w:rPr>
          <w:spacing w:val="-8"/>
          <w:sz w:val="21"/>
        </w:rPr>
        <w:t>）</w:t>
      </w:r>
      <w:r>
        <w:rPr>
          <w:spacing w:val="-3"/>
          <w:sz w:val="21"/>
        </w:rPr>
        <w:t>和承包人中任何一方均应当及时签收另一方送达其指定接受地点的来</w:t>
      </w:r>
      <w:r>
        <w:rPr>
          <w:spacing w:val="-6"/>
          <w:sz w:val="21"/>
        </w:rPr>
        <w:t>往信函，拒不签收的，送达信函的一方可以采用挂号或者公证方式送达，由此所造成直接的和间接的费用增加</w:t>
      </w:r>
      <w:r>
        <w:rPr>
          <w:spacing w:val="-3"/>
          <w:sz w:val="21"/>
        </w:rPr>
        <w:t>（包括被迫采用特殊送达方式所发生的费用）</w:t>
      </w:r>
      <w:r>
        <w:rPr>
          <w:sz w:val="21"/>
        </w:rPr>
        <w:t>和（</w:t>
      </w:r>
      <w:r>
        <w:rPr>
          <w:spacing w:val="-3"/>
          <w:sz w:val="21"/>
        </w:rPr>
        <w:t>或</w:t>
      </w:r>
      <w:r>
        <w:rPr>
          <w:sz w:val="21"/>
        </w:rPr>
        <w:t>）</w:t>
      </w:r>
      <w:r>
        <w:rPr>
          <w:spacing w:val="-3"/>
          <w:sz w:val="21"/>
        </w:rPr>
        <w:t>延误的工期由拒绝签收一方承担。</w:t>
      </w:r>
    </w:p>
    <w:p>
      <w:pPr>
        <w:pStyle w:val="10"/>
        <w:rPr>
          <w:sz w:val="23"/>
        </w:rPr>
      </w:pPr>
    </w:p>
    <w:p>
      <w:pPr>
        <w:ind w:firstLine="220" w:firstLineChars="100"/>
      </w:pPr>
      <w:bookmarkStart w:id="320" w:name="_bookmark245"/>
      <w:bookmarkEnd w:id="320"/>
      <w:r>
        <w:rPr>
          <w:rFonts w:hint="eastAsia"/>
        </w:rPr>
        <w:t>1</w:t>
      </w:r>
      <w:r>
        <w:t>.8 转让</w:t>
      </w:r>
    </w:p>
    <w:p>
      <w:pPr>
        <w:pStyle w:val="10"/>
        <w:spacing w:before="2"/>
        <w:rPr>
          <w:rFonts w:ascii="黑体"/>
          <w:sz w:val="38"/>
        </w:rPr>
      </w:pPr>
    </w:p>
    <w:p>
      <w:pPr>
        <w:pStyle w:val="35"/>
        <w:numPr>
          <w:ilvl w:val="2"/>
          <w:numId w:val="77"/>
        </w:numPr>
        <w:tabs>
          <w:tab w:val="left" w:pos="1374"/>
          <w:tab w:val="left" w:pos="5990"/>
          <w:tab w:val="left" w:pos="8883"/>
        </w:tabs>
        <w:ind w:hanging="530"/>
        <w:rPr>
          <w:rFonts w:ascii="Times New Roman" w:eastAsia="Times New Roman"/>
          <w:sz w:val="21"/>
        </w:rPr>
      </w:pPr>
      <w:r>
        <w:rPr>
          <w:sz w:val="21"/>
        </w:rPr>
        <w:t>发</w:t>
      </w:r>
      <w:r>
        <w:rPr>
          <w:spacing w:val="-3"/>
          <w:sz w:val="21"/>
        </w:rPr>
        <w:t>包</w:t>
      </w:r>
      <w:r>
        <w:rPr>
          <w:sz w:val="21"/>
        </w:rPr>
        <w:t>人</w:t>
      </w:r>
      <w:r>
        <w:rPr>
          <w:spacing w:val="-3"/>
          <w:sz w:val="21"/>
        </w:rPr>
        <w:t>权</w:t>
      </w:r>
      <w:r>
        <w:rPr>
          <w:sz w:val="21"/>
        </w:rPr>
        <w:t>利</w:t>
      </w:r>
      <w:r>
        <w:rPr>
          <w:spacing w:val="-3"/>
          <w:sz w:val="21"/>
        </w:rPr>
        <w:t>和</w:t>
      </w:r>
      <w:r>
        <w:rPr>
          <w:sz w:val="21"/>
        </w:rPr>
        <w:t>义</w:t>
      </w:r>
      <w:r>
        <w:rPr>
          <w:spacing w:val="-3"/>
          <w:sz w:val="21"/>
        </w:rPr>
        <w:t>务的</w:t>
      </w:r>
      <w:r>
        <w:rPr>
          <w:sz w:val="21"/>
        </w:rPr>
        <w:t>转让：</w:t>
      </w:r>
      <w:r>
        <w:rPr>
          <w:sz w:val="21"/>
          <w:u w:val="single"/>
        </w:rPr>
        <w:t xml:space="preserve"> </w:t>
      </w:r>
      <w:r>
        <w:rPr>
          <w:sz w:val="21"/>
          <w:u w:val="single"/>
        </w:rPr>
        <w:tab/>
      </w:r>
      <w:r>
        <w:rPr>
          <w:rFonts w:ascii="Times New Roman" w:eastAsia="Times New Roman"/>
          <w:sz w:val="21"/>
          <w:u w:val="single"/>
        </w:rPr>
        <w:t>/</w:t>
      </w:r>
      <w:r>
        <w:rPr>
          <w:rFonts w:ascii="Times New Roman" w:eastAsia="Times New Roman"/>
          <w:sz w:val="21"/>
          <w:u w:val="single"/>
        </w:rPr>
        <w:tab/>
      </w:r>
    </w:p>
    <w:p>
      <w:pPr>
        <w:pStyle w:val="10"/>
        <w:spacing w:before="4"/>
        <w:rPr>
          <w:rFonts w:ascii="Times New Roman"/>
          <w:sz w:val="11"/>
        </w:rPr>
      </w:pPr>
    </w:p>
    <w:p>
      <w:pPr>
        <w:pStyle w:val="35"/>
        <w:numPr>
          <w:ilvl w:val="2"/>
          <w:numId w:val="77"/>
        </w:numPr>
        <w:tabs>
          <w:tab w:val="left" w:pos="1374"/>
          <w:tab w:val="left" w:pos="5990"/>
          <w:tab w:val="left" w:pos="8883"/>
        </w:tabs>
        <w:spacing w:before="78"/>
        <w:ind w:hanging="530"/>
        <w:rPr>
          <w:rFonts w:ascii="Times New Roman" w:eastAsia="Times New Roman"/>
          <w:sz w:val="21"/>
        </w:rPr>
      </w:pPr>
      <w:r>
        <w:rPr>
          <w:sz w:val="21"/>
        </w:rPr>
        <w:t>承</w:t>
      </w:r>
      <w:r>
        <w:rPr>
          <w:spacing w:val="-3"/>
          <w:sz w:val="21"/>
        </w:rPr>
        <w:t>包</w:t>
      </w:r>
      <w:r>
        <w:rPr>
          <w:sz w:val="21"/>
        </w:rPr>
        <w:t>人</w:t>
      </w:r>
      <w:r>
        <w:rPr>
          <w:spacing w:val="-3"/>
          <w:sz w:val="21"/>
        </w:rPr>
        <w:t>权</w:t>
      </w:r>
      <w:r>
        <w:rPr>
          <w:sz w:val="21"/>
        </w:rPr>
        <w:t>利</w:t>
      </w:r>
      <w:r>
        <w:rPr>
          <w:spacing w:val="-3"/>
          <w:sz w:val="21"/>
        </w:rPr>
        <w:t>和</w:t>
      </w:r>
      <w:r>
        <w:rPr>
          <w:sz w:val="21"/>
        </w:rPr>
        <w:t>义</w:t>
      </w:r>
      <w:r>
        <w:rPr>
          <w:spacing w:val="-3"/>
          <w:sz w:val="21"/>
        </w:rPr>
        <w:t>务的</w:t>
      </w:r>
      <w:r>
        <w:rPr>
          <w:sz w:val="21"/>
        </w:rPr>
        <w:t>转让</w:t>
      </w:r>
      <w:r>
        <w:rPr>
          <w:spacing w:val="-3"/>
          <w:sz w:val="21"/>
        </w:rPr>
        <w:t>：</w:t>
      </w:r>
      <w:r>
        <w:rPr>
          <w:spacing w:val="-3"/>
          <w:sz w:val="21"/>
          <w:u w:val="single"/>
        </w:rPr>
        <w:t xml:space="preserve"> </w:t>
      </w:r>
      <w:r>
        <w:rPr>
          <w:spacing w:val="-3"/>
          <w:sz w:val="21"/>
          <w:u w:val="single"/>
        </w:rPr>
        <w:tab/>
      </w:r>
      <w:r>
        <w:rPr>
          <w:rFonts w:ascii="Times New Roman" w:eastAsia="Times New Roman"/>
          <w:sz w:val="21"/>
          <w:u w:val="single"/>
        </w:rPr>
        <w:t>/</w:t>
      </w:r>
      <w:r>
        <w:rPr>
          <w:rFonts w:ascii="Times New Roman" w:eastAsia="Times New Roman"/>
          <w:sz w:val="21"/>
          <w:u w:val="single"/>
        </w:rPr>
        <w:tab/>
      </w:r>
    </w:p>
    <w:p>
      <w:pPr>
        <w:pStyle w:val="10"/>
        <w:rPr>
          <w:rFonts w:ascii="Times New Roman"/>
          <w:sz w:val="20"/>
        </w:rPr>
      </w:pPr>
    </w:p>
    <w:p>
      <w:pPr>
        <w:ind w:firstLine="220" w:firstLineChars="100"/>
      </w:pPr>
      <w:r>
        <w:rPr>
          <w:rFonts w:hint="eastAsia"/>
        </w:rPr>
        <w:t>1.9 严禁贿赂</w:t>
      </w:r>
    </w:p>
    <w:p>
      <w:pPr>
        <w:tabs>
          <w:tab w:val="left" w:pos="653"/>
        </w:tabs>
        <w:spacing w:line="440" w:lineRule="exact"/>
        <w:ind w:firstLine="440" w:firstLineChars="200"/>
      </w:pPr>
      <w:r>
        <w:t>按合同通用条款的规定。</w:t>
      </w:r>
    </w:p>
    <w:p/>
    <w:p>
      <w:r>
        <w:rPr>
          <w:rFonts w:hint="eastAsia"/>
        </w:rPr>
        <w:t>1.10 化石、文物</w:t>
      </w:r>
    </w:p>
    <w:p>
      <w:pPr>
        <w:pStyle w:val="10"/>
        <w:spacing w:before="7"/>
        <w:rPr>
          <w:rFonts w:ascii="Times New Roman"/>
          <w:sz w:val="17"/>
        </w:rPr>
      </w:pPr>
      <w:r>
        <w:t>按合同通用条款的规定</w:t>
      </w:r>
      <w:r>
        <w:rPr>
          <w:rFonts w:hint="eastAsia"/>
        </w:rPr>
        <w:t>。</w:t>
      </w:r>
    </w:p>
    <w:p>
      <w:pPr>
        <w:pStyle w:val="10"/>
        <w:spacing w:before="7"/>
        <w:rPr>
          <w:rFonts w:ascii="Times New Roman"/>
          <w:sz w:val="17"/>
        </w:rPr>
      </w:pPr>
    </w:p>
    <w:p>
      <w:pPr>
        <w:ind w:firstLine="220" w:firstLineChars="100"/>
      </w:pPr>
      <w:bookmarkStart w:id="321" w:name="_bookmark246"/>
      <w:bookmarkEnd w:id="321"/>
      <w:r>
        <w:t>1.11. 知识产权</w:t>
      </w:r>
    </w:p>
    <w:p>
      <w:pPr>
        <w:pStyle w:val="10"/>
        <w:spacing w:before="2"/>
        <w:rPr>
          <w:rFonts w:ascii="黑体"/>
          <w:sz w:val="38"/>
        </w:rPr>
      </w:pPr>
    </w:p>
    <w:p>
      <w:pPr>
        <w:pStyle w:val="10"/>
        <w:tabs>
          <w:tab w:val="left" w:pos="2838"/>
          <w:tab w:val="left" w:pos="3890"/>
        </w:tabs>
        <w:spacing w:line="417" w:lineRule="auto"/>
        <w:ind w:left="212" w:right="551" w:firstLine="456" w:firstLineChars="200"/>
      </w:pPr>
      <w:r>
        <w:rPr>
          <w:rFonts w:ascii="Times New Roman" w:eastAsia="Times New Roman"/>
          <w:spacing w:val="9"/>
        </w:rPr>
        <w:t xml:space="preserve"> </w:t>
      </w:r>
      <w:r>
        <w:t>承包人完成的设计工作成果和建造完成</w:t>
      </w:r>
      <w:r>
        <w:rPr>
          <w:spacing w:val="4"/>
        </w:rPr>
        <w:t>的</w:t>
      </w:r>
      <w:r>
        <w:t>建筑物，除署名权以外的著作权以及建筑物形象</w:t>
      </w:r>
      <w:r>
        <w:rPr>
          <w:spacing w:val="-13"/>
        </w:rPr>
        <w:t>使</w:t>
      </w:r>
      <w:r>
        <w:t>用收</w:t>
      </w:r>
      <w:r>
        <w:rPr>
          <w:spacing w:val="-3"/>
        </w:rPr>
        <w:t>益</w:t>
      </w:r>
      <w:r>
        <w:t>等</w:t>
      </w:r>
      <w:r>
        <w:rPr>
          <w:spacing w:val="-3"/>
        </w:rPr>
        <w:t>其</w:t>
      </w:r>
      <w:r>
        <w:t>他</w:t>
      </w:r>
      <w:r>
        <w:rPr>
          <w:spacing w:val="-3"/>
        </w:rPr>
        <w:t>知</w:t>
      </w:r>
      <w:r>
        <w:t>识</w:t>
      </w:r>
      <w:r>
        <w:rPr>
          <w:spacing w:val="-3"/>
        </w:rPr>
        <w:t>产</w:t>
      </w:r>
      <w:r>
        <w:t>权</w:t>
      </w:r>
      <w:r>
        <w:rPr>
          <w:spacing w:val="-3"/>
        </w:rPr>
        <w:t>归</w:t>
      </w:r>
      <w:r>
        <w:rPr>
          <w:spacing w:val="-3"/>
          <w:u w:val="single"/>
        </w:rPr>
        <w:t xml:space="preserve"> </w:t>
      </w:r>
      <w:r>
        <w:rPr>
          <w:u w:val="single"/>
        </w:rPr>
        <w:t>发</w:t>
      </w:r>
      <w:r>
        <w:rPr>
          <w:spacing w:val="-3"/>
          <w:u w:val="single"/>
        </w:rPr>
        <w:t>包</w:t>
      </w:r>
      <w:r>
        <w:rPr>
          <w:u w:val="single"/>
        </w:rPr>
        <w:t>人</w:t>
      </w:r>
      <w:r>
        <w:rPr>
          <w:u w:val="single"/>
        </w:rPr>
        <w:tab/>
      </w:r>
      <w:r>
        <w:rPr>
          <w:spacing w:val="-3"/>
        </w:rPr>
        <w:t>属</w:t>
      </w:r>
      <w:r>
        <w:t>有。</w:t>
      </w:r>
    </w:p>
    <w:p>
      <w:pPr>
        <w:pStyle w:val="4"/>
      </w:pPr>
      <w:bookmarkStart w:id="322" w:name="_Toc37926078"/>
      <w:r>
        <w:t>2. 发包人的义务</w:t>
      </w:r>
      <w:bookmarkEnd w:id="322"/>
    </w:p>
    <w:p>
      <w:pPr>
        <w:pStyle w:val="10"/>
        <w:spacing w:before="4"/>
        <w:rPr>
          <w:rFonts w:ascii="黑体"/>
          <w:sz w:val="38"/>
        </w:rPr>
      </w:pPr>
    </w:p>
    <w:p>
      <w:pPr>
        <w:pStyle w:val="10"/>
        <w:ind w:left="633"/>
      </w:pPr>
      <w:r>
        <w:rPr>
          <w:rFonts w:ascii="Times New Roman" w:eastAsia="Times New Roman"/>
        </w:rPr>
        <w:t xml:space="preserve">2.3 </w:t>
      </w:r>
      <w:r>
        <w:t>提供施工场地</w:t>
      </w:r>
    </w:p>
    <w:p>
      <w:pPr>
        <w:pStyle w:val="10"/>
        <w:spacing w:before="9"/>
        <w:rPr>
          <w:sz w:val="27"/>
        </w:rPr>
      </w:pPr>
    </w:p>
    <w:p>
      <w:pPr>
        <w:pStyle w:val="10"/>
        <w:tabs>
          <w:tab w:val="left" w:pos="6727"/>
        </w:tabs>
        <w:ind w:left="633"/>
      </w:pPr>
      <w:r>
        <w:t>施工</w:t>
      </w:r>
      <w:r>
        <w:rPr>
          <w:spacing w:val="-3"/>
        </w:rPr>
        <w:t>场</w:t>
      </w:r>
      <w:r>
        <w:t>地</w:t>
      </w:r>
      <w:r>
        <w:rPr>
          <w:spacing w:val="-3"/>
        </w:rPr>
        <w:t>应</w:t>
      </w:r>
      <w:r>
        <w:t>当</w:t>
      </w:r>
      <w:r>
        <w:rPr>
          <w:spacing w:val="-3"/>
        </w:rPr>
        <w:t>在</w:t>
      </w:r>
      <w:r>
        <w:t>监</w:t>
      </w:r>
      <w:r>
        <w:rPr>
          <w:spacing w:val="-3"/>
        </w:rPr>
        <w:t>理</w:t>
      </w:r>
      <w:r>
        <w:t>人</w:t>
      </w:r>
      <w:r>
        <w:rPr>
          <w:spacing w:val="-3"/>
        </w:rPr>
        <w:t>发</w:t>
      </w:r>
      <w:r>
        <w:t>出的</w:t>
      </w:r>
      <w:r>
        <w:rPr>
          <w:spacing w:val="-3"/>
        </w:rPr>
        <w:t>开</w:t>
      </w:r>
      <w:r>
        <w:t>工</w:t>
      </w:r>
      <w:r>
        <w:rPr>
          <w:spacing w:val="-3"/>
        </w:rPr>
        <w:t>通</w:t>
      </w:r>
      <w:r>
        <w:t>知</w:t>
      </w:r>
      <w:r>
        <w:rPr>
          <w:spacing w:val="-3"/>
        </w:rPr>
        <w:t>中</w:t>
      </w:r>
      <w:r>
        <w:t>载</w:t>
      </w:r>
      <w:r>
        <w:rPr>
          <w:spacing w:val="-3"/>
        </w:rPr>
        <w:t>明</w:t>
      </w:r>
      <w:r>
        <w:t>的</w:t>
      </w:r>
      <w:r>
        <w:rPr>
          <w:spacing w:val="-3"/>
        </w:rPr>
        <w:t>开</w:t>
      </w:r>
      <w:r>
        <w:t>工日</w:t>
      </w:r>
      <w:r>
        <w:rPr>
          <w:spacing w:val="-3"/>
        </w:rPr>
        <w:t>期</w:t>
      </w:r>
      <w:r>
        <w:t>前</w:t>
      </w:r>
      <w:r>
        <w:rPr>
          <w:u w:val="single"/>
        </w:rPr>
        <w:t xml:space="preserve"> </w:t>
      </w:r>
      <w:r>
        <w:rPr>
          <w:spacing w:val="17"/>
          <w:u w:val="single"/>
        </w:rPr>
        <w:t xml:space="preserve"> </w:t>
      </w:r>
      <w:r>
        <w:rPr>
          <w:rFonts w:ascii="Times New Roman" w:eastAsia="Times New Roman"/>
          <w:u w:val="single"/>
        </w:rPr>
        <w:t>10</w:t>
      </w:r>
      <w:r>
        <w:rPr>
          <w:rFonts w:ascii="Times New Roman" w:eastAsia="Times New Roman"/>
          <w:u w:val="single"/>
        </w:rPr>
        <w:tab/>
      </w:r>
      <w:r>
        <w:t>天</w:t>
      </w:r>
      <w:r>
        <w:rPr>
          <w:spacing w:val="-3"/>
        </w:rPr>
        <w:t>具</w:t>
      </w:r>
      <w:r>
        <w:t>备</w:t>
      </w:r>
      <w:r>
        <w:rPr>
          <w:spacing w:val="-3"/>
        </w:rPr>
        <w:t>施</w:t>
      </w:r>
      <w:r>
        <w:t>工条</w:t>
      </w:r>
      <w:r>
        <w:rPr>
          <w:spacing w:val="-3"/>
        </w:rPr>
        <w:t>件</w:t>
      </w:r>
      <w:r>
        <w:t>并</w:t>
      </w:r>
      <w:r>
        <w:rPr>
          <w:spacing w:val="-3"/>
        </w:rPr>
        <w:t>移</w:t>
      </w:r>
      <w:r>
        <w:t>交</w:t>
      </w:r>
      <w:r>
        <w:rPr>
          <w:spacing w:val="-3"/>
        </w:rPr>
        <w:t>给承包人</w:t>
      </w:r>
      <w:r>
        <w:t>。</w:t>
      </w:r>
    </w:p>
    <w:p>
      <w:pPr>
        <w:pStyle w:val="10"/>
        <w:spacing w:before="6"/>
        <w:rPr>
          <w:sz w:val="9"/>
        </w:rPr>
      </w:pPr>
    </w:p>
    <w:p>
      <w:pPr>
        <w:pStyle w:val="10"/>
        <w:spacing w:before="78"/>
        <w:ind w:left="633"/>
      </w:pPr>
      <w:r>
        <w:rPr>
          <w:rFonts w:ascii="Times New Roman" w:eastAsia="Times New Roman"/>
        </w:rPr>
        <w:t xml:space="preserve">2.5 </w:t>
      </w:r>
      <w:r>
        <w:t>支付合同价款</w:t>
      </w:r>
    </w:p>
    <w:p>
      <w:pPr>
        <w:pStyle w:val="10"/>
        <w:spacing w:before="6"/>
        <w:rPr>
          <w:sz w:val="15"/>
        </w:rPr>
      </w:pPr>
    </w:p>
    <w:p>
      <w:pPr>
        <w:pStyle w:val="10"/>
        <w:spacing w:before="1"/>
        <w:ind w:left="633"/>
      </w:pPr>
      <w:r>
        <w:t>发包人不提供工程款支付担保。</w:t>
      </w:r>
    </w:p>
    <w:p>
      <w:pPr>
        <w:pStyle w:val="10"/>
        <w:spacing w:before="6"/>
        <w:rPr>
          <w:sz w:val="15"/>
        </w:rPr>
      </w:pPr>
    </w:p>
    <w:p>
      <w:pPr>
        <w:pStyle w:val="10"/>
        <w:tabs>
          <w:tab w:val="left" w:pos="1105"/>
        </w:tabs>
        <w:ind w:left="633"/>
      </w:pPr>
      <w:r>
        <w:rPr>
          <w:rFonts w:ascii="Times New Roman" w:eastAsia="Times New Roman"/>
        </w:rPr>
        <w:t>2.7</w:t>
      </w:r>
      <w:r>
        <w:rPr>
          <w:rFonts w:ascii="Times New Roman" w:eastAsia="Times New Roman"/>
        </w:rPr>
        <w:tab/>
      </w:r>
      <w:r>
        <w:rPr>
          <w:spacing w:val="-3"/>
        </w:rPr>
        <w:t>其他义务：</w:t>
      </w:r>
    </w:p>
    <w:p>
      <w:pPr>
        <w:pStyle w:val="10"/>
        <w:spacing w:before="7"/>
        <w:rPr>
          <w:sz w:val="15"/>
        </w:rPr>
      </w:pPr>
    </w:p>
    <w:p>
      <w:pPr>
        <w:pStyle w:val="10"/>
        <w:ind w:left="633"/>
      </w:pPr>
      <w:r>
        <w:t>工程开工之前，发包人应完成下列各项前期工程：</w:t>
      </w:r>
    </w:p>
    <w:p>
      <w:pPr>
        <w:pStyle w:val="10"/>
        <w:spacing w:before="7"/>
        <w:rPr>
          <w:sz w:val="15"/>
        </w:rPr>
      </w:pPr>
    </w:p>
    <w:p>
      <w:pPr>
        <w:ind w:left="635"/>
        <w:rPr>
          <w:sz w:val="21"/>
        </w:rPr>
      </w:pPr>
      <w:r>
        <w:rPr>
          <w:sz w:val="21"/>
          <w:u w:val="single"/>
        </w:rPr>
        <w:t>搬迁安置受建设影响的居民与其他人，拆除项目场地的任何房屋、结构物或障碍物，以便在施工开始</w:t>
      </w:r>
    </w:p>
    <w:p>
      <w:pPr>
        <w:pStyle w:val="10"/>
        <w:rPr>
          <w:sz w:val="10"/>
        </w:rPr>
      </w:pPr>
    </w:p>
    <w:p>
      <w:pPr>
        <w:spacing w:before="71"/>
        <w:ind w:left="212"/>
        <w:rPr>
          <w:sz w:val="21"/>
        </w:rPr>
      </w:pPr>
      <w:r>
        <w:rPr>
          <w:sz w:val="21"/>
          <w:u w:val="single"/>
        </w:rPr>
        <w:t>前达到开工施工标准；以及提供本工程建设所必需的、到达项目场地规划红线的临时电力、供水、排水、</w:t>
      </w:r>
    </w:p>
    <w:p>
      <w:pPr>
        <w:pStyle w:val="10"/>
        <w:spacing w:before="12"/>
        <w:rPr>
          <w:sz w:val="9"/>
        </w:rPr>
      </w:pPr>
    </w:p>
    <w:p>
      <w:pPr>
        <w:spacing w:before="72"/>
        <w:ind w:left="212"/>
        <w:rPr>
          <w:sz w:val="21"/>
        </w:rPr>
      </w:pPr>
      <w:r>
        <w:rPr>
          <w:sz w:val="21"/>
          <w:u w:val="single"/>
        </w:rPr>
        <w:t>通讯以及道路设施。</w:t>
      </w:r>
    </w:p>
    <w:p>
      <w:pPr>
        <w:pStyle w:val="10"/>
        <w:rPr>
          <w:b/>
          <w:sz w:val="20"/>
        </w:rPr>
      </w:pPr>
    </w:p>
    <w:p>
      <w:pPr>
        <w:pStyle w:val="4"/>
      </w:pPr>
      <w:bookmarkStart w:id="323" w:name="_bookmark248"/>
      <w:bookmarkEnd w:id="323"/>
      <w:bookmarkStart w:id="324" w:name="_Toc37926079"/>
      <w:r>
        <w:rPr>
          <w:rFonts w:hint="eastAsia"/>
        </w:rPr>
        <w:t>3</w:t>
      </w:r>
      <w:r>
        <w:t>. 监理人</w:t>
      </w:r>
      <w:bookmarkEnd w:id="324"/>
    </w:p>
    <w:p>
      <w:pPr>
        <w:pStyle w:val="10"/>
        <w:spacing w:before="5"/>
        <w:rPr>
          <w:rFonts w:ascii="黑体"/>
          <w:sz w:val="38"/>
        </w:rPr>
      </w:pPr>
    </w:p>
    <w:p>
      <w:pPr>
        <w:pStyle w:val="10"/>
        <w:ind w:left="633"/>
      </w:pPr>
      <w:r>
        <w:rPr>
          <w:rFonts w:ascii="Times New Roman" w:eastAsia="Times New Roman"/>
        </w:rPr>
        <w:t>3.3</w:t>
      </w:r>
      <w:r>
        <w:rPr>
          <w:rFonts w:ascii="Times New Roman" w:eastAsia="Times New Roman"/>
          <w:spacing w:val="3"/>
        </w:rPr>
        <w:t xml:space="preserve">  </w:t>
      </w:r>
      <w:r>
        <w:rPr>
          <w:spacing w:val="-3"/>
        </w:rPr>
        <w:t>监理人员</w:t>
      </w:r>
    </w:p>
    <w:p>
      <w:pPr>
        <w:pStyle w:val="10"/>
        <w:rPr>
          <w:sz w:val="23"/>
        </w:rPr>
      </w:pPr>
    </w:p>
    <w:p>
      <w:pPr>
        <w:pStyle w:val="10"/>
        <w:ind w:left="738"/>
      </w:pPr>
      <w:r>
        <w:rPr>
          <w:rFonts w:ascii="Times New Roman" w:eastAsia="Times New Roman"/>
        </w:rPr>
        <w:t>3.3.4</w:t>
      </w:r>
      <w:r>
        <w:t>总监理工程师不应将第</w:t>
      </w:r>
      <w:r>
        <w:rPr>
          <w:rFonts w:ascii="Times New Roman" w:eastAsia="Times New Roman"/>
        </w:rPr>
        <w:t xml:space="preserve">3.5 </w:t>
      </w:r>
      <w:r>
        <w:t>款约定应由总监理工程师作出确定的权力授权或委托给其他监理人</w:t>
      </w:r>
    </w:p>
    <w:p>
      <w:pPr>
        <w:pStyle w:val="10"/>
        <w:spacing w:before="7"/>
        <w:rPr>
          <w:sz w:val="15"/>
        </w:rPr>
      </w:pPr>
    </w:p>
    <w:p>
      <w:pPr>
        <w:pStyle w:val="10"/>
        <w:ind w:left="212"/>
      </w:pPr>
      <w:r>
        <w:t>员。</w:t>
      </w:r>
    </w:p>
    <w:p>
      <w:pPr>
        <w:pStyle w:val="10"/>
        <w:rPr>
          <w:sz w:val="23"/>
        </w:rPr>
      </w:pPr>
    </w:p>
    <w:p>
      <w:pPr>
        <w:pStyle w:val="10"/>
        <w:ind w:left="738"/>
      </w:pPr>
      <w:r>
        <w:rPr>
          <w:rFonts w:hint="eastAsia"/>
          <w:sz w:val="24"/>
        </w:rPr>
        <w:t>■</w:t>
      </w:r>
      <w:r>
        <w:rPr>
          <w:rFonts w:ascii="Times New Roman" w:hAnsi="Times New Roman" w:eastAsia="Times New Roman"/>
          <w:spacing w:val="51"/>
        </w:rPr>
        <w:t xml:space="preserve"> </w:t>
      </w:r>
      <w:r>
        <w:rPr>
          <w:spacing w:val="-3"/>
        </w:rPr>
        <w:t>按通用条款的规定。</w:t>
      </w:r>
    </w:p>
    <w:p>
      <w:pPr>
        <w:pStyle w:val="10"/>
        <w:tabs>
          <w:tab w:val="left" w:pos="3681"/>
          <w:tab w:val="left" w:pos="7145"/>
        </w:tabs>
        <w:spacing w:before="1"/>
        <w:ind w:left="738"/>
      </w:pPr>
      <w:r>
        <w:t>□另</w:t>
      </w:r>
      <w:r>
        <w:rPr>
          <w:spacing w:val="-3"/>
        </w:rPr>
        <w:t>作</w:t>
      </w:r>
      <w:r>
        <w:t>约</w:t>
      </w:r>
      <w:r>
        <w:rPr>
          <w:spacing w:val="-3"/>
        </w:rPr>
        <w:t>定</w:t>
      </w:r>
      <w:r>
        <w:t>:</w:t>
      </w:r>
      <w:r>
        <w:rPr>
          <w:u w:val="single"/>
        </w:rPr>
        <w:t xml:space="preserve"> </w:t>
      </w:r>
      <w:r>
        <w:rPr>
          <w:u w:val="single"/>
        </w:rPr>
        <w:tab/>
      </w:r>
      <w:r>
        <w:rPr>
          <w:u w:val="single"/>
        </w:rPr>
        <w:t>/</w:t>
      </w:r>
      <w:r>
        <w:rPr>
          <w:u w:val="single"/>
        </w:rPr>
        <w:tab/>
      </w:r>
      <w:r>
        <w:t>。</w:t>
      </w:r>
    </w:p>
    <w:p>
      <w:pPr>
        <w:pStyle w:val="10"/>
        <w:rPr>
          <w:sz w:val="20"/>
        </w:rPr>
      </w:pPr>
    </w:p>
    <w:p>
      <w:pPr>
        <w:pStyle w:val="4"/>
      </w:pPr>
      <w:bookmarkStart w:id="325" w:name="_bookmark249"/>
      <w:bookmarkEnd w:id="325"/>
      <w:bookmarkStart w:id="326" w:name="_Toc37926080"/>
      <w:r>
        <w:rPr>
          <w:rFonts w:hint="eastAsia"/>
        </w:rPr>
        <w:t>4</w:t>
      </w:r>
      <w:r>
        <w:t>. 承包人</w:t>
      </w:r>
      <w:bookmarkEnd w:id="326"/>
    </w:p>
    <w:p>
      <w:pPr>
        <w:pStyle w:val="10"/>
        <w:spacing w:before="9"/>
        <w:rPr>
          <w:rFonts w:ascii="黑体"/>
          <w:sz w:val="36"/>
        </w:rPr>
      </w:pPr>
    </w:p>
    <w:p>
      <w:pPr>
        <w:tabs>
          <w:tab w:val="left" w:pos="1116"/>
        </w:tabs>
        <w:spacing w:before="1"/>
        <w:ind w:left="695"/>
        <w:rPr>
          <w:b/>
          <w:sz w:val="24"/>
        </w:rPr>
      </w:pPr>
      <w:r>
        <w:rPr>
          <w:rFonts w:hint="eastAsia"/>
          <w:b/>
          <w:sz w:val="24"/>
        </w:rPr>
        <w:t>4</w:t>
      </w:r>
      <w:r>
        <w:rPr>
          <w:b/>
          <w:sz w:val="24"/>
        </w:rPr>
        <w:t>.1 承包人的一般义务</w:t>
      </w:r>
    </w:p>
    <w:p>
      <w:pPr>
        <w:pStyle w:val="10"/>
        <w:spacing w:before="3"/>
        <w:rPr>
          <w:b/>
          <w:sz w:val="26"/>
        </w:rPr>
      </w:pPr>
    </w:p>
    <w:p>
      <w:pPr>
        <w:pStyle w:val="10"/>
        <w:ind w:left="633"/>
      </w:pPr>
      <w:r>
        <w:rPr>
          <w:rFonts w:ascii="Times New Roman" w:eastAsia="Times New Roman"/>
        </w:rPr>
        <w:t xml:space="preserve">4.1.3 </w:t>
      </w:r>
      <w:r>
        <w:rPr>
          <w:spacing w:val="-3"/>
        </w:rPr>
        <w:t>完成各项承包工作</w:t>
      </w:r>
    </w:p>
    <w:p>
      <w:pPr>
        <w:pStyle w:val="10"/>
        <w:spacing w:before="8"/>
        <w:rPr>
          <w:sz w:val="15"/>
        </w:rPr>
      </w:pPr>
    </w:p>
    <w:p>
      <w:pPr>
        <w:pStyle w:val="10"/>
        <w:spacing w:line="417" w:lineRule="auto"/>
        <w:ind w:left="212" w:right="441" w:firstLine="737"/>
      </w:pPr>
      <w:r>
        <w:t>发包人不提供材料和工程设备，承包人应提供合同约定的工程设备和承包人文件，以及为完成合</w:t>
      </w:r>
      <w:r>
        <w:rPr>
          <w:spacing w:val="-12"/>
        </w:rPr>
        <w:t>同工作所需的劳务、材料、施工设备和其他物品，并按合同约定负责临时设施的设计、施工、运行、维护、</w:t>
      </w:r>
      <w:r>
        <w:rPr>
          <w:spacing w:val="-6"/>
        </w:rPr>
        <w:t>管理和拆除。</w:t>
      </w:r>
    </w:p>
    <w:p>
      <w:pPr>
        <w:pStyle w:val="10"/>
        <w:tabs>
          <w:tab w:val="left" w:pos="5193"/>
          <w:tab w:val="left" w:pos="9327"/>
        </w:tabs>
        <w:spacing w:line="276" w:lineRule="exact"/>
        <w:ind w:left="633"/>
      </w:pPr>
      <w:r>
        <w:rPr>
          <w:lang w:val="en-US" w:bidi="ar-SA"/>
        </w:rPr>
        <w:pict>
          <v:line id="直线 9" o:spid="_x0000_s1030" o:spt="20" style="position:absolute;left:0pt;margin-left:161.75pt;margin-top:12.45pt;height:0pt;width:345.3pt;mso-position-horizontal-relative:page;z-index:251662336;mso-width-relative:page;mso-height-relative:page;" coordsize="21600,21600" o:gfxdata="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2gu/fZAAAACgEAAA8AAAAAAAAAAQAgAAAAIgAAAGRycy9kb3du&#10;cmV2LnhtbFBLAQIUABQAAAAIAIdO4kA8lohoxQEAAIEDAAAOAAAAAAAAAAEAIAAAACgBAABkcnMv&#10;ZTJvRG9jLnhtbFBLBQYAAAAABgAGAFkBAABfBQAAAAA=&#10;">
            <v:path arrowok="t"/>
            <v:fill focussize="0,0"/>
            <v:stroke weight="0.60007874015748pt"/>
            <v:imagedata o:title=""/>
            <o:lock v:ext="edit"/>
          </v:line>
        </w:pict>
      </w:r>
      <w:r>
        <w:rPr>
          <w:rFonts w:ascii="Times New Roman" w:eastAsia="Times New Roman"/>
        </w:rPr>
        <w:t xml:space="preserve">4.1.10 </w:t>
      </w:r>
      <w:r>
        <w:rPr>
          <w:rFonts w:ascii="Times New Roman" w:eastAsia="Times New Roman"/>
          <w:spacing w:val="1"/>
        </w:rPr>
        <w:t xml:space="preserve"> </w:t>
      </w:r>
      <w:r>
        <w:t>其</w:t>
      </w:r>
      <w:r>
        <w:rPr>
          <w:spacing w:val="-3"/>
        </w:rPr>
        <w:t>他</w:t>
      </w:r>
      <w:r>
        <w:t>义</w:t>
      </w:r>
      <w:r>
        <w:rPr>
          <w:spacing w:val="-3"/>
        </w:rPr>
        <w:t>务</w:t>
      </w:r>
      <w:r>
        <w:t>：</w:t>
      </w:r>
      <w:r>
        <w:tab/>
      </w:r>
      <w:r>
        <w:rPr>
          <w:rFonts w:ascii="Times New Roman" w:eastAsia="Times New Roman"/>
          <w:sz w:val="24"/>
        </w:rPr>
        <w:t>/</w:t>
      </w:r>
      <w:r>
        <w:rPr>
          <w:rFonts w:ascii="Times New Roman" w:eastAsia="Times New Roman"/>
          <w:sz w:val="24"/>
        </w:rPr>
        <w:tab/>
      </w:r>
      <w:r>
        <w:t>。</w:t>
      </w:r>
    </w:p>
    <w:p>
      <w:pPr>
        <w:pStyle w:val="10"/>
        <w:tabs>
          <w:tab w:val="left" w:pos="5193"/>
          <w:tab w:val="left" w:pos="9327"/>
        </w:tabs>
        <w:spacing w:line="276" w:lineRule="exact"/>
        <w:ind w:left="633"/>
      </w:pPr>
    </w:p>
    <w:p>
      <w:pPr>
        <w:pStyle w:val="10"/>
        <w:tabs>
          <w:tab w:val="left" w:pos="5193"/>
          <w:tab w:val="left" w:pos="9327"/>
        </w:tabs>
        <w:spacing w:line="276" w:lineRule="exact"/>
        <w:ind w:left="633"/>
        <w:rPr>
          <w:b/>
          <w:sz w:val="24"/>
        </w:rPr>
      </w:pPr>
      <w:r>
        <w:rPr>
          <w:rFonts w:ascii="Times New Roman" w:eastAsia="Times New Roman"/>
          <w:b/>
          <w:sz w:val="24"/>
        </w:rPr>
        <w:t>4.3</w:t>
      </w:r>
      <w:r>
        <w:rPr>
          <w:rFonts w:ascii="Times New Roman" w:eastAsia="Times New Roman"/>
          <w:b/>
          <w:spacing w:val="59"/>
          <w:sz w:val="24"/>
        </w:rPr>
        <w:t xml:space="preserve"> </w:t>
      </w:r>
      <w:r>
        <w:rPr>
          <w:b/>
          <w:sz w:val="24"/>
        </w:rPr>
        <w:t>分包和不得转包</w:t>
      </w:r>
    </w:p>
    <w:p>
      <w:pPr>
        <w:pStyle w:val="10"/>
        <w:spacing w:before="4"/>
        <w:rPr>
          <w:b/>
          <w:sz w:val="26"/>
        </w:rPr>
      </w:pPr>
    </w:p>
    <w:p>
      <w:pPr>
        <w:pStyle w:val="10"/>
        <w:spacing w:line="417" w:lineRule="auto"/>
        <w:ind w:left="212" w:right="546" w:firstLine="420"/>
      </w:pPr>
      <w:r>
        <w:rPr>
          <w:spacing w:val="-6"/>
        </w:rPr>
        <w:t>经过发包人和监理人的同意，承包人可以将非主体、非关键性工作分包给第三人，但分包人应当经过</w:t>
      </w:r>
      <w:r>
        <w:rPr>
          <w:spacing w:val="-4"/>
        </w:rPr>
        <w:t>发包人和监理人审批。发包人和监理人有权拒绝承包人的分包请求和承包人选择的分包人。</w:t>
      </w:r>
    </w:p>
    <w:p>
      <w:pPr>
        <w:pStyle w:val="10"/>
        <w:spacing w:before="3"/>
        <w:rPr>
          <w:sz w:val="19"/>
        </w:rPr>
      </w:pPr>
    </w:p>
    <w:p>
      <w:pPr>
        <w:ind w:left="695"/>
        <w:rPr>
          <w:b/>
          <w:sz w:val="24"/>
        </w:rPr>
      </w:pPr>
      <w:r>
        <w:rPr>
          <w:rFonts w:ascii="Times New Roman" w:eastAsia="Times New Roman"/>
          <w:b/>
          <w:w w:val="95"/>
          <w:sz w:val="24"/>
        </w:rPr>
        <w:t>4.6.</w:t>
      </w:r>
      <w:r>
        <w:rPr>
          <w:b/>
          <w:w w:val="95"/>
          <w:sz w:val="24"/>
        </w:rPr>
        <w:t>承包人人员的管理</w:t>
      </w:r>
    </w:p>
    <w:p>
      <w:pPr>
        <w:pStyle w:val="10"/>
        <w:spacing w:before="4"/>
        <w:rPr>
          <w:b/>
          <w:sz w:val="26"/>
        </w:rPr>
      </w:pPr>
    </w:p>
    <w:p>
      <w:pPr>
        <w:pStyle w:val="10"/>
        <w:spacing w:line="417" w:lineRule="auto"/>
        <w:ind w:left="212" w:right="546" w:firstLine="413"/>
      </w:pPr>
      <w:r>
        <w:t>4.6.5</w:t>
      </w:r>
      <w:r>
        <w:rPr>
          <w:spacing w:val="-3"/>
        </w:rPr>
        <w:t xml:space="preserve"> 因承包人擅自更换项目经理或主要施工管理人员，或前述人员未经监理人许可擅自离开施工现</w:t>
      </w:r>
      <w:r>
        <w:rPr>
          <w:spacing w:val="-12"/>
        </w:rPr>
        <w:t xml:space="preserve">场连续超过 </w:t>
      </w:r>
      <w:r>
        <w:t>3</w:t>
      </w:r>
      <w:r>
        <w:rPr>
          <w:spacing w:val="-9"/>
        </w:rPr>
        <w:t xml:space="preserve"> 天的违约约定：</w:t>
      </w:r>
    </w:p>
    <w:p>
      <w:pPr>
        <w:spacing w:line="269" w:lineRule="exact"/>
        <w:ind w:left="731"/>
        <w:rPr>
          <w:b/>
          <w:sz w:val="21"/>
        </w:rPr>
      </w:pPr>
      <w:r>
        <w:rPr>
          <w:sz w:val="21"/>
        </w:rPr>
        <w:t>1、</w:t>
      </w:r>
      <w:r>
        <w:rPr>
          <w:b/>
          <w:sz w:val="21"/>
          <w:u w:val="single"/>
        </w:rPr>
        <w:t>因承包人擅自更换项目经理或主要施工管理人员的，罚款拾万元/人次；擅自更换设计人员的，</w:t>
      </w:r>
    </w:p>
    <w:p>
      <w:pPr>
        <w:pStyle w:val="10"/>
        <w:rPr>
          <w:b/>
          <w:sz w:val="10"/>
        </w:rPr>
      </w:pPr>
    </w:p>
    <w:p>
      <w:pPr>
        <w:spacing w:before="72"/>
        <w:ind w:left="212"/>
        <w:rPr>
          <w:b/>
          <w:sz w:val="21"/>
        </w:rPr>
      </w:pPr>
      <w:r>
        <w:rPr>
          <w:b/>
          <w:sz w:val="21"/>
          <w:u w:val="single"/>
        </w:rPr>
        <w:t>罚款贰万元/</w:t>
      </w:r>
      <w:r>
        <w:rPr>
          <w:b/>
          <w:spacing w:val="2"/>
          <w:sz w:val="21"/>
          <w:u w:val="single"/>
        </w:rPr>
        <w:t xml:space="preserve">人次；累计罚款达到合签约合同额度 </w:t>
      </w:r>
      <w:r>
        <w:rPr>
          <w:b/>
          <w:sz w:val="21"/>
          <w:u w:val="single"/>
        </w:rPr>
        <w:t>10%时，发包人有权无条件终止双方合同，并无需支付</w:t>
      </w:r>
    </w:p>
    <w:p>
      <w:pPr>
        <w:pStyle w:val="10"/>
        <w:spacing w:before="12"/>
        <w:rPr>
          <w:b/>
          <w:sz w:val="9"/>
        </w:rPr>
      </w:pPr>
    </w:p>
    <w:p>
      <w:pPr>
        <w:spacing w:before="71"/>
        <w:ind w:left="212"/>
        <w:rPr>
          <w:b/>
          <w:sz w:val="21"/>
        </w:rPr>
      </w:pPr>
      <w:r>
        <w:rPr>
          <w:b/>
          <w:sz w:val="21"/>
          <w:u w:val="single"/>
        </w:rPr>
        <w:t>剩余合同费用且追究承包人因此而引起一切责任和损失。</w:t>
      </w:r>
    </w:p>
    <w:p>
      <w:pPr>
        <w:pStyle w:val="10"/>
        <w:spacing w:before="12"/>
        <w:rPr>
          <w:b/>
          <w:sz w:val="9"/>
        </w:rPr>
      </w:pPr>
    </w:p>
    <w:p>
      <w:pPr>
        <w:spacing w:before="72"/>
        <w:ind w:left="729"/>
        <w:rPr>
          <w:sz w:val="21"/>
        </w:rPr>
      </w:pPr>
      <w:r>
        <w:rPr>
          <w:sz w:val="21"/>
        </w:rPr>
        <w:t>2、</w:t>
      </w:r>
      <w:r>
        <w:rPr>
          <w:b/>
          <w:sz w:val="21"/>
          <w:u w:val="single"/>
        </w:rPr>
        <w:t>前述人员未经监理人许可擅自离开施工现场连续超过 3 天的，</w:t>
      </w:r>
      <w:r>
        <w:rPr>
          <w:rFonts w:hint="eastAsia"/>
          <w:b/>
          <w:sz w:val="21"/>
          <w:highlight w:val="yellow"/>
          <w:u w:val="single"/>
        </w:rPr>
        <w:t>按</w:t>
      </w:r>
      <w:r>
        <w:rPr>
          <w:b/>
          <w:sz w:val="21"/>
          <w:highlight w:val="yellow"/>
          <w:u w:val="single"/>
        </w:rPr>
        <w:t>3000 元/人</w:t>
      </w:r>
      <w:r>
        <w:rPr>
          <w:rFonts w:hint="eastAsia"/>
          <w:b/>
          <w:sz w:val="21"/>
          <w:highlight w:val="yellow"/>
          <w:u w:val="single"/>
        </w:rPr>
        <w:t>/</w:t>
      </w:r>
      <w:r>
        <w:rPr>
          <w:b/>
          <w:sz w:val="21"/>
          <w:highlight w:val="yellow"/>
          <w:u w:val="single"/>
        </w:rPr>
        <w:t>日</w:t>
      </w:r>
      <w:r>
        <w:rPr>
          <w:rFonts w:hint="eastAsia"/>
          <w:b/>
          <w:sz w:val="21"/>
          <w:highlight w:val="yellow"/>
          <w:u w:val="single"/>
        </w:rPr>
        <w:t>处罚</w:t>
      </w:r>
      <w:r>
        <w:rPr>
          <w:sz w:val="21"/>
          <w:highlight w:val="yellow"/>
        </w:rPr>
        <w:t>。</w:t>
      </w:r>
    </w:p>
    <w:p>
      <w:pPr>
        <w:pStyle w:val="10"/>
        <w:rPr>
          <w:sz w:val="20"/>
        </w:rPr>
      </w:pPr>
    </w:p>
    <w:p>
      <w:pPr>
        <w:pStyle w:val="4"/>
      </w:pPr>
      <w:bookmarkStart w:id="327" w:name="_bookmark250"/>
      <w:bookmarkEnd w:id="327"/>
      <w:bookmarkStart w:id="328" w:name="_Toc37926081"/>
      <w:r>
        <w:rPr>
          <w:rFonts w:hint="eastAsia"/>
          <w:spacing w:val="-1"/>
        </w:rPr>
        <w:t>6</w:t>
      </w:r>
      <w:r>
        <w:rPr>
          <w:spacing w:val="-1"/>
        </w:rPr>
        <w:t>. 材料和工程设备</w:t>
      </w:r>
      <w:bookmarkEnd w:id="328"/>
    </w:p>
    <w:p>
      <w:pPr>
        <w:pStyle w:val="10"/>
        <w:spacing w:before="2"/>
        <w:rPr>
          <w:rFonts w:ascii="黑体"/>
          <w:sz w:val="38"/>
        </w:rPr>
      </w:pPr>
    </w:p>
    <w:p>
      <w:pPr>
        <w:pStyle w:val="35"/>
        <w:numPr>
          <w:ilvl w:val="1"/>
          <w:numId w:val="78"/>
        </w:numPr>
        <w:tabs>
          <w:tab w:val="left" w:pos="954"/>
        </w:tabs>
        <w:ind w:left="953" w:hanging="319"/>
        <w:rPr>
          <w:sz w:val="19"/>
        </w:rPr>
      </w:pPr>
      <w:r>
        <w:rPr>
          <w:spacing w:val="-1"/>
          <w:sz w:val="21"/>
        </w:rPr>
        <w:t>承包人提供的材料和工程设备</w:t>
      </w:r>
    </w:p>
    <w:p>
      <w:pPr>
        <w:pStyle w:val="10"/>
        <w:spacing w:before="7"/>
        <w:rPr>
          <w:b/>
          <w:sz w:val="15"/>
        </w:rPr>
      </w:pPr>
    </w:p>
    <w:p>
      <w:pPr>
        <w:pStyle w:val="35"/>
        <w:numPr>
          <w:ilvl w:val="2"/>
          <w:numId w:val="78"/>
        </w:numPr>
        <w:tabs>
          <w:tab w:val="left" w:pos="1265"/>
        </w:tabs>
        <w:ind w:hanging="632"/>
        <w:rPr>
          <w:sz w:val="21"/>
        </w:rPr>
      </w:pPr>
      <w:r>
        <w:rPr>
          <w:spacing w:val="-3"/>
          <w:sz w:val="21"/>
        </w:rPr>
        <w:t>由承包人提供材料和工程设备的，其采购、运输、保管的规定：承包人负责。</w:t>
      </w:r>
    </w:p>
    <w:p>
      <w:pPr>
        <w:pStyle w:val="10"/>
        <w:spacing w:before="7"/>
        <w:rPr>
          <w:sz w:val="15"/>
        </w:rPr>
      </w:pPr>
    </w:p>
    <w:p>
      <w:pPr>
        <w:pStyle w:val="35"/>
        <w:numPr>
          <w:ilvl w:val="2"/>
          <w:numId w:val="78"/>
        </w:numPr>
        <w:tabs>
          <w:tab w:val="left" w:pos="1265"/>
        </w:tabs>
        <w:spacing w:line="417" w:lineRule="auto"/>
        <w:ind w:left="212" w:right="546" w:firstLine="420"/>
        <w:rPr>
          <w:sz w:val="21"/>
        </w:rPr>
      </w:pPr>
      <w:r>
        <w:rPr>
          <w:spacing w:val="-6"/>
          <w:sz w:val="21"/>
        </w:rPr>
        <w:t>承包人将由其提供的各项材料和工程设备的供货人及品种、技术要求、规格、数量和供货时间</w:t>
      </w:r>
      <w:r>
        <w:rPr>
          <w:spacing w:val="-4"/>
          <w:sz w:val="21"/>
        </w:rPr>
        <w:t>等报送监理人审批的期限：</w:t>
      </w:r>
      <w:r>
        <w:rPr>
          <w:sz w:val="21"/>
          <w:u w:val="single"/>
        </w:rPr>
        <w:t>14</w:t>
      </w:r>
      <w:r>
        <w:rPr>
          <w:spacing w:val="-2"/>
          <w:sz w:val="21"/>
          <w:u w:val="single"/>
        </w:rPr>
        <w:t>日历天</w:t>
      </w:r>
    </w:p>
    <w:p>
      <w:pPr>
        <w:pStyle w:val="10"/>
        <w:spacing w:before="3"/>
        <w:rPr>
          <w:sz w:val="18"/>
        </w:rPr>
      </w:pPr>
    </w:p>
    <w:p>
      <w:pPr>
        <w:pStyle w:val="4"/>
      </w:pPr>
      <w:bookmarkStart w:id="329" w:name="_bookmark251"/>
      <w:bookmarkEnd w:id="329"/>
      <w:bookmarkStart w:id="330" w:name="_Toc37926082"/>
      <w:r>
        <w:rPr>
          <w:rFonts w:hint="eastAsia"/>
          <w:spacing w:val="-3"/>
        </w:rPr>
        <w:t>7</w:t>
      </w:r>
      <w:r>
        <w:rPr>
          <w:spacing w:val="-3"/>
        </w:rPr>
        <w:t>. 施工设备和临时设施</w:t>
      </w:r>
      <w:bookmarkEnd w:id="330"/>
    </w:p>
    <w:p>
      <w:pPr>
        <w:pStyle w:val="10"/>
        <w:spacing w:before="4"/>
        <w:rPr>
          <w:rFonts w:ascii="黑体"/>
          <w:sz w:val="38"/>
        </w:rPr>
      </w:pPr>
    </w:p>
    <w:p>
      <w:pPr>
        <w:tabs>
          <w:tab w:val="left" w:pos="1056"/>
        </w:tabs>
        <w:ind w:firstLine="497" w:firstLineChars="244"/>
        <w:jc w:val="both"/>
        <w:rPr>
          <w:sz w:val="21"/>
        </w:rPr>
      </w:pPr>
      <w:r>
        <w:rPr>
          <w:rFonts w:hint="eastAsia"/>
          <w:spacing w:val="-3"/>
          <w:sz w:val="21"/>
        </w:rPr>
        <w:t xml:space="preserve">7.1.1 </w:t>
      </w:r>
      <w:r>
        <w:rPr>
          <w:spacing w:val="-3"/>
          <w:sz w:val="21"/>
        </w:rPr>
        <w:t>承包人提供的施工设备和临时设施</w:t>
      </w:r>
    </w:p>
    <w:p>
      <w:pPr>
        <w:pStyle w:val="10"/>
        <w:spacing w:before="7"/>
        <w:rPr>
          <w:sz w:val="15"/>
        </w:rPr>
      </w:pPr>
    </w:p>
    <w:p>
      <w:pPr>
        <w:pStyle w:val="10"/>
        <w:spacing w:line="417" w:lineRule="auto"/>
        <w:ind w:left="212" w:right="525" w:firstLine="420"/>
        <w:jc w:val="both"/>
      </w:pPr>
      <w:r>
        <w:t>7.1.2</w:t>
      </w:r>
      <w:r>
        <w:rPr>
          <w:spacing w:val="-3"/>
        </w:rPr>
        <w:t>关于修建临时设施费用承担的约定：承包人自行承担修建临时设施的费用,向发包人、监理人、</w:t>
      </w:r>
      <w:r>
        <w:rPr>
          <w:spacing w:val="-7"/>
        </w:rPr>
        <w:t>造价咨询、设计等单位无偿提供临时办公室，并提供网络、通讯、传真、打印复印等办公所需的设施和条件。</w:t>
      </w:r>
    </w:p>
    <w:p>
      <w:pPr>
        <w:pStyle w:val="10"/>
        <w:rPr>
          <w:sz w:val="23"/>
        </w:rPr>
      </w:pPr>
    </w:p>
    <w:p>
      <w:pPr>
        <w:pStyle w:val="4"/>
      </w:pPr>
      <w:bookmarkStart w:id="331" w:name="_bookmark252"/>
      <w:bookmarkEnd w:id="331"/>
      <w:bookmarkStart w:id="332" w:name="_Toc37926083"/>
      <w:r>
        <w:rPr>
          <w:rFonts w:hint="eastAsia"/>
          <w:spacing w:val="-1"/>
        </w:rPr>
        <w:t>8</w:t>
      </w:r>
      <w:r>
        <w:rPr>
          <w:spacing w:val="-1"/>
        </w:rPr>
        <w:t>. 交通运输</w:t>
      </w:r>
      <w:bookmarkEnd w:id="332"/>
    </w:p>
    <w:p>
      <w:pPr>
        <w:pStyle w:val="10"/>
        <w:spacing w:before="5"/>
        <w:rPr>
          <w:rFonts w:ascii="黑体"/>
          <w:sz w:val="38"/>
        </w:rPr>
      </w:pPr>
    </w:p>
    <w:p>
      <w:pPr>
        <w:ind w:firstLine="220" w:firstLineChars="100"/>
      </w:pPr>
      <w:r>
        <w:rPr>
          <w:rFonts w:hint="eastAsia"/>
        </w:rPr>
        <w:t>8</w:t>
      </w:r>
      <w:r>
        <w:t>.2 场内施工道路</w:t>
      </w:r>
    </w:p>
    <w:p>
      <w:pPr>
        <w:pStyle w:val="10"/>
        <w:rPr>
          <w:b/>
          <w:sz w:val="23"/>
        </w:rPr>
      </w:pPr>
    </w:p>
    <w:p>
      <w:pPr>
        <w:tabs>
          <w:tab w:val="left" w:pos="1214"/>
          <w:tab w:val="left" w:pos="4101"/>
          <w:tab w:val="left" w:pos="7565"/>
        </w:tabs>
        <w:spacing w:before="59"/>
        <w:ind w:firstLine="240" w:firstLineChars="100"/>
      </w:pPr>
      <w:r>
        <w:rPr>
          <w:rFonts w:hint="eastAsia"/>
          <w:sz w:val="24"/>
        </w:rPr>
        <w:t>8</w:t>
      </w:r>
      <w:r>
        <w:rPr>
          <w:sz w:val="24"/>
        </w:rPr>
        <w:t>.2.1</w:t>
      </w:r>
      <w:r>
        <w:rPr>
          <w:rFonts w:hint="eastAsia"/>
          <w:sz w:val="24"/>
        </w:rPr>
        <w:t>■</w:t>
      </w:r>
      <w:r>
        <w:rPr>
          <w:rFonts w:ascii="Times New Roman" w:hAnsi="Times New Roman" w:eastAsia="Times New Roman"/>
          <w:spacing w:val="49"/>
          <w:sz w:val="21"/>
        </w:rPr>
        <w:t xml:space="preserve"> </w:t>
      </w:r>
      <w:r>
        <w:rPr>
          <w:spacing w:val="-3"/>
          <w:sz w:val="21"/>
        </w:rPr>
        <w:t>按通用条款的规定。</w:t>
      </w:r>
    </w:p>
    <w:p>
      <w:pPr>
        <w:tabs>
          <w:tab w:val="left" w:pos="1214"/>
          <w:tab w:val="left" w:pos="4101"/>
          <w:tab w:val="left" w:pos="7565"/>
        </w:tabs>
        <w:spacing w:before="59"/>
        <w:ind w:firstLine="660" w:firstLineChars="300"/>
      </w:pPr>
      <w:r>
        <w:t>□另</w:t>
      </w:r>
      <w:r>
        <w:rPr>
          <w:spacing w:val="-3"/>
        </w:rPr>
        <w:t>作</w:t>
      </w:r>
      <w:r>
        <w:t>约</w:t>
      </w:r>
      <w:r>
        <w:rPr>
          <w:spacing w:val="-3"/>
        </w:rPr>
        <w:t>定</w:t>
      </w:r>
      <w:r>
        <w:t>:</w:t>
      </w:r>
      <w:r>
        <w:rPr>
          <w:u w:val="single"/>
        </w:rPr>
        <w:t xml:space="preserve"> </w:t>
      </w:r>
      <w:r>
        <w:rPr>
          <w:u w:val="single"/>
        </w:rPr>
        <w:tab/>
      </w:r>
      <w:r>
        <w:rPr>
          <w:u w:val="single"/>
        </w:rPr>
        <w:t>/</w:t>
      </w:r>
      <w:r>
        <w:rPr>
          <w:u w:val="single"/>
        </w:rPr>
        <w:tab/>
      </w:r>
      <w:r>
        <w:t>。</w:t>
      </w:r>
    </w:p>
    <w:p>
      <w:pPr>
        <w:pStyle w:val="10"/>
        <w:rPr>
          <w:sz w:val="20"/>
        </w:rPr>
      </w:pPr>
    </w:p>
    <w:p>
      <w:pPr>
        <w:tabs>
          <w:tab w:val="left" w:pos="1265"/>
        </w:tabs>
        <w:spacing w:before="71"/>
        <w:ind w:firstLine="204" w:firstLineChars="100"/>
        <w:rPr>
          <w:sz w:val="21"/>
        </w:rPr>
      </w:pPr>
      <w:r>
        <w:rPr>
          <w:rFonts w:hint="eastAsia"/>
          <w:spacing w:val="-3"/>
          <w:sz w:val="21"/>
        </w:rPr>
        <w:t>8</w:t>
      </w:r>
      <w:r>
        <w:rPr>
          <w:spacing w:val="-3"/>
          <w:sz w:val="21"/>
        </w:rPr>
        <w:t>.2.2发包人和监理人有权无偿使用承包人修建的临时道路和交通设施，不需要交纳任何费用。</w:t>
      </w:r>
    </w:p>
    <w:p>
      <w:pPr>
        <w:pStyle w:val="10"/>
        <w:rPr>
          <w:sz w:val="20"/>
        </w:rPr>
      </w:pPr>
    </w:p>
    <w:p>
      <w:pPr>
        <w:pStyle w:val="10"/>
        <w:spacing w:before="7"/>
        <w:rPr>
          <w:sz w:val="18"/>
        </w:rPr>
      </w:pPr>
    </w:p>
    <w:p>
      <w:pPr>
        <w:pStyle w:val="4"/>
      </w:pPr>
      <w:bookmarkStart w:id="333" w:name="_bookmark253"/>
      <w:bookmarkEnd w:id="333"/>
      <w:bookmarkStart w:id="334" w:name="_Toc37926084"/>
      <w:r>
        <w:t>9.测量放线</w:t>
      </w:r>
      <w:bookmarkEnd w:id="334"/>
    </w:p>
    <w:p>
      <w:pPr>
        <w:pStyle w:val="10"/>
        <w:spacing w:before="2"/>
        <w:rPr>
          <w:rFonts w:ascii="黑体"/>
          <w:sz w:val="38"/>
        </w:rPr>
      </w:pPr>
    </w:p>
    <w:p>
      <w:pPr>
        <w:ind w:firstLine="220" w:firstLineChars="100"/>
      </w:pPr>
      <w:r>
        <w:rPr>
          <w:rFonts w:hint="eastAsia"/>
        </w:rPr>
        <w:t>9</w:t>
      </w:r>
      <w:r>
        <w:t>.1 施工控制网</w:t>
      </w:r>
    </w:p>
    <w:p>
      <w:pPr>
        <w:pStyle w:val="10"/>
        <w:spacing w:before="12"/>
        <w:rPr>
          <w:b/>
          <w:sz w:val="14"/>
        </w:rPr>
      </w:pPr>
    </w:p>
    <w:p>
      <w:pPr>
        <w:pStyle w:val="35"/>
        <w:numPr>
          <w:ilvl w:val="2"/>
          <w:numId w:val="79"/>
        </w:numPr>
        <w:tabs>
          <w:tab w:val="left" w:pos="739"/>
        </w:tabs>
        <w:rPr>
          <w:b/>
          <w:spacing w:val="-3"/>
          <w:sz w:val="21"/>
          <w:u w:val="single"/>
        </w:rPr>
      </w:pPr>
      <w:r>
        <w:rPr>
          <w:spacing w:val="-3"/>
          <w:sz w:val="21"/>
        </w:rPr>
        <w:t>发包人通过监理人向承包人提供测量基准点、基准线和水准点机器书面资料的期限：</w:t>
      </w:r>
      <w:r>
        <w:rPr>
          <w:rFonts w:hint="eastAsia"/>
          <w:b/>
          <w:spacing w:val="-3"/>
          <w:sz w:val="21"/>
          <w:u w:val="single"/>
        </w:rPr>
        <w:t>开工通知发出</w:t>
      </w:r>
    </w:p>
    <w:p>
      <w:pPr>
        <w:pStyle w:val="10"/>
        <w:spacing w:before="1"/>
        <w:rPr>
          <w:b/>
          <w:spacing w:val="-3"/>
          <w:szCs w:val="22"/>
          <w:u w:val="single"/>
        </w:rPr>
      </w:pPr>
    </w:p>
    <w:p>
      <w:pPr>
        <w:spacing w:before="70"/>
        <w:ind w:left="212"/>
        <w:rPr>
          <w:b/>
          <w:spacing w:val="-3"/>
          <w:sz w:val="21"/>
          <w:u w:val="single"/>
        </w:rPr>
      </w:pPr>
      <w:r>
        <w:rPr>
          <w:rFonts w:hint="eastAsia"/>
          <w:b/>
          <w:spacing w:val="-3"/>
          <w:sz w:val="21"/>
          <w:u w:val="single"/>
        </w:rPr>
        <w:t>后</w:t>
      </w:r>
      <w:r>
        <w:rPr>
          <w:b/>
          <w:spacing w:val="-3"/>
          <w:sz w:val="21"/>
          <w:u w:val="single"/>
        </w:rPr>
        <w:t>。</w:t>
      </w:r>
    </w:p>
    <w:p>
      <w:pPr>
        <w:pStyle w:val="10"/>
        <w:spacing w:before="7"/>
        <w:rPr>
          <w:sz w:val="9"/>
        </w:rPr>
      </w:pPr>
    </w:p>
    <w:p>
      <w:pPr>
        <w:pStyle w:val="10"/>
        <w:tabs>
          <w:tab w:val="left" w:pos="9457"/>
        </w:tabs>
        <w:spacing w:before="72"/>
        <w:ind w:left="212"/>
      </w:pPr>
      <w:r>
        <w:rPr>
          <w:lang w:val="en-US" w:bidi="ar-SA"/>
        </w:rPr>
        <w:pict>
          <v:line id="直线 10" o:spid="_x0000_s1029" o:spt="20" style="position:absolute;left:0pt;margin-left:203.8pt;margin-top:15.5pt;height:0pt;width:315.05pt;mso-position-horizontal-relative:page;z-index:251663360;mso-width-relative:page;mso-height-relative:page;" coordsize="21600,21600" o:gfxdata="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4tlMPYAAAACgEAAA8AAAAAAAAAAQAgAAAAIgAAAGRycy9kb3du&#10;cmV2LnhtbFBLAQIUABQAAAAIAIdO4kC/gPruxgEAAIMDAAAOAAAAAAAAAAEAIAAAACcBAABkcnMv&#10;ZTJvRG9jLnhtbFBLBQYAAAAABgAGAFkBAABfBQAAAAA=&#10;">
            <v:path arrowok="t"/>
            <v:fill focussize="0,0"/>
            <v:stroke weight="0.48pt"/>
            <v:imagedata o:title=""/>
            <o:lock v:ext="edit"/>
          </v:line>
        </w:pict>
      </w:r>
      <w:r>
        <w:t>承包</w:t>
      </w:r>
      <w:r>
        <w:rPr>
          <w:spacing w:val="-3"/>
        </w:rPr>
        <w:t>人</w:t>
      </w:r>
      <w:r>
        <w:t>测</w:t>
      </w:r>
      <w:r>
        <w:rPr>
          <w:spacing w:val="-3"/>
        </w:rPr>
        <w:t>设</w:t>
      </w:r>
      <w:r>
        <w:t>施</w:t>
      </w:r>
      <w:r>
        <w:rPr>
          <w:spacing w:val="-3"/>
        </w:rPr>
        <w:t>工</w:t>
      </w:r>
      <w:r>
        <w:t>控</w:t>
      </w:r>
      <w:r>
        <w:rPr>
          <w:spacing w:val="-3"/>
        </w:rPr>
        <w:t>制</w:t>
      </w:r>
      <w:r>
        <w:t>网</w:t>
      </w:r>
      <w:r>
        <w:rPr>
          <w:spacing w:val="-3"/>
        </w:rPr>
        <w:t>的</w:t>
      </w:r>
      <w:r>
        <w:t>要求：</w:t>
      </w:r>
      <w:r>
        <w:tab/>
      </w:r>
      <w:r>
        <w:t>。</w:t>
      </w:r>
    </w:p>
    <w:p>
      <w:pPr>
        <w:pStyle w:val="10"/>
        <w:spacing w:before="2"/>
        <w:rPr>
          <w:sz w:val="8"/>
        </w:rPr>
      </w:pPr>
    </w:p>
    <w:p>
      <w:pPr>
        <w:pStyle w:val="10"/>
        <w:tabs>
          <w:tab w:val="left" w:pos="9360"/>
        </w:tabs>
        <w:spacing w:before="74"/>
        <w:ind w:left="212"/>
        <w:rPr>
          <w:sz w:val="24"/>
        </w:rPr>
      </w:pPr>
      <w:r>
        <w:t>承包</w:t>
      </w:r>
      <w:r>
        <w:rPr>
          <w:spacing w:val="-3"/>
        </w:rPr>
        <w:t>人</w:t>
      </w:r>
      <w:r>
        <w:t>将</w:t>
      </w:r>
      <w:r>
        <w:rPr>
          <w:spacing w:val="-3"/>
        </w:rPr>
        <w:t>施</w:t>
      </w:r>
      <w:r>
        <w:t>工</w:t>
      </w:r>
      <w:r>
        <w:rPr>
          <w:spacing w:val="-3"/>
        </w:rPr>
        <w:t>控</w:t>
      </w:r>
      <w:r>
        <w:t>制</w:t>
      </w:r>
      <w:r>
        <w:rPr>
          <w:spacing w:val="-3"/>
        </w:rPr>
        <w:t>网</w:t>
      </w:r>
      <w:r>
        <w:t>资</w:t>
      </w:r>
      <w:r>
        <w:rPr>
          <w:spacing w:val="-3"/>
        </w:rPr>
        <w:t>料</w:t>
      </w:r>
      <w:r>
        <w:t>报送</w:t>
      </w:r>
      <w:r>
        <w:rPr>
          <w:spacing w:val="-3"/>
        </w:rPr>
        <w:t>监</w:t>
      </w:r>
      <w:r>
        <w:t>理</w:t>
      </w:r>
      <w:r>
        <w:rPr>
          <w:spacing w:val="-3"/>
        </w:rPr>
        <w:t>人</w:t>
      </w:r>
      <w:r>
        <w:t>审</w:t>
      </w:r>
      <w:r>
        <w:rPr>
          <w:spacing w:val="-3"/>
        </w:rPr>
        <w:t>批</w:t>
      </w:r>
      <w:r>
        <w:t>的</w:t>
      </w:r>
      <w:r>
        <w:rPr>
          <w:spacing w:val="-3"/>
        </w:rPr>
        <w:t>期</w:t>
      </w:r>
      <w:r>
        <w:t>限</w:t>
      </w:r>
      <w:r>
        <w:rPr>
          <w:spacing w:val="-3"/>
          <w:sz w:val="24"/>
        </w:rPr>
        <w:t>：</w:t>
      </w:r>
      <w:r>
        <w:rPr>
          <w:spacing w:val="-3"/>
          <w:sz w:val="24"/>
          <w:u w:val="single"/>
        </w:rPr>
        <w:t xml:space="preserve"> </w:t>
      </w:r>
      <w:r>
        <w:rPr>
          <w:spacing w:val="-3"/>
          <w:sz w:val="24"/>
          <w:u w:val="single"/>
        </w:rPr>
        <w:tab/>
      </w:r>
      <w:r>
        <w:rPr>
          <w:sz w:val="24"/>
        </w:rPr>
        <w:t>。</w:t>
      </w:r>
    </w:p>
    <w:p>
      <w:pPr>
        <w:pStyle w:val="10"/>
        <w:rPr>
          <w:sz w:val="20"/>
        </w:rPr>
      </w:pPr>
    </w:p>
    <w:p>
      <w:pPr>
        <w:pStyle w:val="4"/>
      </w:pPr>
      <w:bookmarkStart w:id="335" w:name="_bookmark254"/>
      <w:bookmarkEnd w:id="335"/>
      <w:bookmarkStart w:id="336" w:name="_Toc37926085"/>
      <w:r>
        <w:rPr>
          <w:rFonts w:hint="eastAsia"/>
        </w:rPr>
        <w:t>1</w:t>
      </w:r>
      <w:r>
        <w:t>1. 开始工作和竣工</w:t>
      </w:r>
      <w:bookmarkEnd w:id="336"/>
    </w:p>
    <w:p>
      <w:pPr>
        <w:pStyle w:val="10"/>
        <w:spacing w:before="2"/>
        <w:rPr>
          <w:rFonts w:ascii="黑体"/>
          <w:b/>
          <w:sz w:val="41"/>
        </w:rPr>
      </w:pPr>
    </w:p>
    <w:p>
      <w:pPr>
        <w:ind w:firstLine="220" w:firstLineChars="100"/>
      </w:pPr>
      <w:bookmarkStart w:id="337" w:name="_bookmark255"/>
      <w:bookmarkEnd w:id="337"/>
      <w:r>
        <w:rPr>
          <w:rFonts w:hint="eastAsia"/>
        </w:rPr>
        <w:t>1</w:t>
      </w:r>
      <w:r>
        <w:t>1.1开始工作</w:t>
      </w:r>
    </w:p>
    <w:p>
      <w:pPr>
        <w:pStyle w:val="10"/>
        <w:spacing w:before="2"/>
        <w:rPr>
          <w:rFonts w:ascii="黑体"/>
          <w:sz w:val="38"/>
        </w:rPr>
      </w:pPr>
    </w:p>
    <w:p>
      <w:pPr>
        <w:pStyle w:val="35"/>
        <w:numPr>
          <w:ilvl w:val="0"/>
          <w:numId w:val="80"/>
        </w:numPr>
        <w:tabs>
          <w:tab w:val="left" w:pos="743"/>
          <w:tab w:val="left" w:pos="8662"/>
        </w:tabs>
        <w:ind w:hanging="531"/>
        <w:rPr>
          <w:sz w:val="21"/>
        </w:rPr>
      </w:pPr>
      <w:r>
        <w:rPr>
          <w:sz w:val="21"/>
        </w:rPr>
        <w:t>开</w:t>
      </w:r>
      <w:r>
        <w:rPr>
          <w:spacing w:val="-3"/>
          <w:sz w:val="21"/>
        </w:rPr>
        <w:t>始</w:t>
      </w:r>
      <w:r>
        <w:rPr>
          <w:sz w:val="21"/>
        </w:rPr>
        <w:t>工</w:t>
      </w:r>
      <w:r>
        <w:rPr>
          <w:spacing w:val="-3"/>
          <w:sz w:val="21"/>
        </w:rPr>
        <w:t>作</w:t>
      </w:r>
      <w:r>
        <w:rPr>
          <w:sz w:val="21"/>
        </w:rPr>
        <w:t>的</w:t>
      </w:r>
      <w:r>
        <w:rPr>
          <w:spacing w:val="-3"/>
          <w:sz w:val="21"/>
        </w:rPr>
        <w:t>条</w:t>
      </w:r>
      <w:r>
        <w:rPr>
          <w:sz w:val="21"/>
        </w:rPr>
        <w:t>件：</w:t>
      </w:r>
      <w:r>
        <w:rPr>
          <w:sz w:val="21"/>
          <w:u w:val="single"/>
        </w:rPr>
        <w:t xml:space="preserve"> </w:t>
      </w:r>
      <w:r>
        <w:rPr>
          <w:sz w:val="21"/>
          <w:u w:val="single"/>
        </w:rPr>
        <w:tab/>
      </w:r>
      <w:r>
        <w:rPr>
          <w:sz w:val="21"/>
        </w:rPr>
        <w:t>。</w:t>
      </w:r>
    </w:p>
    <w:p>
      <w:pPr>
        <w:pStyle w:val="10"/>
        <w:spacing w:before="5"/>
        <w:rPr>
          <w:sz w:val="9"/>
        </w:rPr>
      </w:pPr>
    </w:p>
    <w:p>
      <w:pPr>
        <w:pStyle w:val="35"/>
        <w:numPr>
          <w:ilvl w:val="0"/>
          <w:numId w:val="80"/>
        </w:numPr>
        <w:tabs>
          <w:tab w:val="left" w:pos="743"/>
        </w:tabs>
        <w:spacing w:before="79"/>
        <w:ind w:hanging="531"/>
        <w:rPr>
          <w:sz w:val="21"/>
        </w:rPr>
      </w:pPr>
      <w:r>
        <w:rPr>
          <w:spacing w:val="-3"/>
          <w:sz w:val="21"/>
        </w:rPr>
        <w:t>因发包人原因造成监理人未能在合同签订之日起</w:t>
      </w:r>
      <w:r>
        <w:rPr>
          <w:sz w:val="21"/>
        </w:rPr>
        <w:t>90</w:t>
      </w:r>
      <w:r>
        <w:rPr>
          <w:spacing w:val="-3"/>
          <w:sz w:val="21"/>
        </w:rPr>
        <w:t>天内发出开始工作通知的违约规定：</w:t>
      </w:r>
    </w:p>
    <w:p>
      <w:pPr>
        <w:pStyle w:val="10"/>
        <w:rPr>
          <w:sz w:val="23"/>
        </w:rPr>
      </w:pPr>
    </w:p>
    <w:p>
      <w:pPr>
        <w:pStyle w:val="10"/>
        <w:ind w:left="738"/>
      </w:pPr>
      <w:r>
        <w:rPr>
          <w:rFonts w:hint="eastAsia"/>
          <w:sz w:val="24"/>
        </w:rPr>
        <w:t>■</w:t>
      </w:r>
      <w:r>
        <w:rPr>
          <w:rFonts w:ascii="Times New Roman" w:hAnsi="Times New Roman" w:eastAsia="Times New Roman"/>
          <w:spacing w:val="51"/>
        </w:rPr>
        <w:t xml:space="preserve"> </w:t>
      </w:r>
      <w:r>
        <w:rPr>
          <w:spacing w:val="-3"/>
        </w:rPr>
        <w:t>按通用条款的规定。</w:t>
      </w:r>
    </w:p>
    <w:p>
      <w:pPr>
        <w:pStyle w:val="10"/>
        <w:spacing w:before="7"/>
        <w:rPr>
          <w:sz w:val="15"/>
        </w:rPr>
      </w:pPr>
    </w:p>
    <w:p>
      <w:pPr>
        <w:pStyle w:val="10"/>
        <w:tabs>
          <w:tab w:val="left" w:pos="7250"/>
        </w:tabs>
        <w:ind w:left="738"/>
      </w:pPr>
      <w:r>
        <w:t>□另</w:t>
      </w:r>
      <w:r>
        <w:rPr>
          <w:spacing w:val="-3"/>
        </w:rPr>
        <w:t>作</w:t>
      </w:r>
      <w:r>
        <w:t>约</w:t>
      </w:r>
      <w:r>
        <w:rPr>
          <w:spacing w:val="-3"/>
        </w:rPr>
        <w:t>定</w:t>
      </w:r>
      <w:r>
        <w:t>:</w:t>
      </w:r>
      <w:r>
        <w:rPr>
          <w:u w:val="single"/>
        </w:rPr>
        <w:t xml:space="preserve"> </w:t>
      </w:r>
      <w:r>
        <w:rPr>
          <w:u w:val="single"/>
        </w:rPr>
        <w:tab/>
      </w:r>
      <w:r>
        <w:t>。</w:t>
      </w:r>
    </w:p>
    <w:p>
      <w:pPr>
        <w:pStyle w:val="10"/>
        <w:rPr>
          <w:sz w:val="20"/>
        </w:rPr>
      </w:pPr>
    </w:p>
    <w:p>
      <w:pPr>
        <w:ind w:firstLine="216" w:firstLineChars="100"/>
      </w:pPr>
      <w:bookmarkStart w:id="338" w:name="_bookmark256"/>
      <w:bookmarkEnd w:id="338"/>
      <w:r>
        <w:rPr>
          <w:rFonts w:hint="eastAsia"/>
          <w:spacing w:val="-2"/>
        </w:rPr>
        <w:t>1</w:t>
      </w:r>
      <w:r>
        <w:rPr>
          <w:spacing w:val="-2"/>
        </w:rPr>
        <w:t>1.5 承包人引起的工期延误</w:t>
      </w:r>
    </w:p>
    <w:p>
      <w:pPr>
        <w:pStyle w:val="10"/>
        <w:spacing w:before="5"/>
        <w:rPr>
          <w:rFonts w:ascii="黑体"/>
          <w:sz w:val="38"/>
        </w:rPr>
      </w:pPr>
    </w:p>
    <w:p>
      <w:pPr>
        <w:pStyle w:val="10"/>
        <w:spacing w:line="417" w:lineRule="auto"/>
        <w:ind w:left="738" w:right="549" w:firstLine="316"/>
        <w:jc w:val="both"/>
      </w:pPr>
      <w:r>
        <w:rPr>
          <w:spacing w:val="-5"/>
        </w:rPr>
        <w:t>如果因承包人的原因导致不能按期竣工，承包人除承担规定的施工义务之外，还应自预定完工日</w:t>
      </w:r>
      <w:r>
        <w:rPr>
          <w:spacing w:val="-6"/>
        </w:rPr>
        <w:t>起向发包人有关部门按下述方式支付违约金：如果因承包人的原因导致不能按期竣工，承包人除承</w:t>
      </w:r>
      <w:r>
        <w:rPr>
          <w:spacing w:val="-3"/>
        </w:rPr>
        <w:t>担规定的施工义务之外，还应自预定完工日起向发包人有关部门按下述方式支付违约金：</w:t>
      </w:r>
    </w:p>
    <w:p>
      <w:pPr>
        <w:pStyle w:val="35"/>
        <w:numPr>
          <w:ilvl w:val="2"/>
          <w:numId w:val="81"/>
        </w:numPr>
        <w:tabs>
          <w:tab w:val="left" w:pos="1162"/>
        </w:tabs>
        <w:spacing w:line="269" w:lineRule="exact"/>
        <w:ind w:hanging="424"/>
        <w:jc w:val="both"/>
        <w:rPr>
          <w:sz w:val="21"/>
        </w:rPr>
      </w:pPr>
      <w:r>
        <w:rPr>
          <w:spacing w:val="-3"/>
          <w:sz w:val="21"/>
        </w:rPr>
        <w:t xml:space="preserve">延误第一个三十日历日按每日 </w:t>
      </w:r>
      <w:r>
        <w:rPr>
          <w:rFonts w:hint="eastAsia"/>
          <w:sz w:val="21"/>
        </w:rPr>
        <w:t>3000</w:t>
      </w:r>
      <w:r>
        <w:rPr>
          <w:spacing w:val="-2"/>
          <w:sz w:val="21"/>
        </w:rPr>
        <w:t>元；</w:t>
      </w:r>
    </w:p>
    <w:p>
      <w:pPr>
        <w:pStyle w:val="10"/>
        <w:spacing w:before="7"/>
        <w:rPr>
          <w:sz w:val="15"/>
        </w:rPr>
      </w:pPr>
    </w:p>
    <w:p>
      <w:pPr>
        <w:tabs>
          <w:tab w:val="left" w:pos="604"/>
          <w:tab w:val="left" w:pos="1162"/>
        </w:tabs>
        <w:spacing w:before="53"/>
        <w:ind w:right="828" w:firstLine="612" w:firstLineChars="300"/>
        <w:rPr>
          <w:spacing w:val="-2"/>
          <w:sz w:val="21"/>
        </w:rPr>
      </w:pPr>
      <w:r>
        <w:rPr>
          <w:rFonts w:hint="eastAsia"/>
          <w:spacing w:val="-3"/>
          <w:sz w:val="21"/>
        </w:rPr>
        <w:t>（b）</w:t>
      </w:r>
      <w:r>
        <w:rPr>
          <w:spacing w:val="-3"/>
          <w:sz w:val="21"/>
        </w:rPr>
        <w:t>上述延误第三十日历日后按每日</w:t>
      </w:r>
      <w:r>
        <w:rPr>
          <w:rFonts w:hint="eastAsia"/>
          <w:sz w:val="21"/>
        </w:rPr>
        <w:t>5000</w:t>
      </w:r>
      <w:r>
        <w:rPr>
          <w:spacing w:val="-2"/>
          <w:sz w:val="21"/>
        </w:rPr>
        <w:t>元。</w:t>
      </w:r>
    </w:p>
    <w:p>
      <w:pPr>
        <w:tabs>
          <w:tab w:val="left" w:pos="604"/>
          <w:tab w:val="left" w:pos="1162"/>
        </w:tabs>
        <w:spacing w:before="53"/>
        <w:ind w:right="828" w:firstLine="780" w:firstLineChars="300"/>
        <w:rPr>
          <w:rFonts w:ascii="Arial" w:eastAsia="Arial"/>
          <w:sz w:val="26"/>
        </w:rPr>
      </w:pPr>
    </w:p>
    <w:p>
      <w:pPr>
        <w:pStyle w:val="35"/>
        <w:numPr>
          <w:ilvl w:val="0"/>
          <w:numId w:val="82"/>
        </w:numPr>
        <w:tabs>
          <w:tab w:val="left" w:pos="604"/>
          <w:tab w:val="left" w:pos="1162"/>
        </w:tabs>
        <w:spacing w:before="53"/>
        <w:jc w:val="left"/>
        <w:outlineLvl w:val="2"/>
        <w:rPr>
          <w:rFonts w:ascii="Arial" w:eastAsia="Arial"/>
          <w:sz w:val="26"/>
        </w:rPr>
      </w:pPr>
      <w:bookmarkStart w:id="339" w:name="_Toc37926086"/>
      <w:r>
        <w:t>价格调整</w:t>
      </w:r>
      <w:bookmarkEnd w:id="339"/>
    </w:p>
    <w:p>
      <w:pPr>
        <w:pStyle w:val="10"/>
        <w:spacing w:before="1"/>
        <w:rPr>
          <w:rFonts w:ascii="黑体"/>
          <w:b/>
          <w:sz w:val="41"/>
        </w:rPr>
      </w:pPr>
    </w:p>
    <w:p>
      <w:pPr>
        <w:ind w:firstLine="216" w:firstLineChars="100"/>
        <w:rPr>
          <w:rFonts w:ascii="Times New Roman" w:eastAsia="Times New Roman"/>
          <w:color w:val="FF0000"/>
          <w:highlight w:val="yellow"/>
        </w:rPr>
      </w:pPr>
      <w:bookmarkStart w:id="340" w:name="_bookmark258"/>
      <w:bookmarkEnd w:id="340"/>
      <w:r>
        <w:rPr>
          <w:rFonts w:hint="eastAsia"/>
          <w:color w:val="FF0000"/>
          <w:spacing w:val="-2"/>
          <w:highlight w:val="yellow"/>
        </w:rPr>
        <w:t>1</w:t>
      </w:r>
      <w:r>
        <w:rPr>
          <w:color w:val="FF0000"/>
          <w:spacing w:val="-2"/>
          <w:highlight w:val="yellow"/>
        </w:rPr>
        <w:t>6.1物价波动引起的调整</w:t>
      </w:r>
    </w:p>
    <w:p>
      <w:pPr>
        <w:pStyle w:val="10"/>
        <w:spacing w:before="2"/>
        <w:rPr>
          <w:rFonts w:ascii="黑体"/>
          <w:sz w:val="38"/>
        </w:rPr>
      </w:pPr>
    </w:p>
    <w:p>
      <w:pPr>
        <w:pStyle w:val="10"/>
        <w:ind w:left="738"/>
      </w:pPr>
      <w:r>
        <w:t>□ 按通用条款的规定。</w:t>
      </w:r>
    </w:p>
    <w:p>
      <w:pPr>
        <w:pStyle w:val="10"/>
        <w:spacing w:before="7"/>
        <w:rPr>
          <w:sz w:val="15"/>
        </w:rPr>
      </w:pPr>
    </w:p>
    <w:p>
      <w:pPr>
        <w:pStyle w:val="10"/>
        <w:ind w:left="738"/>
      </w:pPr>
      <w:r>
        <w:rPr>
          <w:rFonts w:hint="eastAsia"/>
          <w:sz w:val="24"/>
        </w:rPr>
        <w:t>■</w:t>
      </w:r>
      <w:r>
        <w:t>另作约定:</w:t>
      </w:r>
      <w:r>
        <w:rPr>
          <w:rFonts w:hint="eastAsia"/>
          <w:color w:val="FF0000"/>
          <w:highlight w:val="yellow"/>
        </w:rPr>
        <w:t>合同</w:t>
      </w:r>
      <w:r>
        <w:rPr>
          <w:color w:val="FF0000"/>
          <w:spacing w:val="-6"/>
          <w:highlight w:val="yellow"/>
        </w:rPr>
        <w:t>履行期间</w:t>
      </w:r>
      <w:r>
        <w:rPr>
          <w:rFonts w:hint="eastAsia"/>
          <w:color w:val="FF0000"/>
          <w:highlight w:val="yellow"/>
        </w:rPr>
        <w:t>不予调价</w:t>
      </w:r>
      <w:r>
        <w:rPr>
          <w:rFonts w:hint="eastAsia"/>
          <w:color w:val="FF0000"/>
        </w:rPr>
        <w:t>。</w:t>
      </w:r>
    </w:p>
    <w:p>
      <w:pPr>
        <w:pStyle w:val="10"/>
        <w:spacing w:before="7"/>
        <w:rPr>
          <w:sz w:val="15"/>
        </w:rPr>
      </w:pPr>
    </w:p>
    <w:p>
      <w:pPr>
        <w:ind w:firstLine="727" w:firstLineChars="345"/>
        <w:rPr>
          <w:b/>
          <w:sz w:val="21"/>
        </w:rPr>
      </w:pPr>
    </w:p>
    <w:p>
      <w:pPr>
        <w:pStyle w:val="4"/>
        <w:rPr>
          <w:sz w:val="26"/>
        </w:rPr>
      </w:pPr>
      <w:bookmarkStart w:id="341" w:name="_bookmark259"/>
      <w:bookmarkEnd w:id="341"/>
      <w:bookmarkStart w:id="342" w:name="_Toc37926087"/>
      <w:r>
        <w:rPr>
          <w:rFonts w:hint="eastAsia"/>
          <w:spacing w:val="-1"/>
        </w:rPr>
        <w:t>1</w:t>
      </w:r>
      <w:r>
        <w:rPr>
          <w:spacing w:val="-1"/>
        </w:rPr>
        <w:t>7.合同价款与支付</w:t>
      </w:r>
      <w:bookmarkEnd w:id="342"/>
    </w:p>
    <w:p>
      <w:pPr>
        <w:pStyle w:val="10"/>
        <w:spacing w:before="1"/>
        <w:rPr>
          <w:rFonts w:ascii="黑体"/>
          <w:sz w:val="41"/>
        </w:rPr>
      </w:pPr>
    </w:p>
    <w:p>
      <w:pPr>
        <w:ind w:firstLine="218" w:firstLineChars="100"/>
        <w:rPr>
          <w:rFonts w:ascii="Times New Roman" w:eastAsia="Times New Roman"/>
        </w:rPr>
      </w:pPr>
      <w:bookmarkStart w:id="343" w:name="_bookmark260"/>
      <w:bookmarkEnd w:id="343"/>
      <w:r>
        <w:rPr>
          <w:rFonts w:hint="eastAsia"/>
          <w:spacing w:val="-1"/>
        </w:rPr>
        <w:t>1</w:t>
      </w:r>
      <w:r>
        <w:rPr>
          <w:spacing w:val="-1"/>
        </w:rPr>
        <w:t>7.1合同价格</w:t>
      </w:r>
    </w:p>
    <w:p>
      <w:pPr>
        <w:pStyle w:val="10"/>
        <w:spacing w:before="2"/>
        <w:rPr>
          <w:rFonts w:ascii="黑体"/>
          <w:sz w:val="38"/>
        </w:rPr>
      </w:pPr>
    </w:p>
    <w:p>
      <w:pPr>
        <w:pStyle w:val="35"/>
        <w:numPr>
          <w:ilvl w:val="0"/>
          <w:numId w:val="83"/>
        </w:numPr>
        <w:tabs>
          <w:tab w:val="left" w:pos="847"/>
        </w:tabs>
        <w:rPr>
          <w:sz w:val="21"/>
        </w:rPr>
      </w:pPr>
      <w:r>
        <w:rPr>
          <w:spacing w:val="-3"/>
          <w:sz w:val="21"/>
        </w:rPr>
        <w:t>□按通用条款的规定。</w:t>
      </w:r>
    </w:p>
    <w:p>
      <w:pPr>
        <w:pStyle w:val="10"/>
        <w:spacing w:before="101"/>
        <w:ind w:firstLine="660" w:firstLineChars="300"/>
      </w:pPr>
      <w:r>
        <w:rPr>
          <w:rFonts w:ascii="Arial" w:hAnsi="Arial" w:eastAsia="Arial"/>
          <w:b/>
          <w:w w:val="105"/>
        </w:rPr>
        <w:t></w:t>
      </w:r>
      <w:r>
        <w:rPr>
          <w:rFonts w:hint="eastAsia"/>
          <w:sz w:val="24"/>
        </w:rPr>
        <w:t>■</w:t>
      </w:r>
      <w:r>
        <w:rPr>
          <w:spacing w:val="-3"/>
          <w:szCs w:val="22"/>
        </w:rPr>
        <w:t>另作约定：</w:t>
      </w:r>
    </w:p>
    <w:p>
      <w:pPr>
        <w:tabs>
          <w:tab w:val="left" w:pos="10206"/>
          <w:tab w:val="left" w:pos="10348"/>
        </w:tabs>
        <w:adjustRightInd w:val="0"/>
        <w:ind w:right="-79" w:rightChars="-36"/>
        <w:rPr>
          <w:color w:val="FF0000"/>
          <w:sz w:val="24"/>
        </w:rPr>
      </w:pPr>
      <w:r>
        <w:rPr>
          <w:rFonts w:hint="eastAsia"/>
          <w:color w:val="FF0000"/>
          <w:sz w:val="24"/>
          <w:highlight w:val="yellow"/>
        </w:rPr>
        <w:t>（</w:t>
      </w:r>
      <w:r>
        <w:rPr>
          <w:color w:val="FF0000"/>
          <w:sz w:val="24"/>
          <w:highlight w:val="yellow"/>
        </w:rPr>
        <w:t>1</w:t>
      </w:r>
      <w:r>
        <w:rPr>
          <w:rFonts w:hint="eastAsia"/>
          <w:color w:val="FF0000"/>
          <w:sz w:val="24"/>
          <w:highlight w:val="yellow"/>
        </w:rPr>
        <w:t>）</w:t>
      </w:r>
      <w:r>
        <w:rPr>
          <w:color w:val="FF0000"/>
          <w:sz w:val="24"/>
          <w:highlight w:val="yellow"/>
        </w:rPr>
        <w:t>本工程中标签约合同价为结算最高上限价，如经</w:t>
      </w:r>
      <w:r>
        <w:rPr>
          <w:rFonts w:hint="eastAsia"/>
          <w:color w:val="FF0000"/>
          <w:sz w:val="24"/>
          <w:highlight w:val="yellow"/>
        </w:rPr>
        <w:t>广东省气象</w:t>
      </w:r>
      <w:r>
        <w:rPr>
          <w:color w:val="FF0000"/>
          <w:sz w:val="24"/>
          <w:highlight w:val="yellow"/>
        </w:rPr>
        <w:t>局审定的建安费×（1-中标下浮率）后超出原中标签约合同价，仍以中标签约合同价进行结算</w:t>
      </w:r>
      <w:r>
        <w:rPr>
          <w:rFonts w:hint="eastAsia"/>
          <w:color w:val="FF0000"/>
          <w:sz w:val="24"/>
          <w:highlight w:val="yellow"/>
        </w:rPr>
        <w:t>。</w:t>
      </w:r>
    </w:p>
    <w:p>
      <w:pPr>
        <w:tabs>
          <w:tab w:val="left" w:pos="9639"/>
          <w:tab w:val="left" w:pos="10065"/>
        </w:tabs>
        <w:adjustRightInd w:val="0"/>
        <w:rPr>
          <w:color w:val="FF0000"/>
          <w:sz w:val="24"/>
        </w:rPr>
      </w:pPr>
      <w:r>
        <w:rPr>
          <w:rFonts w:hint="eastAsia"/>
          <w:color w:val="FF0000"/>
          <w:sz w:val="24"/>
        </w:rPr>
        <w:t>（2）①设计人交付设计文件后，按规定参加有关设计审查，并根据审查结论负责不</w:t>
      </w:r>
    </w:p>
    <w:p>
      <w:pPr>
        <w:tabs>
          <w:tab w:val="left" w:pos="10065"/>
        </w:tabs>
        <w:adjustRightInd w:val="0"/>
        <w:rPr>
          <w:color w:val="FF0000"/>
          <w:sz w:val="24"/>
        </w:rPr>
      </w:pPr>
      <w:r>
        <w:rPr>
          <w:rFonts w:hint="eastAsia"/>
          <w:color w:val="FF0000"/>
          <w:sz w:val="24"/>
        </w:rPr>
        <w:t>超出原定范围的内容做必要的调整补充。设计人按合同规定时限交付设计文件之日起一</w:t>
      </w:r>
    </w:p>
    <w:p>
      <w:pPr>
        <w:tabs>
          <w:tab w:val="left" w:pos="10206"/>
        </w:tabs>
        <w:adjustRightInd w:val="0"/>
        <w:rPr>
          <w:color w:val="FF0000"/>
          <w:sz w:val="24"/>
        </w:rPr>
      </w:pPr>
      <w:r>
        <w:rPr>
          <w:rFonts w:hint="eastAsia"/>
          <w:color w:val="FF0000"/>
          <w:sz w:val="24"/>
        </w:rPr>
        <w:t>年内项目开始施工，负责向发包人及施工单位进行技术交底、处理有关设计问题和参加</w:t>
      </w:r>
    </w:p>
    <w:p>
      <w:pPr>
        <w:adjustRightInd w:val="0"/>
        <w:rPr>
          <w:color w:val="FF0000"/>
          <w:sz w:val="24"/>
        </w:rPr>
      </w:pPr>
      <w:r>
        <w:rPr>
          <w:rFonts w:hint="eastAsia"/>
          <w:color w:val="FF0000"/>
          <w:sz w:val="24"/>
        </w:rPr>
        <w:t>竣工验收，不再收取咨询服务费。②设计人必须按照设计规范要求，结合工程现状实际，进行多方案比选和优化（特别对于基坑支护工程），严格按照建安工程费暂定中标价进行限额设计，根据初步设计编制的设计概算不能超过建安工程费暂定中标价，施工图设计时，施工图预算不得</w:t>
      </w:r>
    </w:p>
    <w:p>
      <w:pPr>
        <w:adjustRightInd w:val="0"/>
        <w:rPr>
          <w:color w:val="FF0000"/>
          <w:sz w:val="24"/>
        </w:rPr>
      </w:pPr>
      <w:r>
        <w:rPr>
          <w:rFonts w:hint="eastAsia"/>
          <w:color w:val="FF0000"/>
          <w:sz w:val="24"/>
        </w:rPr>
        <w:t>超过设计概算，否则应无偿负责优化、修改设计至符合设计概算的控制范围。</w:t>
      </w:r>
    </w:p>
    <w:p>
      <w:pPr>
        <w:tabs>
          <w:tab w:val="left" w:pos="9639"/>
        </w:tabs>
        <w:adjustRightInd w:val="0"/>
        <w:rPr>
          <w:color w:val="FF0000"/>
          <w:sz w:val="24"/>
        </w:rPr>
      </w:pPr>
      <w:r>
        <w:rPr>
          <w:rFonts w:hint="eastAsia"/>
          <w:color w:val="FF0000"/>
          <w:sz w:val="24"/>
        </w:rPr>
        <w:t>（3）因承包人原因导致设计不详及遗漏的，除无条件完善设计外，造成工程结算金</w:t>
      </w:r>
    </w:p>
    <w:p>
      <w:pPr>
        <w:adjustRightInd w:val="0"/>
        <w:rPr>
          <w:color w:val="FF0000"/>
          <w:sz w:val="24"/>
        </w:rPr>
      </w:pPr>
      <w:r>
        <w:rPr>
          <w:rFonts w:hint="eastAsia"/>
          <w:color w:val="FF0000"/>
          <w:sz w:val="24"/>
        </w:rPr>
        <w:t>额的增加，则按增加的结算金额占总结算造价的比例扣减设计费。</w:t>
      </w:r>
    </w:p>
    <w:p>
      <w:pPr>
        <w:adjustRightInd w:val="0"/>
        <w:rPr>
          <w:color w:val="FF0000"/>
          <w:sz w:val="24"/>
        </w:rPr>
      </w:pPr>
      <w:r>
        <w:rPr>
          <w:rFonts w:hint="eastAsia"/>
          <w:color w:val="FF0000"/>
          <w:sz w:val="24"/>
        </w:rPr>
        <w:t>（4）承包人完成设计成果，在取得审图合格书后，承包人需编制施工预算书，若经确定施工图预算书高于设计概算，由此造成需重新优化设计的费用由承包人自行承担。承包人的设计文件应当符合国家规定的工程技术质量标准和发包人要求，承包人对其完成和提交的设计文件的质量负责。承包人文件存在错误、遗漏、含混、矛盾、不充分之处或其他缺陷，无论承包人是否根据本款获得了批准，承包人均应自费对前述问题带来的缺陷和工程问题进行改正，并自行承担工期损失和工程费用的增加额。发包人要求的错误导致承包人文件错误、遗漏、含混、矛盾、不充分或其他缺陷的除外。施工图预算的编制和审核按《建设工程工程量清单计价规范》（</w:t>
      </w:r>
      <w:r>
        <w:rPr>
          <w:color w:val="FF0000"/>
          <w:sz w:val="24"/>
        </w:rPr>
        <w:t>GB50500-2013</w:t>
      </w:r>
      <w:r>
        <w:rPr>
          <w:rFonts w:hint="eastAsia"/>
          <w:color w:val="FF0000"/>
          <w:sz w:val="24"/>
        </w:rPr>
        <w:t>）、《广</w:t>
      </w:r>
    </w:p>
    <w:p>
      <w:pPr>
        <w:adjustRightInd w:val="0"/>
        <w:rPr>
          <w:color w:val="FF0000"/>
          <w:sz w:val="24"/>
        </w:rPr>
      </w:pPr>
      <w:r>
        <w:rPr>
          <w:rFonts w:hint="eastAsia"/>
          <w:color w:val="FF0000"/>
          <w:sz w:val="24"/>
        </w:rPr>
        <w:t>东省建设工程计价依据</w:t>
      </w:r>
      <w:r>
        <w:rPr>
          <w:color w:val="FF0000"/>
          <w:sz w:val="24"/>
        </w:rPr>
        <w:t>2018</w:t>
      </w:r>
      <w:r>
        <w:rPr>
          <w:rFonts w:hint="eastAsia"/>
          <w:color w:val="FF0000"/>
          <w:sz w:val="24"/>
        </w:rPr>
        <w:t>》、江门市建设工程造价和房地产监测中心发布的有效计价程</w:t>
      </w:r>
    </w:p>
    <w:p>
      <w:pPr>
        <w:adjustRightInd w:val="0"/>
        <w:rPr>
          <w:color w:val="FF0000"/>
          <w:sz w:val="24"/>
        </w:rPr>
      </w:pPr>
      <w:r>
        <w:rPr>
          <w:rFonts w:hint="eastAsia"/>
          <w:color w:val="FF0000"/>
          <w:sz w:val="24"/>
        </w:rPr>
        <w:t>序及承包人的投标报价等确定，定额套用《广东省建筑与装饰工程综合定额》（</w:t>
      </w:r>
      <w:r>
        <w:rPr>
          <w:color w:val="FF0000"/>
          <w:sz w:val="24"/>
        </w:rPr>
        <w:t>2018</w:t>
      </w:r>
      <w:r>
        <w:rPr>
          <w:rFonts w:hint="eastAsia"/>
          <w:color w:val="FF0000"/>
          <w:sz w:val="24"/>
        </w:rPr>
        <w:t>年）、</w:t>
      </w:r>
    </w:p>
    <w:p>
      <w:pPr>
        <w:adjustRightInd w:val="0"/>
        <w:rPr>
          <w:color w:val="FF0000"/>
          <w:sz w:val="24"/>
        </w:rPr>
      </w:pPr>
      <w:r>
        <w:rPr>
          <w:rFonts w:hint="eastAsia"/>
          <w:color w:val="FF0000"/>
          <w:sz w:val="24"/>
        </w:rPr>
        <w:t>《广东省安装工程综合定额》（</w:t>
      </w:r>
      <w:r>
        <w:rPr>
          <w:color w:val="FF0000"/>
          <w:sz w:val="24"/>
        </w:rPr>
        <w:t>2018</w:t>
      </w:r>
      <w:r>
        <w:rPr>
          <w:rFonts w:hint="eastAsia"/>
          <w:color w:val="FF0000"/>
          <w:sz w:val="24"/>
        </w:rPr>
        <w:t>年）、《广东省市政工程综合定额》（</w:t>
      </w:r>
      <w:r>
        <w:rPr>
          <w:color w:val="FF0000"/>
          <w:sz w:val="24"/>
        </w:rPr>
        <w:t>2018</w:t>
      </w:r>
      <w:r>
        <w:rPr>
          <w:rFonts w:hint="eastAsia"/>
          <w:color w:val="FF0000"/>
          <w:sz w:val="24"/>
        </w:rPr>
        <w:t>年），《广</w:t>
      </w:r>
    </w:p>
    <w:p>
      <w:pPr>
        <w:adjustRightInd w:val="0"/>
        <w:rPr>
          <w:color w:val="FF0000"/>
          <w:sz w:val="24"/>
        </w:rPr>
      </w:pPr>
      <w:r>
        <w:rPr>
          <w:rFonts w:hint="eastAsia"/>
          <w:color w:val="FF0000"/>
          <w:sz w:val="24"/>
        </w:rPr>
        <w:t>东省园林绿化工程综合定额》（</w:t>
      </w:r>
      <w:r>
        <w:rPr>
          <w:color w:val="FF0000"/>
          <w:sz w:val="24"/>
        </w:rPr>
        <w:t>2018</w:t>
      </w:r>
      <w:r>
        <w:rPr>
          <w:rFonts w:hint="eastAsia"/>
          <w:color w:val="FF0000"/>
          <w:sz w:val="24"/>
        </w:rPr>
        <w:t>年），以及相应配套的取费文件，取费规定中有上下</w:t>
      </w:r>
    </w:p>
    <w:p>
      <w:pPr>
        <w:adjustRightInd w:val="0"/>
        <w:rPr>
          <w:color w:val="FF0000"/>
          <w:sz w:val="24"/>
        </w:rPr>
      </w:pPr>
      <w:r>
        <w:rPr>
          <w:rFonts w:hint="eastAsia"/>
          <w:color w:val="FF0000"/>
          <w:sz w:val="24"/>
        </w:rPr>
        <w:t>限的，按中值计算。其中人工、材、机械价格按江门市建设工程造价和房地产监测中心发</w:t>
      </w:r>
    </w:p>
    <w:p>
      <w:pPr>
        <w:adjustRightInd w:val="0"/>
        <w:rPr>
          <w:color w:val="FF0000"/>
          <w:sz w:val="24"/>
        </w:rPr>
      </w:pPr>
      <w:r>
        <w:rPr>
          <w:rFonts w:hint="eastAsia"/>
          <w:color w:val="FF0000"/>
          <w:sz w:val="24"/>
        </w:rPr>
        <w:t>布的《江门工程造价信息》施工图通过审核当月信息价，《江门工程造价信息》内没有的</w:t>
      </w:r>
    </w:p>
    <w:p>
      <w:pPr>
        <w:adjustRightInd w:val="0"/>
        <w:rPr>
          <w:sz w:val="24"/>
        </w:rPr>
      </w:pPr>
      <w:r>
        <w:rPr>
          <w:rFonts w:hint="eastAsia"/>
          <w:color w:val="FF0000"/>
          <w:sz w:val="24"/>
        </w:rPr>
        <w:t>由发、承包双方通过市场调查后与监理人三方共同确定。由承包人编制施工预算书，发、承包人双方确认的预算价作为计价基础乘以（</w:t>
      </w:r>
      <w:r>
        <w:rPr>
          <w:color w:val="FF0000"/>
          <w:sz w:val="24"/>
        </w:rPr>
        <w:t>1-</w:t>
      </w:r>
      <w:r>
        <w:rPr>
          <w:rFonts w:hint="eastAsia"/>
          <w:color w:val="FF0000"/>
          <w:sz w:val="24"/>
        </w:rPr>
        <w:t>中标下浮率）为施工部分的实际合同价，下浮率为承包人投标文件价格清单中所列下浮率，最终工程结算价款以广东省气象局审定金额为准，且不得超过发改概算批复建安费用</w:t>
      </w:r>
      <w:r>
        <w:rPr>
          <w:sz w:val="24"/>
        </w:rPr>
        <w:t>。</w:t>
      </w:r>
    </w:p>
    <w:p>
      <w:pPr>
        <w:pStyle w:val="10"/>
        <w:spacing w:before="2"/>
        <w:rPr>
          <w:sz w:val="30"/>
        </w:rPr>
      </w:pPr>
    </w:p>
    <w:p>
      <w:pPr>
        <w:ind w:firstLine="220" w:firstLineChars="100"/>
        <w:rPr>
          <w:rFonts w:ascii="Times New Roman" w:eastAsia="Times New Roman"/>
        </w:rPr>
      </w:pPr>
      <w:bookmarkStart w:id="344" w:name="_bookmark261"/>
      <w:bookmarkEnd w:id="344"/>
      <w:r>
        <w:rPr>
          <w:rFonts w:hint="eastAsia"/>
        </w:rPr>
        <w:t>1</w:t>
      </w:r>
      <w:r>
        <w:t>7.2预付款</w:t>
      </w:r>
    </w:p>
    <w:p>
      <w:pPr>
        <w:pStyle w:val="10"/>
        <w:spacing w:before="5"/>
        <w:rPr>
          <w:rFonts w:ascii="黑体"/>
          <w:sz w:val="38"/>
        </w:rPr>
      </w:pPr>
    </w:p>
    <w:p>
      <w:pPr>
        <w:tabs>
          <w:tab w:val="left" w:pos="653"/>
        </w:tabs>
        <w:spacing w:line="440" w:lineRule="exact"/>
        <w:ind w:firstLine="770" w:firstLineChars="350"/>
      </w:pPr>
      <w:r>
        <w:rPr>
          <w:rFonts w:hint="eastAsia"/>
        </w:rPr>
        <w:t>17.2.1.1</w:t>
      </w:r>
      <w:r>
        <w:t>预付款的约定</w:t>
      </w:r>
    </w:p>
    <w:p>
      <w:pPr>
        <w:tabs>
          <w:tab w:val="left" w:pos="653"/>
        </w:tabs>
        <w:spacing w:line="440" w:lineRule="exact"/>
      </w:pPr>
      <w:r>
        <w:tab/>
      </w:r>
      <w:r>
        <w:t>□ 没约定预付款的，本款不适用。</w:t>
      </w:r>
    </w:p>
    <w:p>
      <w:pPr>
        <w:tabs>
          <w:tab w:val="left" w:pos="653"/>
        </w:tabs>
        <w:spacing w:line="440" w:lineRule="exact"/>
        <w:rPr>
          <w:color w:val="FF0000"/>
        </w:rPr>
      </w:pPr>
      <w:r>
        <w:tab/>
      </w:r>
      <w:r>
        <w:rPr>
          <w:rFonts w:hint="eastAsia"/>
          <w:sz w:val="24"/>
        </w:rPr>
        <w:t>■</w:t>
      </w:r>
      <w:r>
        <w:rPr>
          <w:color w:val="FF0000"/>
        </w:rPr>
        <w:t>约定预付款的</w:t>
      </w:r>
      <w:r>
        <w:rPr>
          <w:rFonts w:hint="eastAsia"/>
          <w:color w:val="FF0000"/>
        </w:rPr>
        <w:t>，</w:t>
      </w:r>
      <w:r>
        <w:rPr>
          <w:color w:val="FF0000"/>
        </w:rPr>
        <w:t>预付款</w:t>
      </w:r>
      <w:r>
        <w:rPr>
          <w:rFonts w:hint="eastAsia"/>
          <w:color w:val="FF0000"/>
        </w:rPr>
        <w:t>为工程中标价（扣除暂列金额）的</w:t>
      </w:r>
      <w:r>
        <w:rPr>
          <w:rFonts w:hint="eastAsia"/>
          <w:color w:val="FF0000"/>
          <w:u w:val="single"/>
        </w:rPr>
        <w:t xml:space="preserve">  25  </w:t>
      </w:r>
      <w:r>
        <w:rPr>
          <w:rFonts w:hint="eastAsia"/>
          <w:color w:val="FF0000"/>
        </w:rPr>
        <w:t>%。如本章第25.4条“工人工资支付保证方式的约定”为25.4A的，在原有支付预付款的基础上再增加工程总价款（不扣除暂列金额）4%的预付款，项目开工前由发包人划入承包人设立的工人工资支付专用帐户。</w:t>
      </w:r>
    </w:p>
    <w:p>
      <w:pPr>
        <w:tabs>
          <w:tab w:val="left" w:pos="653"/>
        </w:tabs>
        <w:spacing w:line="440" w:lineRule="exact"/>
        <w:ind w:firstLine="660" w:firstLineChars="300"/>
      </w:pPr>
      <w:r>
        <w:rPr>
          <w:rFonts w:hint="eastAsia"/>
        </w:rPr>
        <w:t>17.2.1.2</w:t>
      </w:r>
      <w:r>
        <w:t>预付款支付申请的约定：</w:t>
      </w:r>
    </w:p>
    <w:p>
      <w:pPr>
        <w:adjustRightInd w:val="0"/>
        <w:ind w:firstLine="550" w:firstLineChars="250"/>
        <w:rPr>
          <w:color w:val="FF0000"/>
          <w:sz w:val="24"/>
        </w:rPr>
      </w:pPr>
      <w:r>
        <w:rPr>
          <w:rFonts w:hint="eastAsia"/>
          <w:color w:val="FF0000"/>
        </w:rPr>
        <w:t>（1）</w:t>
      </w:r>
      <w:r>
        <w:rPr>
          <w:rFonts w:hint="eastAsia"/>
          <w:color w:val="FF0000"/>
          <w:sz w:val="24"/>
        </w:rPr>
        <w:t>预付款支付期限：承包人提供预付款银行保函或预付款保险保单后</w:t>
      </w:r>
      <w:r>
        <w:rPr>
          <w:color w:val="FF0000"/>
          <w:sz w:val="24"/>
        </w:rPr>
        <w:t xml:space="preserve">30 </w:t>
      </w:r>
      <w:r>
        <w:rPr>
          <w:rFonts w:hint="eastAsia"/>
          <w:color w:val="FF0000"/>
          <w:sz w:val="24"/>
        </w:rPr>
        <w:t>个工作日内。</w:t>
      </w:r>
    </w:p>
    <w:p>
      <w:pPr>
        <w:adjustRightInd w:val="0"/>
        <w:ind w:firstLine="600" w:firstLineChars="250"/>
        <w:rPr>
          <w:sz w:val="24"/>
        </w:rPr>
      </w:pPr>
      <w:r>
        <w:rPr>
          <w:color w:val="FF0000"/>
          <w:sz w:val="24"/>
        </w:rPr>
        <w:t xml:space="preserve">(2) </w:t>
      </w:r>
      <w:r>
        <w:rPr>
          <w:rFonts w:hint="eastAsia"/>
          <w:color w:val="FF0000"/>
          <w:sz w:val="24"/>
        </w:rPr>
        <w:t>根据《建设工程工程量清单计价规范》（</w:t>
      </w:r>
      <w:r>
        <w:rPr>
          <w:color w:val="FF0000"/>
          <w:sz w:val="24"/>
        </w:rPr>
        <w:t>GB50500-2013</w:t>
      </w:r>
      <w:r>
        <w:rPr>
          <w:rFonts w:hint="eastAsia"/>
          <w:color w:val="FF0000"/>
          <w:sz w:val="24"/>
        </w:rPr>
        <w:t>）的规定，规定中要求“承包人应在签订合同或向发包人提供与预付款等额的预付款银行保函或预付款保险保单后向发包人提交预付款支付申请”，且预付款银行保函或预付款保险保单的格式和要求参照本招标文件中预付款银行保函或预付款保险保单格式及内容（联合体投标的，预付款银行保函或预付款保险保单由联合体牵头人提供）。</w:t>
      </w:r>
    </w:p>
    <w:p>
      <w:pPr>
        <w:tabs>
          <w:tab w:val="left" w:pos="653"/>
        </w:tabs>
        <w:spacing w:line="440" w:lineRule="exact"/>
      </w:pPr>
    </w:p>
    <w:p>
      <w:pPr>
        <w:spacing w:line="360" w:lineRule="auto"/>
        <w:ind w:firstLine="440" w:firstLineChars="200"/>
        <w:rPr>
          <w:szCs w:val="21"/>
        </w:rPr>
      </w:pPr>
      <w:r>
        <w:rPr>
          <w:rFonts w:hint="eastAsia"/>
        </w:rPr>
        <w:t>17.2.2</w:t>
      </w:r>
      <w:r>
        <w:rPr>
          <w:rFonts w:hint="eastAsia"/>
          <w:szCs w:val="21"/>
        </w:rPr>
        <w:t xml:space="preserve"> 预付款保函</w:t>
      </w:r>
    </w:p>
    <w:p>
      <w:pPr>
        <w:tabs>
          <w:tab w:val="left" w:pos="653"/>
        </w:tabs>
        <w:spacing w:line="440" w:lineRule="exact"/>
        <w:ind w:left="653" w:firstLine="330" w:firstLineChars="150"/>
      </w:pPr>
      <w:r>
        <w:rPr>
          <w:rFonts w:hint="eastAsia"/>
          <w:szCs w:val="21"/>
        </w:rPr>
        <w:t>预付款保函约定：</w:t>
      </w:r>
      <w:r>
        <w:rPr>
          <w:rFonts w:hint="eastAsia"/>
        </w:rPr>
        <w:t>根据《建设工程工程量清单计价规范》（GB50500-2013）的规定，承包人应在签订合同或向发包人提供与预付款等额的预付款保函后向发包人提交预付款支付申请，预付款保函的格式和要求参见本合同附件。</w:t>
      </w:r>
    </w:p>
    <w:p>
      <w:pPr>
        <w:spacing w:line="360" w:lineRule="auto"/>
        <w:ind w:firstLine="440" w:firstLineChars="200"/>
        <w:rPr>
          <w:szCs w:val="21"/>
        </w:rPr>
      </w:pPr>
      <w:r>
        <w:rPr>
          <w:rFonts w:hint="eastAsia"/>
        </w:rPr>
        <w:t>17.2.3</w:t>
      </w:r>
      <w:r>
        <w:rPr>
          <w:rFonts w:hint="eastAsia"/>
          <w:szCs w:val="21"/>
        </w:rPr>
        <w:t xml:space="preserve"> 预付款的扣回与还清</w:t>
      </w:r>
    </w:p>
    <w:p>
      <w:pPr>
        <w:tabs>
          <w:tab w:val="left" w:pos="653"/>
        </w:tabs>
        <w:spacing w:line="440" w:lineRule="exact"/>
        <w:ind w:firstLine="660" w:firstLineChars="300"/>
        <w:rPr>
          <w:szCs w:val="21"/>
        </w:rPr>
      </w:pPr>
      <w:r>
        <w:rPr>
          <w:rFonts w:hint="eastAsia"/>
          <w:szCs w:val="21"/>
        </w:rPr>
        <w:t>预付款扣回办法约定：</w:t>
      </w:r>
    </w:p>
    <w:p>
      <w:pPr>
        <w:pStyle w:val="10"/>
        <w:ind w:left="633"/>
      </w:pPr>
      <w:r>
        <w:tab/>
      </w:r>
      <w:r>
        <w:rPr>
          <w:rFonts w:hint="eastAsia"/>
          <w:color w:val="FF0000"/>
          <w:sz w:val="24"/>
        </w:rPr>
        <w:t>预付款的扣回办法：预付款分</w:t>
      </w:r>
      <w:r>
        <w:rPr>
          <w:rFonts w:hint="eastAsia"/>
          <w:color w:val="FF0000"/>
          <w:sz w:val="24"/>
          <w:u w:val="single"/>
        </w:rPr>
        <w:t xml:space="preserve">  三  </w:t>
      </w:r>
      <w:r>
        <w:rPr>
          <w:rFonts w:hint="eastAsia"/>
          <w:color w:val="FF0000"/>
          <w:sz w:val="24"/>
        </w:rPr>
        <w:t>期在工程进度款中等额扣回，在第一次支付进度款时开始扣回,</w:t>
      </w:r>
      <w:r>
        <w:t>直到扣完为止。</w:t>
      </w:r>
    </w:p>
    <w:p>
      <w:pPr>
        <w:pStyle w:val="10"/>
        <w:ind w:left="633"/>
        <w:rPr>
          <w:spacing w:val="-1"/>
        </w:rPr>
      </w:pPr>
    </w:p>
    <w:p>
      <w:pPr>
        <w:pStyle w:val="10"/>
        <w:numPr>
          <w:ilvl w:val="1"/>
          <w:numId w:val="84"/>
        </w:numPr>
        <w:rPr>
          <w:rFonts w:ascii="Times New Roman" w:eastAsia="Times New Roman"/>
        </w:rPr>
      </w:pPr>
      <w:r>
        <w:rPr>
          <w:spacing w:val="-1"/>
        </w:rPr>
        <w:t>工程进度付款</w:t>
      </w:r>
    </w:p>
    <w:p>
      <w:pPr>
        <w:pStyle w:val="10"/>
        <w:ind w:left="420"/>
        <w:rPr>
          <w:spacing w:val="-1"/>
        </w:rPr>
      </w:pPr>
    </w:p>
    <w:p>
      <w:pPr>
        <w:tabs>
          <w:tab w:val="left" w:pos="653"/>
        </w:tabs>
        <w:spacing w:line="440" w:lineRule="exact"/>
        <w:ind w:firstLine="660" w:firstLineChars="300"/>
      </w:pPr>
      <w:r>
        <w:t>□</w:t>
      </w:r>
      <w:r>
        <w:rPr>
          <w:rFonts w:hint="eastAsia"/>
        </w:rPr>
        <w:t xml:space="preserve"> </w:t>
      </w:r>
      <w:r>
        <w:t>以</w:t>
      </w:r>
      <w:r>
        <w:rPr>
          <w:rFonts w:hint="eastAsia"/>
        </w:rPr>
        <w:t>月</w:t>
      </w:r>
      <w:r>
        <w:t>为单位。</w:t>
      </w:r>
    </w:p>
    <w:p>
      <w:pPr>
        <w:tabs>
          <w:tab w:val="left" w:pos="665"/>
        </w:tabs>
        <w:spacing w:line="440" w:lineRule="exact"/>
      </w:pPr>
      <w:r>
        <w:tab/>
      </w:r>
      <w:r>
        <w:rPr>
          <w:rFonts w:hint="eastAsia"/>
          <w:sz w:val="24"/>
        </w:rPr>
        <w:t>■</w:t>
      </w:r>
      <w:r>
        <w:t xml:space="preserve"> 以季度为单位。</w:t>
      </w:r>
    </w:p>
    <w:p>
      <w:pPr>
        <w:tabs>
          <w:tab w:val="left" w:pos="770"/>
        </w:tabs>
        <w:spacing w:line="440" w:lineRule="exact"/>
      </w:pPr>
      <w:r>
        <w:tab/>
      </w:r>
      <w:r>
        <w:t>□</w:t>
      </w:r>
      <w:r>
        <w:rPr>
          <w:rFonts w:hint="eastAsia"/>
        </w:rPr>
        <w:t xml:space="preserve"> </w:t>
      </w:r>
      <w:r>
        <w:t>以形象进度为准，具体为：</w:t>
      </w:r>
      <w:bookmarkStart w:id="345" w:name="page121"/>
      <w:bookmarkEnd w:id="345"/>
    </w:p>
    <w:p>
      <w:pPr>
        <w:tabs>
          <w:tab w:val="left" w:pos="653"/>
        </w:tabs>
        <w:spacing w:line="440" w:lineRule="exact"/>
      </w:pPr>
      <w:r>
        <w:tab/>
      </w:r>
      <w:r>
        <w:t>(1)</w:t>
      </w:r>
    </w:p>
    <w:p>
      <w:pPr>
        <w:tabs>
          <w:tab w:val="left" w:pos="653"/>
        </w:tabs>
        <w:spacing w:line="440" w:lineRule="exact"/>
      </w:pPr>
      <w:r>
        <w:tab/>
      </w:r>
      <w:r>
        <w:t>(2)</w:t>
      </w:r>
    </w:p>
    <w:p>
      <w:pPr>
        <w:pStyle w:val="10"/>
        <w:ind w:left="420"/>
        <w:rPr>
          <w:rFonts w:ascii="Times New Roman" w:eastAsia="Times New Roman"/>
        </w:rPr>
      </w:pPr>
      <w:r>
        <w:tab/>
      </w:r>
      <w:r>
        <w:rPr>
          <w:rFonts w:hint="eastAsia"/>
          <w:sz w:val="24"/>
        </w:rPr>
        <w:t>■</w:t>
      </w:r>
      <w:r>
        <w:t xml:space="preserve"> 本期间应支付或扣留（扣回）的其他款项：</w:t>
      </w:r>
    </w:p>
    <w:p>
      <w:pPr>
        <w:pStyle w:val="10"/>
        <w:spacing w:before="4"/>
        <w:rPr>
          <w:rFonts w:ascii="黑体"/>
          <w:sz w:val="38"/>
        </w:rPr>
      </w:pPr>
    </w:p>
    <w:p>
      <w:pPr>
        <w:pStyle w:val="35"/>
        <w:tabs>
          <w:tab w:val="left" w:pos="1265"/>
        </w:tabs>
        <w:spacing w:line="417" w:lineRule="auto"/>
        <w:ind w:left="635" w:right="8297" w:firstLine="0"/>
        <w:rPr>
          <w:rFonts w:ascii="Times New Roman" w:eastAsia="Times New Roman"/>
          <w:b/>
          <w:color w:val="FF0000"/>
          <w:sz w:val="21"/>
          <w:highlight w:val="yellow"/>
        </w:rPr>
      </w:pPr>
      <w:r>
        <w:rPr>
          <w:rFonts w:hint="eastAsia"/>
          <w:spacing w:val="-6"/>
          <w:sz w:val="21"/>
        </w:rPr>
        <w:t>17.3.1</w:t>
      </w:r>
      <w:r>
        <w:rPr>
          <w:spacing w:val="-6"/>
          <w:sz w:val="21"/>
        </w:rPr>
        <w:t>付款时间</w:t>
      </w:r>
    </w:p>
    <w:p>
      <w:pPr>
        <w:pStyle w:val="10"/>
        <w:numPr>
          <w:ilvl w:val="0"/>
          <w:numId w:val="85"/>
        </w:numPr>
      </w:pPr>
      <w:r>
        <w:rPr>
          <w:spacing w:val="-4"/>
          <w:u w:val="single"/>
        </w:rPr>
        <w:t>本项目工程量按发包人、监理单、承包人及时共同签认，承包人应于施工期间每个</w:t>
      </w:r>
      <w:r>
        <w:rPr>
          <w:rFonts w:hint="eastAsia"/>
          <w:spacing w:val="-4"/>
          <w:u w:val="single"/>
        </w:rPr>
        <w:t>季季</w:t>
      </w:r>
      <w:r>
        <w:rPr>
          <w:spacing w:val="-4"/>
          <w:u w:val="single"/>
        </w:rPr>
        <w:t>末后</w:t>
      </w:r>
      <w:r>
        <w:rPr>
          <w:u w:val="single"/>
        </w:rPr>
        <w:t>5</w:t>
      </w:r>
      <w:r>
        <w:rPr>
          <w:spacing w:val="7"/>
          <w:u w:val="single"/>
        </w:rPr>
        <w:t>日</w:t>
      </w:r>
    </w:p>
    <w:p>
      <w:pPr>
        <w:pStyle w:val="10"/>
        <w:spacing w:before="12"/>
        <w:rPr>
          <w:sz w:val="9"/>
        </w:rPr>
      </w:pPr>
    </w:p>
    <w:p>
      <w:pPr>
        <w:pStyle w:val="10"/>
        <w:spacing w:before="72"/>
        <w:ind w:left="212"/>
      </w:pPr>
      <w:r>
        <w:rPr>
          <w:spacing w:val="-6"/>
          <w:u w:val="single"/>
        </w:rPr>
        <w:t>内，向监理单位提交施工进度款付款申请，说明截止</w:t>
      </w:r>
      <w:r>
        <w:rPr>
          <w:rFonts w:hint="eastAsia"/>
          <w:spacing w:val="-6"/>
          <w:u w:val="single"/>
        </w:rPr>
        <w:t>季</w:t>
      </w:r>
      <w:r>
        <w:rPr>
          <w:spacing w:val="-6"/>
          <w:u w:val="single"/>
        </w:rPr>
        <w:t>末实施的工程量和估算的工程价值，发包人应根据</w:t>
      </w:r>
    </w:p>
    <w:p>
      <w:pPr>
        <w:pStyle w:val="10"/>
        <w:spacing w:before="12"/>
        <w:rPr>
          <w:sz w:val="9"/>
        </w:rPr>
      </w:pPr>
    </w:p>
    <w:p>
      <w:pPr>
        <w:pStyle w:val="10"/>
        <w:spacing w:before="71"/>
        <w:ind w:left="212"/>
      </w:pPr>
      <w:r>
        <w:rPr>
          <w:spacing w:val="-4"/>
          <w:u w:val="single"/>
        </w:rPr>
        <w:t>工程的</w:t>
      </w:r>
      <w:r>
        <w:rPr>
          <w:rFonts w:hint="eastAsia"/>
          <w:spacing w:val="-4"/>
          <w:u w:val="single"/>
        </w:rPr>
        <w:t>季</w:t>
      </w:r>
      <w:r>
        <w:rPr>
          <w:spacing w:val="-4"/>
          <w:u w:val="single"/>
        </w:rPr>
        <w:t>形象进度并参照经监理单位审核的承包人的付款申请，自收到申请之日起的</w:t>
      </w:r>
      <w:r>
        <w:rPr>
          <w:u w:val="single"/>
        </w:rPr>
        <w:t>28日内向承包人支</w:t>
      </w:r>
    </w:p>
    <w:p>
      <w:pPr>
        <w:pStyle w:val="10"/>
        <w:spacing w:before="12"/>
        <w:rPr>
          <w:sz w:val="9"/>
        </w:rPr>
      </w:pPr>
    </w:p>
    <w:p>
      <w:pPr>
        <w:pStyle w:val="10"/>
        <w:spacing w:before="72"/>
        <w:ind w:left="212"/>
      </w:pPr>
      <w:r>
        <w:rPr>
          <w:u w:val="single"/>
        </w:rPr>
        <w:t>付当</w:t>
      </w:r>
      <w:r>
        <w:rPr>
          <w:rFonts w:hint="eastAsia"/>
          <w:u w:val="single"/>
        </w:rPr>
        <w:t>季</w:t>
      </w:r>
      <w:r>
        <w:rPr>
          <w:u w:val="single"/>
        </w:rPr>
        <w:t>实际施工进度款的85%，并逐期按</w:t>
      </w:r>
      <w:r>
        <w:rPr>
          <w:rFonts w:hint="eastAsia"/>
          <w:u w:val="single"/>
        </w:rPr>
        <w:t>35</w:t>
      </w:r>
      <w:r>
        <w:rPr>
          <w:u w:val="single"/>
        </w:rPr>
        <w:t>%的比例扣回预付款。</w:t>
      </w:r>
    </w:p>
    <w:p>
      <w:pPr>
        <w:pStyle w:val="10"/>
        <w:spacing w:before="12"/>
        <w:rPr>
          <w:sz w:val="9"/>
        </w:rPr>
      </w:pPr>
    </w:p>
    <w:p>
      <w:pPr>
        <w:pStyle w:val="10"/>
        <w:spacing w:before="72"/>
        <w:ind w:left="633"/>
      </w:pPr>
      <w:r>
        <w:rPr>
          <w:spacing w:val="39"/>
        </w:rPr>
        <w:t xml:space="preserve">② </w:t>
      </w:r>
      <w:r>
        <w:rPr>
          <w:u w:val="single"/>
        </w:rPr>
        <w:t>工程变更价款待变更部分全部完工后，经相关经监理单位、发包人、</w:t>
      </w:r>
      <w:r>
        <w:rPr>
          <w:rFonts w:hint="eastAsia" w:ascii="Times New Roman"/>
          <w:u w:val="single"/>
        </w:rPr>
        <w:t>广东省气象</w:t>
      </w:r>
      <w:r>
        <w:rPr>
          <w:rFonts w:ascii="Times New Roman"/>
          <w:u w:val="single"/>
        </w:rPr>
        <w:t>局</w:t>
      </w:r>
      <w:r>
        <w:rPr>
          <w:u w:val="single"/>
        </w:rPr>
        <w:t>等部门审核确</w:t>
      </w:r>
    </w:p>
    <w:p>
      <w:pPr>
        <w:pStyle w:val="10"/>
        <w:spacing w:before="12"/>
        <w:rPr>
          <w:sz w:val="9"/>
        </w:rPr>
      </w:pPr>
    </w:p>
    <w:p>
      <w:pPr>
        <w:pStyle w:val="10"/>
        <w:spacing w:before="71"/>
        <w:ind w:left="212"/>
      </w:pPr>
      <w:r>
        <w:rPr>
          <w:spacing w:val="-6"/>
          <w:u w:val="single"/>
        </w:rPr>
        <w:t>认后，工程变更价款与施工进度款同期支付。但在工程未审核结算前，工程进度款最多支付至实际合同价</w:t>
      </w:r>
    </w:p>
    <w:p>
      <w:pPr>
        <w:pStyle w:val="10"/>
        <w:spacing w:before="12"/>
        <w:rPr>
          <w:sz w:val="9"/>
        </w:rPr>
      </w:pPr>
    </w:p>
    <w:p>
      <w:pPr>
        <w:pStyle w:val="10"/>
        <w:spacing w:before="72"/>
        <w:ind w:left="212"/>
      </w:pPr>
      <w:r>
        <w:rPr>
          <w:u w:val="single"/>
        </w:rPr>
        <w:t>的 90%。</w:t>
      </w:r>
    </w:p>
    <w:p>
      <w:pPr>
        <w:pStyle w:val="10"/>
        <w:spacing w:before="12"/>
        <w:rPr>
          <w:sz w:val="9"/>
        </w:rPr>
      </w:pPr>
    </w:p>
    <w:p>
      <w:pPr>
        <w:pStyle w:val="10"/>
        <w:spacing w:before="71"/>
        <w:ind w:firstLine="525" w:firstLineChars="250"/>
      </w:pPr>
      <w:r>
        <w:rPr>
          <w:rFonts w:hint="eastAsia"/>
        </w:rPr>
        <w:t xml:space="preserve">③   </w:t>
      </w:r>
      <w:r>
        <w:rPr>
          <w:rFonts w:hint="eastAsia"/>
          <w:u w:val="single"/>
        </w:rPr>
        <w:t>结算</w:t>
      </w:r>
      <w:r>
        <w:rPr>
          <w:u w:val="single"/>
        </w:rPr>
        <w:t>款：工程合同完工验收合格之日起三十天内支付到审核后工程结算价的90%；</w:t>
      </w:r>
      <w:r>
        <w:rPr>
          <w:rFonts w:hint="eastAsia"/>
          <w:color w:val="FF0000"/>
          <w:highlight w:val="yellow"/>
          <w:u w:val="single"/>
        </w:rPr>
        <w:t>工程竣工验收合格后，提交相关资料经广东省气象局审定项目财务结算后</w:t>
      </w:r>
      <w:r>
        <w:rPr>
          <w:color w:val="FF0000"/>
          <w:highlight w:val="yellow"/>
          <w:u w:val="single"/>
        </w:rPr>
        <w:t>一个月内，支付到审核后工程结算价的</w:t>
      </w:r>
      <w:r>
        <w:rPr>
          <w:rFonts w:hint="eastAsia"/>
          <w:color w:val="FF0000"/>
          <w:highlight w:val="yellow"/>
          <w:u w:val="single"/>
        </w:rPr>
        <w:t>97</w:t>
      </w:r>
      <w:r>
        <w:rPr>
          <w:color w:val="FF0000"/>
          <w:highlight w:val="yellow"/>
          <w:u w:val="single"/>
        </w:rPr>
        <w:t>%</w:t>
      </w:r>
      <w:r>
        <w:t>。</w:t>
      </w:r>
    </w:p>
    <w:p>
      <w:pPr>
        <w:pStyle w:val="10"/>
        <w:spacing w:before="12"/>
        <w:rPr>
          <w:sz w:val="9"/>
        </w:rPr>
      </w:pPr>
    </w:p>
    <w:p>
      <w:pPr>
        <w:pStyle w:val="10"/>
        <w:spacing w:before="71"/>
        <w:ind w:left="361" w:leftChars="164" w:firstLine="210" w:firstLineChars="100"/>
      </w:pPr>
      <w:r>
        <w:rPr>
          <w:rFonts w:hint="eastAsia"/>
        </w:rPr>
        <w:t xml:space="preserve">④ </w:t>
      </w:r>
      <w:r>
        <w:rPr>
          <w:u w:val="single"/>
        </w:rPr>
        <w:t>工程进度款的支付需以</w:t>
      </w:r>
      <w:r>
        <w:rPr>
          <w:rFonts w:hint="eastAsia" w:ascii="Times New Roman"/>
          <w:u w:val="single"/>
        </w:rPr>
        <w:t>广东省气象</w:t>
      </w:r>
      <w:r>
        <w:rPr>
          <w:rFonts w:ascii="Times New Roman"/>
          <w:u w:val="single"/>
        </w:rPr>
        <w:t>局</w:t>
      </w:r>
      <w:r>
        <w:rPr>
          <w:u w:val="single"/>
        </w:rPr>
        <w:t>审核的工程单价为计量依据。</w:t>
      </w:r>
    </w:p>
    <w:p>
      <w:pPr>
        <w:pStyle w:val="10"/>
        <w:spacing w:before="6"/>
        <w:rPr>
          <w:sz w:val="9"/>
        </w:rPr>
      </w:pPr>
    </w:p>
    <w:p>
      <w:pPr>
        <w:tabs>
          <w:tab w:val="left" w:pos="1265"/>
        </w:tabs>
        <w:spacing w:before="78"/>
        <w:ind w:right="206" w:firstLine="199" w:firstLineChars="98"/>
        <w:rPr>
          <w:rFonts w:ascii="Times New Roman" w:eastAsia="Times New Roman"/>
          <w:sz w:val="21"/>
        </w:rPr>
      </w:pPr>
      <w:r>
        <w:rPr>
          <w:rFonts w:hint="eastAsia"/>
          <w:spacing w:val="-3"/>
          <w:sz w:val="21"/>
        </w:rPr>
        <w:t xml:space="preserve">17.3.2 </w:t>
      </w:r>
      <w:r>
        <w:rPr>
          <w:spacing w:val="-3"/>
          <w:sz w:val="21"/>
        </w:rPr>
        <w:t>支付分解表</w:t>
      </w:r>
    </w:p>
    <w:p>
      <w:pPr>
        <w:pStyle w:val="10"/>
        <w:rPr>
          <w:sz w:val="23"/>
        </w:rPr>
      </w:pPr>
    </w:p>
    <w:p>
      <w:pPr>
        <w:pStyle w:val="10"/>
        <w:ind w:left="738"/>
      </w:pPr>
      <w:r>
        <w:rPr>
          <w:rFonts w:hint="eastAsia"/>
          <w:sz w:val="24"/>
        </w:rPr>
        <w:t>■</w:t>
      </w:r>
      <w:r>
        <w:rPr>
          <w:rFonts w:ascii="Times New Roman" w:hAnsi="Times New Roman" w:eastAsia="Times New Roman"/>
          <w:spacing w:val="51"/>
        </w:rPr>
        <w:t xml:space="preserve"> </w:t>
      </w:r>
      <w:r>
        <w:rPr>
          <w:spacing w:val="-3"/>
        </w:rPr>
        <w:t>按通用条款的规定。</w:t>
      </w:r>
    </w:p>
    <w:p>
      <w:pPr>
        <w:pStyle w:val="10"/>
        <w:spacing w:before="7"/>
        <w:rPr>
          <w:sz w:val="15"/>
        </w:rPr>
      </w:pPr>
    </w:p>
    <w:p>
      <w:pPr>
        <w:pStyle w:val="10"/>
        <w:tabs>
          <w:tab w:val="left" w:pos="7250"/>
        </w:tabs>
        <w:ind w:left="738"/>
      </w:pPr>
      <w:r>
        <w:t>□另</w:t>
      </w:r>
      <w:r>
        <w:rPr>
          <w:spacing w:val="-3"/>
        </w:rPr>
        <w:t>作</w:t>
      </w:r>
      <w:r>
        <w:t>约</w:t>
      </w:r>
      <w:r>
        <w:rPr>
          <w:spacing w:val="-3"/>
        </w:rPr>
        <w:t>定</w:t>
      </w:r>
      <w:r>
        <w:t>:</w:t>
      </w:r>
      <w:r>
        <w:rPr>
          <w:u w:val="single"/>
        </w:rPr>
        <w:t xml:space="preserve"> </w:t>
      </w:r>
      <w:r>
        <w:rPr>
          <w:u w:val="single"/>
        </w:rPr>
        <w:tab/>
      </w:r>
      <w:r>
        <w:t>。</w:t>
      </w:r>
    </w:p>
    <w:p>
      <w:pPr>
        <w:pStyle w:val="10"/>
        <w:rPr>
          <w:sz w:val="20"/>
        </w:rPr>
      </w:pPr>
    </w:p>
    <w:p>
      <w:pPr>
        <w:pStyle w:val="10"/>
        <w:spacing w:before="6"/>
        <w:rPr>
          <w:sz w:val="26"/>
        </w:rPr>
      </w:pPr>
    </w:p>
    <w:p>
      <w:pPr>
        <w:pStyle w:val="35"/>
        <w:numPr>
          <w:ilvl w:val="2"/>
          <w:numId w:val="86"/>
        </w:numPr>
        <w:tabs>
          <w:tab w:val="left" w:pos="1370"/>
        </w:tabs>
        <w:spacing w:before="72"/>
        <w:rPr>
          <w:sz w:val="21"/>
        </w:rPr>
      </w:pPr>
      <w:r>
        <w:rPr>
          <w:spacing w:val="-3"/>
          <w:sz w:val="21"/>
        </w:rPr>
        <w:t>进度款付款申请单</w:t>
      </w:r>
    </w:p>
    <w:p>
      <w:pPr>
        <w:pStyle w:val="10"/>
        <w:spacing w:before="6"/>
        <w:rPr>
          <w:sz w:val="15"/>
        </w:rPr>
      </w:pPr>
    </w:p>
    <w:p>
      <w:pPr>
        <w:pStyle w:val="10"/>
        <w:tabs>
          <w:tab w:val="left" w:pos="8405"/>
        </w:tabs>
        <w:ind w:left="738"/>
      </w:pPr>
      <w:r>
        <w:t>进度</w:t>
      </w:r>
      <w:r>
        <w:rPr>
          <w:spacing w:val="-3"/>
        </w:rPr>
        <w:t>付</w:t>
      </w:r>
      <w:r>
        <w:t>款</w:t>
      </w:r>
      <w:r>
        <w:rPr>
          <w:spacing w:val="-3"/>
        </w:rPr>
        <w:t>申</w:t>
      </w:r>
      <w:r>
        <w:t>请</w:t>
      </w:r>
      <w:r>
        <w:rPr>
          <w:spacing w:val="-3"/>
        </w:rPr>
        <w:t>单</w:t>
      </w:r>
      <w:r>
        <w:t>的</w:t>
      </w:r>
      <w:r>
        <w:rPr>
          <w:spacing w:val="-3"/>
        </w:rPr>
        <w:t>份</w:t>
      </w:r>
      <w:r>
        <w:t>数</w:t>
      </w:r>
      <w:r>
        <w:rPr>
          <w:spacing w:val="-3"/>
        </w:rPr>
        <w:t>：</w:t>
      </w:r>
      <w:r>
        <w:rPr>
          <w:spacing w:val="-3"/>
          <w:u w:val="single"/>
        </w:rPr>
        <w:t xml:space="preserve"> </w:t>
      </w:r>
      <w:r>
        <w:rPr>
          <w:spacing w:val="-3"/>
          <w:u w:val="single"/>
        </w:rPr>
        <w:tab/>
      </w:r>
      <w:r>
        <w:t>。</w:t>
      </w:r>
    </w:p>
    <w:p>
      <w:pPr>
        <w:pStyle w:val="10"/>
        <w:rPr>
          <w:sz w:val="20"/>
        </w:rPr>
      </w:pPr>
    </w:p>
    <w:p>
      <w:pPr>
        <w:pStyle w:val="10"/>
        <w:spacing w:before="7"/>
        <w:rPr>
          <w:sz w:val="26"/>
        </w:rPr>
      </w:pPr>
    </w:p>
    <w:p>
      <w:pPr>
        <w:pStyle w:val="35"/>
        <w:numPr>
          <w:ilvl w:val="2"/>
          <w:numId w:val="86"/>
        </w:numPr>
        <w:tabs>
          <w:tab w:val="left" w:pos="1370"/>
        </w:tabs>
        <w:spacing w:before="71"/>
        <w:rPr>
          <w:sz w:val="21"/>
        </w:rPr>
      </w:pPr>
      <w:r>
        <w:rPr>
          <w:spacing w:val="-3"/>
          <w:sz w:val="21"/>
        </w:rPr>
        <w:t>进度付款证书和支付时间</w:t>
      </w:r>
    </w:p>
    <w:p>
      <w:pPr>
        <w:pStyle w:val="10"/>
        <w:spacing w:before="7"/>
        <w:rPr>
          <w:sz w:val="15"/>
        </w:rPr>
      </w:pPr>
    </w:p>
    <w:p>
      <w:pPr>
        <w:tabs>
          <w:tab w:val="left" w:pos="1267"/>
        </w:tabs>
        <w:spacing w:before="12"/>
        <w:ind w:firstLine="288" w:firstLineChars="147"/>
        <w:rPr>
          <w:sz w:val="9"/>
        </w:rPr>
      </w:pPr>
      <w:r>
        <w:rPr>
          <w:rFonts w:hint="eastAsia"/>
          <w:spacing w:val="-7"/>
          <w:sz w:val="21"/>
        </w:rPr>
        <w:t>（1）</w:t>
      </w:r>
      <w:r>
        <w:rPr>
          <w:spacing w:val="-7"/>
          <w:sz w:val="21"/>
          <w:u w:val="single"/>
        </w:rPr>
        <w:t>发包人未按专用合同条款第 17.2.1（2）</w:t>
      </w:r>
      <w:r>
        <w:rPr>
          <w:spacing w:val="-21"/>
          <w:sz w:val="21"/>
          <w:u w:val="single"/>
        </w:rPr>
        <w:t xml:space="preserve">项、第 </w:t>
      </w:r>
      <w:r>
        <w:rPr>
          <w:sz w:val="21"/>
          <w:u w:val="single"/>
        </w:rPr>
        <w:t>17.3.1</w:t>
      </w:r>
      <w:r>
        <w:rPr>
          <w:spacing w:val="-9"/>
          <w:sz w:val="21"/>
          <w:u w:val="single"/>
        </w:rPr>
        <w:t xml:space="preserve"> 项约定期限支付承包人依合同约定应得</w:t>
      </w:r>
    </w:p>
    <w:p>
      <w:pPr>
        <w:pStyle w:val="10"/>
        <w:spacing w:before="72"/>
        <w:ind w:left="212"/>
      </w:pPr>
      <w:r>
        <w:rPr>
          <w:spacing w:val="-3"/>
          <w:u w:val="single"/>
        </w:rPr>
        <w:t xml:space="preserve">到的款项，应当从应付之日起向承包人支付逾期付款违约金。承包人应当按照通用合同条款第 </w:t>
      </w:r>
      <w:r>
        <w:rPr>
          <w:u w:val="single"/>
        </w:rPr>
        <w:t>23.1（1）</w:t>
      </w:r>
    </w:p>
    <w:p>
      <w:pPr>
        <w:pStyle w:val="10"/>
        <w:spacing w:before="12"/>
        <w:rPr>
          <w:sz w:val="9"/>
        </w:rPr>
      </w:pPr>
    </w:p>
    <w:p>
      <w:pPr>
        <w:pStyle w:val="10"/>
        <w:spacing w:before="71"/>
        <w:ind w:left="212"/>
      </w:pPr>
      <w:r>
        <w:rPr>
          <w:spacing w:val="-2"/>
          <w:u w:val="single"/>
        </w:rPr>
        <w:t xml:space="preserve">项的约定，在最终付款期间到期后 </w:t>
      </w:r>
      <w:r>
        <w:rPr>
          <w:u w:val="single"/>
        </w:rPr>
        <w:t>28</w:t>
      </w:r>
      <w:r>
        <w:rPr>
          <w:spacing w:val="-3"/>
          <w:u w:val="single"/>
        </w:rPr>
        <w:t xml:space="preserve"> 天内，向监理人递交索赔意向通知书，说明有权得到按本款约定的</w:t>
      </w:r>
      <w:r>
        <w:rPr>
          <w:u w:val="single"/>
        </w:rPr>
        <w:t>下列标准和方法计算的逾期付款违约金。</w:t>
      </w:r>
    </w:p>
    <w:p>
      <w:pPr>
        <w:pStyle w:val="10"/>
        <w:rPr>
          <w:sz w:val="10"/>
        </w:rPr>
      </w:pPr>
    </w:p>
    <w:p>
      <w:pPr>
        <w:pStyle w:val="10"/>
        <w:spacing w:before="72"/>
        <w:ind w:firstLine="420" w:firstLineChars="200"/>
      </w:pPr>
      <w:r>
        <w:t>（2）逾期付款违约金的计算标准和方法为：</w:t>
      </w:r>
      <w:r>
        <w:rPr>
          <w:u w:val="single"/>
        </w:rPr>
        <w:t>应付金额×延误日数之和×违约利率/360 ×1.2；</w:t>
      </w:r>
    </w:p>
    <w:p>
      <w:pPr>
        <w:pStyle w:val="10"/>
        <w:spacing w:before="11"/>
        <w:rPr>
          <w:sz w:val="9"/>
        </w:rPr>
      </w:pPr>
    </w:p>
    <w:p>
      <w:pPr>
        <w:spacing w:before="72"/>
        <w:ind w:left="844"/>
        <w:rPr>
          <w:sz w:val="21"/>
          <w:u w:val="single"/>
        </w:rPr>
      </w:pPr>
      <w:r>
        <w:rPr>
          <w:sz w:val="21"/>
          <w:u w:val="single"/>
        </w:rPr>
        <w:t>违约利率：银行同期</w:t>
      </w:r>
      <w:r>
        <w:rPr>
          <w:b/>
          <w:sz w:val="21"/>
          <w:u w:val="single"/>
        </w:rPr>
        <w:t>（一年期）</w:t>
      </w:r>
      <w:r>
        <w:rPr>
          <w:sz w:val="21"/>
          <w:u w:val="single"/>
        </w:rPr>
        <w:t>贷款标准利率。</w:t>
      </w:r>
    </w:p>
    <w:p>
      <w:pPr>
        <w:spacing w:before="72"/>
        <w:rPr>
          <w:sz w:val="21"/>
        </w:rPr>
      </w:pPr>
      <w:r>
        <w:rPr>
          <w:rFonts w:hint="eastAsia"/>
          <w:sz w:val="21"/>
        </w:rPr>
        <w:t xml:space="preserve">    （3）</w:t>
      </w:r>
      <w:r>
        <w:rPr>
          <w:rFonts w:hint="eastAsia"/>
          <w:sz w:val="21"/>
          <w:szCs w:val="21"/>
        </w:rPr>
        <w:t>支付给承包人的工程资金，发包人按该笔工程资金20%的比例，将资金划入承包人设立的工人工资支付专用帐户。</w:t>
      </w:r>
    </w:p>
    <w:p>
      <w:pPr>
        <w:pStyle w:val="10"/>
        <w:spacing w:before="5"/>
        <w:rPr>
          <w:sz w:val="9"/>
        </w:rPr>
      </w:pPr>
    </w:p>
    <w:p>
      <w:pPr>
        <w:pStyle w:val="35"/>
        <w:numPr>
          <w:ilvl w:val="1"/>
          <w:numId w:val="86"/>
        </w:numPr>
        <w:tabs>
          <w:tab w:val="left" w:pos="1001"/>
        </w:tabs>
        <w:spacing w:before="79"/>
        <w:ind w:left="1000" w:hanging="474"/>
        <w:rPr>
          <w:rFonts w:ascii="Times New Roman" w:eastAsia="Times New Roman"/>
          <w:sz w:val="21"/>
        </w:rPr>
      </w:pPr>
      <w:r>
        <w:rPr>
          <w:spacing w:val="-3"/>
          <w:sz w:val="21"/>
        </w:rPr>
        <w:t>质量保证金</w:t>
      </w:r>
    </w:p>
    <w:p>
      <w:pPr>
        <w:tabs>
          <w:tab w:val="left" w:pos="692"/>
        </w:tabs>
        <w:spacing w:before="125"/>
        <w:ind w:right="967" w:firstLine="412" w:firstLineChars="200"/>
        <w:rPr>
          <w:b/>
          <w:spacing w:val="-2"/>
          <w:sz w:val="21"/>
          <w:szCs w:val="21"/>
          <w:u w:val="single"/>
        </w:rPr>
      </w:pPr>
      <w:r>
        <w:rPr>
          <w:rFonts w:hint="eastAsia"/>
          <w:spacing w:val="-2"/>
          <w:sz w:val="21"/>
          <w:szCs w:val="21"/>
        </w:rPr>
        <w:t xml:space="preserve">17.4.1 </w:t>
      </w:r>
      <w:r>
        <w:rPr>
          <w:rFonts w:hint="eastAsia"/>
          <w:b/>
          <w:spacing w:val="-2"/>
          <w:sz w:val="21"/>
          <w:szCs w:val="21"/>
        </w:rPr>
        <w:t xml:space="preserve"> </w:t>
      </w:r>
      <w:r>
        <w:rPr>
          <w:rFonts w:hint="eastAsia"/>
          <w:b/>
          <w:spacing w:val="-2"/>
          <w:sz w:val="21"/>
          <w:szCs w:val="21"/>
          <w:u w:val="single"/>
        </w:rPr>
        <w:t>工程竣工验收合格、出具正式书面验收报告后，承包人应以银行转账或银行保函形式向发包</w:t>
      </w:r>
      <w:r>
        <w:rPr>
          <w:b/>
          <w:spacing w:val="-2"/>
          <w:sz w:val="21"/>
          <w:szCs w:val="21"/>
          <w:u w:val="single"/>
        </w:rPr>
        <w:t xml:space="preserve"> </w:t>
      </w:r>
      <w:r>
        <w:rPr>
          <w:rFonts w:hint="eastAsia"/>
          <w:b/>
          <w:spacing w:val="-2"/>
          <w:sz w:val="21"/>
          <w:szCs w:val="21"/>
          <w:u w:val="single"/>
        </w:rPr>
        <w:t>人支付结算款总额的 3%作为本工程的质量保证金，同时发包人退还承包人的履约担保。竣工验收后两年</w:t>
      </w:r>
      <w:r>
        <w:rPr>
          <w:b/>
          <w:spacing w:val="-2"/>
          <w:sz w:val="21"/>
          <w:szCs w:val="21"/>
          <w:u w:val="single"/>
        </w:rPr>
        <w:t xml:space="preserve"> </w:t>
      </w:r>
      <w:r>
        <w:rPr>
          <w:rFonts w:hint="eastAsia"/>
          <w:b/>
          <w:spacing w:val="-2"/>
          <w:sz w:val="21"/>
          <w:szCs w:val="21"/>
          <w:u w:val="single"/>
        </w:rPr>
        <w:t>退还质量保证金，此期间的维修费用将在质量保证金予以支付，承包人不得拒绝。质量保证金不足以支付</w:t>
      </w:r>
      <w:r>
        <w:rPr>
          <w:b/>
          <w:spacing w:val="-2"/>
          <w:sz w:val="21"/>
          <w:szCs w:val="21"/>
          <w:u w:val="single"/>
        </w:rPr>
        <w:t xml:space="preserve"> </w:t>
      </w:r>
      <w:r>
        <w:rPr>
          <w:rFonts w:hint="eastAsia"/>
          <w:b/>
          <w:spacing w:val="-2"/>
          <w:sz w:val="21"/>
          <w:szCs w:val="21"/>
          <w:u w:val="single"/>
        </w:rPr>
        <w:t>实际维修费用时，</w:t>
      </w:r>
      <w:r>
        <w:rPr>
          <w:rFonts w:hint="eastAsia"/>
          <w:b/>
          <w:spacing w:val="-2"/>
          <w:sz w:val="21"/>
          <w:szCs w:val="21"/>
          <w:highlight w:val="yellow"/>
          <w:u w:val="single"/>
        </w:rPr>
        <w:t>承包人应在接到发包人通知后七天内向发包人缴交此费用。</w:t>
      </w:r>
    </w:p>
    <w:p>
      <w:pPr>
        <w:tabs>
          <w:tab w:val="left" w:pos="653"/>
        </w:tabs>
        <w:spacing w:line="440" w:lineRule="exact"/>
        <w:ind w:firstLine="399" w:firstLineChars="196"/>
        <w:rPr>
          <w:spacing w:val="-2"/>
          <w:sz w:val="21"/>
        </w:rPr>
      </w:pPr>
      <w:r>
        <w:rPr>
          <w:rFonts w:hint="eastAsia"/>
          <w:spacing w:val="-3"/>
          <w:sz w:val="21"/>
        </w:rPr>
        <w:t xml:space="preserve">17.4.2  </w:t>
      </w:r>
      <w:r>
        <w:rPr>
          <w:spacing w:val="-3"/>
          <w:sz w:val="21"/>
        </w:rPr>
        <w:t>质量保证金的返还时间</w:t>
      </w:r>
      <w:r>
        <w:t>：</w:t>
      </w:r>
      <w:r>
        <w:rPr>
          <w:rFonts w:hint="eastAsia"/>
          <w:spacing w:val="-3"/>
          <w:sz w:val="21"/>
        </w:rPr>
        <w:t>质保期满验收合格后一次付清。在专用条款约定的缺陷责任期（包括第59.2款延长的期限）终止并验收合格后的30天内，发包人应将剩余的质量保证金或质量保证保险返还（退还）给承包人。剩余质量保证金的返还或质量保证保险的退还，并不能免除承包人按照合同约定应承担的质量保修责任和应履行的质量保修义务。</w:t>
      </w:r>
    </w:p>
    <w:p>
      <w:pPr>
        <w:ind w:firstLine="218" w:firstLineChars="100"/>
        <w:rPr>
          <w:rFonts w:ascii="Times New Roman" w:eastAsia="Times New Roman"/>
        </w:rPr>
      </w:pPr>
      <w:bookmarkStart w:id="346" w:name="_bookmark263"/>
      <w:bookmarkEnd w:id="346"/>
      <w:r>
        <w:rPr>
          <w:rFonts w:hint="eastAsia"/>
          <w:spacing w:val="-1"/>
        </w:rPr>
        <w:t>1</w:t>
      </w:r>
      <w:r>
        <w:rPr>
          <w:spacing w:val="-1"/>
        </w:rPr>
        <w:t>7.5 竣工结算</w:t>
      </w:r>
    </w:p>
    <w:p>
      <w:pPr>
        <w:pStyle w:val="10"/>
        <w:spacing w:before="1"/>
        <w:rPr>
          <w:rFonts w:ascii="黑体"/>
          <w:sz w:val="38"/>
        </w:rPr>
      </w:pPr>
    </w:p>
    <w:p>
      <w:pPr>
        <w:tabs>
          <w:tab w:val="left" w:pos="1265"/>
        </w:tabs>
        <w:spacing w:before="1"/>
        <w:ind w:firstLine="299" w:firstLineChars="147"/>
        <w:rPr>
          <w:rFonts w:ascii="Times New Roman" w:eastAsia="Times New Roman"/>
          <w:sz w:val="21"/>
        </w:rPr>
      </w:pPr>
      <w:r>
        <w:rPr>
          <w:rFonts w:hint="eastAsia"/>
          <w:spacing w:val="-3"/>
          <w:sz w:val="21"/>
        </w:rPr>
        <w:t>17.5.1</w:t>
      </w:r>
      <w:r>
        <w:rPr>
          <w:spacing w:val="-3"/>
          <w:sz w:val="21"/>
        </w:rPr>
        <w:t>竣工付款申请单</w:t>
      </w:r>
    </w:p>
    <w:p>
      <w:pPr>
        <w:pStyle w:val="10"/>
        <w:tabs>
          <w:tab w:val="left" w:pos="4620"/>
        </w:tabs>
        <w:spacing w:before="124"/>
        <w:ind w:left="737" w:leftChars="335" w:firstLine="105" w:firstLineChars="50"/>
      </w:pPr>
      <w:r>
        <w:rPr>
          <w:lang w:val="en-US" w:bidi="ar-SA"/>
        </w:rPr>
        <w:pict>
          <v:line id="直线 11" o:spid="_x0000_s1028" o:spt="20" style="position:absolute;left:0pt;margin-left:251.05pt;margin-top:22.25pt;height:0pt;width:31.55pt;mso-position-horizontal-relative:page;z-index:-261007360;mso-width-relative:page;mso-height-relative:page;" coordsize="21600,21600" o:gfxdata="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i3l2G1wAAAAkBAAAPAAAAAAAAAAEAIAAAACIAAABkcnMvZG93bnJl&#10;di54bWxQSwECFAAUAAAACACHTuJABp/K48UBAACBAwAADgAAAAAAAAABACAAAAAmAQAAZHJzL2Uy&#10;b0RvYy54bWxQSwUGAAAAAAYABgBZAQAAXQUAAAAA&#10;">
            <v:path arrowok="t"/>
            <v:fill focussize="0,0"/>
            <v:stroke weight="0.6pt"/>
            <v:imagedata o:title=""/>
            <o:lock v:ext="edit"/>
          </v:line>
        </w:pict>
      </w:r>
      <w:r>
        <w:t>承包</w:t>
      </w:r>
      <w:r>
        <w:rPr>
          <w:spacing w:val="-3"/>
        </w:rPr>
        <w:t>人</w:t>
      </w:r>
      <w:r>
        <w:t>提</w:t>
      </w:r>
      <w:r>
        <w:rPr>
          <w:spacing w:val="-3"/>
        </w:rPr>
        <w:t>交</w:t>
      </w:r>
      <w:r>
        <w:t>竣</w:t>
      </w:r>
      <w:r>
        <w:rPr>
          <w:spacing w:val="-3"/>
        </w:rPr>
        <w:t>工</w:t>
      </w:r>
      <w:r>
        <w:t>付</w:t>
      </w:r>
      <w:r>
        <w:rPr>
          <w:spacing w:val="-3"/>
        </w:rPr>
        <w:t>款</w:t>
      </w:r>
      <w:r>
        <w:t>申</w:t>
      </w:r>
      <w:r>
        <w:rPr>
          <w:spacing w:val="-3"/>
        </w:rPr>
        <w:t>请</w:t>
      </w:r>
      <w:r>
        <w:t>单的</w:t>
      </w:r>
      <w:r>
        <w:rPr>
          <w:spacing w:val="-3"/>
        </w:rPr>
        <w:t>份</w:t>
      </w:r>
      <w:r>
        <w:t>数</w:t>
      </w:r>
      <w:r>
        <w:rPr>
          <w:spacing w:val="-3"/>
        </w:rPr>
        <w:t>：</w:t>
      </w:r>
      <w:r>
        <w:rPr>
          <w:rFonts w:hint="eastAsia"/>
          <w:spacing w:val="-3"/>
        </w:rPr>
        <w:t xml:space="preserve"> </w:t>
      </w:r>
      <w:r>
        <w:rPr>
          <w:rFonts w:hint="eastAsia"/>
          <w:b/>
          <w:spacing w:val="-2"/>
        </w:rPr>
        <w:t xml:space="preserve">四份 </w:t>
      </w:r>
      <w:r>
        <w:rPr>
          <w:rFonts w:hint="eastAsia" w:ascii="Microsoft JhengHei" w:eastAsia="Microsoft JhengHei"/>
          <w:b/>
        </w:rPr>
        <w:tab/>
      </w:r>
      <w:r>
        <w:t>。</w:t>
      </w:r>
    </w:p>
    <w:p>
      <w:pPr>
        <w:spacing w:before="82"/>
        <w:ind w:right="551"/>
        <w:jc w:val="right"/>
        <w:rPr>
          <w:b/>
          <w:spacing w:val="-2"/>
          <w:sz w:val="21"/>
          <w:szCs w:val="21"/>
          <w:u w:val="single"/>
        </w:rPr>
      </w:pPr>
      <w:r>
        <w:rPr>
          <w:sz w:val="21"/>
        </w:rPr>
        <w:t>承包人提交竣工付款申请单的期限：</w:t>
      </w:r>
      <w:r>
        <w:rPr>
          <w:rFonts w:hint="eastAsia"/>
          <w:b/>
          <w:spacing w:val="-2"/>
          <w:sz w:val="21"/>
          <w:szCs w:val="21"/>
          <w:u w:val="single"/>
        </w:rPr>
        <w:t>承包人应根据发包人确认的每笔应付款项金额向发包人提交其</w:t>
      </w:r>
    </w:p>
    <w:p>
      <w:pPr>
        <w:spacing w:before="82"/>
        <w:ind w:right="546"/>
        <w:jc w:val="right"/>
        <w:rPr>
          <w:b/>
          <w:spacing w:val="-2"/>
          <w:sz w:val="21"/>
          <w:szCs w:val="21"/>
          <w:u w:val="single"/>
        </w:rPr>
      </w:pPr>
      <w:r>
        <w:rPr>
          <w:b/>
          <w:spacing w:val="-2"/>
          <w:sz w:val="21"/>
          <w:szCs w:val="21"/>
          <w:u w:val="single"/>
        </w:rPr>
        <w:t xml:space="preserve"> </w:t>
      </w:r>
      <w:r>
        <w:rPr>
          <w:rFonts w:hint="eastAsia"/>
          <w:b/>
          <w:spacing w:val="-2"/>
          <w:sz w:val="21"/>
          <w:szCs w:val="21"/>
          <w:u w:val="single"/>
        </w:rPr>
        <w:t>认可的合法有效增值税发票，发包人在收到该合法有效增值税发票并审批后 30 天内向承包人付款。如承</w:t>
      </w:r>
    </w:p>
    <w:p>
      <w:pPr>
        <w:spacing w:before="82"/>
        <w:ind w:right="546"/>
        <w:jc w:val="right"/>
        <w:rPr>
          <w:b/>
          <w:spacing w:val="-2"/>
          <w:sz w:val="21"/>
          <w:szCs w:val="21"/>
          <w:u w:val="single"/>
        </w:rPr>
      </w:pPr>
      <w:r>
        <w:rPr>
          <w:b/>
          <w:spacing w:val="-2"/>
          <w:sz w:val="21"/>
          <w:szCs w:val="21"/>
          <w:u w:val="single"/>
        </w:rPr>
        <w:t xml:space="preserve"> </w:t>
      </w:r>
      <w:r>
        <w:rPr>
          <w:rFonts w:hint="eastAsia"/>
          <w:b/>
          <w:spacing w:val="-2"/>
          <w:sz w:val="21"/>
          <w:szCs w:val="21"/>
          <w:u w:val="single"/>
        </w:rPr>
        <w:t>包人未能及时提供合法有效增值税发票，则发包人的付款将顺延，由此引起的延迟付款责任均由承包人承</w:t>
      </w:r>
    </w:p>
    <w:p>
      <w:pPr>
        <w:spacing w:before="82"/>
        <w:ind w:left="212"/>
        <w:rPr>
          <w:b/>
          <w:spacing w:val="-2"/>
          <w:sz w:val="21"/>
          <w:szCs w:val="21"/>
          <w:u w:val="single"/>
        </w:rPr>
      </w:pPr>
      <w:r>
        <w:rPr>
          <w:b/>
          <w:spacing w:val="-2"/>
          <w:sz w:val="21"/>
          <w:szCs w:val="21"/>
          <w:u w:val="single"/>
        </w:rPr>
        <w:t xml:space="preserve"> </w:t>
      </w:r>
      <w:r>
        <w:rPr>
          <w:rFonts w:hint="eastAsia"/>
          <w:b/>
          <w:spacing w:val="-2"/>
          <w:sz w:val="21"/>
          <w:szCs w:val="21"/>
          <w:u w:val="single"/>
        </w:rPr>
        <w:t>担</w:t>
      </w:r>
      <w:r>
        <w:rPr>
          <w:b/>
          <w:spacing w:val="-2"/>
          <w:sz w:val="21"/>
          <w:szCs w:val="21"/>
          <w:u w:val="single"/>
        </w:rPr>
        <w:t>。</w:t>
      </w:r>
    </w:p>
    <w:p>
      <w:pPr>
        <w:pStyle w:val="10"/>
        <w:tabs>
          <w:tab w:val="left" w:pos="9454"/>
        </w:tabs>
        <w:spacing w:before="156"/>
        <w:ind w:left="738"/>
      </w:pPr>
      <w:r>
        <w:t>竣工</w:t>
      </w:r>
      <w:r>
        <w:rPr>
          <w:spacing w:val="-3"/>
        </w:rPr>
        <w:t>付</w:t>
      </w:r>
      <w:r>
        <w:t>款</w:t>
      </w:r>
      <w:r>
        <w:rPr>
          <w:spacing w:val="-3"/>
        </w:rPr>
        <w:t>申</w:t>
      </w:r>
      <w:r>
        <w:t>请</w:t>
      </w:r>
      <w:r>
        <w:rPr>
          <w:spacing w:val="-3"/>
        </w:rPr>
        <w:t>单</w:t>
      </w:r>
      <w:r>
        <w:t>的</w:t>
      </w:r>
      <w:r>
        <w:rPr>
          <w:spacing w:val="-3"/>
        </w:rPr>
        <w:t>内</w:t>
      </w:r>
      <w:r>
        <w:t>容</w:t>
      </w:r>
      <w:r>
        <w:rPr>
          <w:spacing w:val="-3"/>
        </w:rPr>
        <w:t>：</w:t>
      </w:r>
      <w:r>
        <w:rPr>
          <w:spacing w:val="-3"/>
          <w:u w:val="single"/>
        </w:rPr>
        <w:t xml:space="preserve"> </w:t>
      </w:r>
      <w:r>
        <w:rPr>
          <w:spacing w:val="-3"/>
          <w:u w:val="single"/>
        </w:rPr>
        <w:tab/>
      </w:r>
      <w:r>
        <w:t>。</w:t>
      </w:r>
    </w:p>
    <w:p>
      <w:pPr>
        <w:pStyle w:val="10"/>
        <w:spacing w:before="5"/>
        <w:rPr>
          <w:sz w:val="9"/>
        </w:rPr>
      </w:pPr>
    </w:p>
    <w:p>
      <w:pPr>
        <w:tabs>
          <w:tab w:val="left" w:pos="1265"/>
        </w:tabs>
        <w:spacing w:before="79"/>
        <w:ind w:firstLine="299" w:firstLineChars="147"/>
        <w:rPr>
          <w:rFonts w:ascii="Times New Roman" w:eastAsia="Times New Roman"/>
          <w:sz w:val="21"/>
        </w:rPr>
      </w:pPr>
      <w:r>
        <w:rPr>
          <w:rFonts w:hint="eastAsia"/>
          <w:spacing w:val="-3"/>
          <w:sz w:val="21"/>
        </w:rPr>
        <w:t xml:space="preserve">17.5.2 </w:t>
      </w:r>
      <w:r>
        <w:rPr>
          <w:spacing w:val="-3"/>
          <w:sz w:val="21"/>
        </w:rPr>
        <w:t>竣工结算时间</w:t>
      </w:r>
    </w:p>
    <w:p>
      <w:pPr>
        <w:pStyle w:val="10"/>
        <w:spacing w:before="6"/>
        <w:rPr>
          <w:sz w:val="15"/>
        </w:rPr>
      </w:pPr>
    </w:p>
    <w:p>
      <w:pPr>
        <w:pStyle w:val="10"/>
        <w:spacing w:before="1" w:line="417" w:lineRule="auto"/>
        <w:ind w:left="212" w:right="548" w:firstLine="526"/>
      </w:pPr>
      <w:r>
        <w:rPr>
          <w:spacing w:val="-5"/>
          <w:highlight w:val="yellow"/>
        </w:rPr>
        <w:t xml:space="preserve">发包人应当自确认之日起 </w:t>
      </w:r>
      <w:r>
        <w:rPr>
          <w:highlight w:val="yellow"/>
        </w:rPr>
        <w:t>30</w:t>
      </w:r>
      <w:r>
        <w:rPr>
          <w:spacing w:val="-7"/>
          <w:highlight w:val="yellow"/>
        </w:rPr>
        <w:t xml:space="preserve"> 日内报送</w:t>
      </w:r>
      <w:r>
        <w:rPr>
          <w:spacing w:val="-4"/>
          <w:highlight w:val="yellow"/>
        </w:rPr>
        <w:t>。</w:t>
      </w:r>
    </w:p>
    <w:p>
      <w:pPr>
        <w:pStyle w:val="10"/>
        <w:spacing w:before="12"/>
        <w:rPr>
          <w:sz w:val="22"/>
        </w:rPr>
      </w:pPr>
    </w:p>
    <w:p>
      <w:pPr>
        <w:pStyle w:val="4"/>
      </w:pPr>
      <w:bookmarkStart w:id="347" w:name="_bookmark264"/>
      <w:bookmarkEnd w:id="347"/>
      <w:bookmarkStart w:id="348" w:name="_Toc37926088"/>
      <w:r>
        <w:rPr>
          <w:rFonts w:hint="eastAsia"/>
          <w:spacing w:val="-2"/>
        </w:rPr>
        <w:t>1</w:t>
      </w:r>
      <w:r>
        <w:rPr>
          <w:spacing w:val="-2"/>
        </w:rPr>
        <w:t>8. 竣工试验和竣工验收</w:t>
      </w:r>
      <w:bookmarkEnd w:id="348"/>
    </w:p>
    <w:p>
      <w:pPr>
        <w:pStyle w:val="10"/>
        <w:spacing w:before="4"/>
        <w:rPr>
          <w:rFonts w:ascii="黑体"/>
          <w:sz w:val="38"/>
        </w:rPr>
      </w:pPr>
    </w:p>
    <w:p>
      <w:pPr>
        <w:tabs>
          <w:tab w:val="left" w:pos="1212"/>
        </w:tabs>
        <w:spacing w:before="1"/>
        <w:ind w:firstLine="309" w:firstLineChars="150"/>
        <w:rPr>
          <w:rFonts w:ascii="Times New Roman" w:eastAsia="Times New Roman"/>
          <w:sz w:val="21"/>
        </w:rPr>
      </w:pPr>
      <w:r>
        <w:rPr>
          <w:rFonts w:hint="eastAsia"/>
          <w:spacing w:val="-2"/>
          <w:sz w:val="21"/>
        </w:rPr>
        <w:t xml:space="preserve">18.1 </w:t>
      </w:r>
      <w:r>
        <w:rPr>
          <w:spacing w:val="-2"/>
          <w:sz w:val="21"/>
        </w:rPr>
        <w:t>竣工试验</w:t>
      </w:r>
    </w:p>
    <w:p>
      <w:pPr>
        <w:pStyle w:val="10"/>
        <w:spacing w:before="6"/>
        <w:rPr>
          <w:sz w:val="15"/>
        </w:rPr>
      </w:pPr>
    </w:p>
    <w:p>
      <w:pPr>
        <w:tabs>
          <w:tab w:val="left" w:pos="1475"/>
          <w:tab w:val="left" w:pos="1476"/>
          <w:tab w:val="left" w:pos="9749"/>
        </w:tabs>
        <w:ind w:firstLine="440" w:firstLineChars="200"/>
        <w:rPr>
          <w:rFonts w:ascii="Times New Roman" w:eastAsia="Times New Roman"/>
          <w:sz w:val="21"/>
        </w:rPr>
      </w:pPr>
      <w:r>
        <w:rPr>
          <w:lang w:val="en-US" w:bidi="ar-SA"/>
        </w:rPr>
        <w:pict>
          <v:line id="直线 12" o:spid="_x0000_s1027" o:spt="20" style="position:absolute;left:0pt;margin-left:213.15pt;margin-top:12.2pt;height:0pt;width:320.3pt;mso-position-horizontal-relative:page;z-index:251665408;mso-width-relative:page;mso-height-relative:page;" coordsize="21600,21600" o:gfxdata="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voXrn1wAAAAoBAAAPAAAAAAAAAAEAIAAAACIAAABkcnMvZG93bnJl&#10;di54bWxQSwECFAAUAAAACACHTuJAx+VUPsUBAACDAwAADgAAAAAAAAABACAAAAAmAQAAZHJzL2Uy&#10;b0RvYy54bWxQSwUGAAAAAAYABgBZAQAAXQUAAAAA&#10;">
            <v:path arrowok="t"/>
            <v:fill focussize="0,0"/>
            <v:stroke weight="0.6pt"/>
            <v:imagedata o:title=""/>
            <o:lock v:ext="edit"/>
          </v:line>
        </w:pict>
      </w:r>
      <w:r>
        <w:rPr>
          <w:rFonts w:hint="eastAsia"/>
          <w:spacing w:val="-3"/>
          <w:sz w:val="21"/>
        </w:rPr>
        <w:t xml:space="preserve">18.1.1 </w:t>
      </w:r>
      <w:r>
        <w:rPr>
          <w:spacing w:val="-3"/>
          <w:sz w:val="21"/>
        </w:rPr>
        <w:t>竣</w:t>
      </w:r>
      <w:r>
        <w:rPr>
          <w:sz w:val="21"/>
        </w:rPr>
        <w:t>工</w:t>
      </w:r>
      <w:r>
        <w:rPr>
          <w:spacing w:val="-3"/>
          <w:sz w:val="21"/>
        </w:rPr>
        <w:t>实</w:t>
      </w:r>
      <w:r>
        <w:rPr>
          <w:sz w:val="21"/>
        </w:rPr>
        <w:t>验</w:t>
      </w:r>
      <w:r>
        <w:rPr>
          <w:spacing w:val="-3"/>
          <w:sz w:val="21"/>
        </w:rPr>
        <w:t>进</w:t>
      </w:r>
      <w:r>
        <w:rPr>
          <w:sz w:val="21"/>
        </w:rPr>
        <w:t>行</w:t>
      </w:r>
      <w:r>
        <w:rPr>
          <w:spacing w:val="-3"/>
          <w:sz w:val="21"/>
        </w:rPr>
        <w:t>顺序</w:t>
      </w:r>
      <w:r>
        <w:rPr>
          <w:sz w:val="21"/>
        </w:rPr>
        <w:t>：</w:t>
      </w:r>
      <w:r>
        <w:rPr>
          <w:sz w:val="21"/>
        </w:rPr>
        <w:tab/>
      </w:r>
      <w:r>
        <w:rPr>
          <w:sz w:val="21"/>
        </w:rPr>
        <w:t>。</w:t>
      </w:r>
    </w:p>
    <w:p>
      <w:pPr>
        <w:pStyle w:val="10"/>
        <w:rPr>
          <w:sz w:val="10"/>
        </w:rPr>
      </w:pPr>
    </w:p>
    <w:p>
      <w:pPr>
        <w:tabs>
          <w:tab w:val="left" w:pos="1476"/>
        </w:tabs>
        <w:spacing w:before="72" w:line="417" w:lineRule="auto"/>
        <w:ind w:right="546" w:firstLine="396" w:firstLineChars="200"/>
        <w:rPr>
          <w:spacing w:val="-2"/>
          <w:sz w:val="21"/>
        </w:rPr>
      </w:pPr>
      <w:r>
        <w:rPr>
          <w:rFonts w:hint="eastAsia"/>
          <w:spacing w:val="-6"/>
          <w:sz w:val="21"/>
        </w:rPr>
        <w:t xml:space="preserve">18.1.2 </w:t>
      </w:r>
      <w:r>
        <w:rPr>
          <w:spacing w:val="-6"/>
          <w:sz w:val="21"/>
        </w:rPr>
        <w:t>承包人应按合同约定进行工程及工程设备试运行。试运行所需人员、设备、材料、燃料、电</w:t>
      </w:r>
      <w:r>
        <w:rPr>
          <w:spacing w:val="-4"/>
          <w:sz w:val="21"/>
        </w:rPr>
        <w:t>力、消耗品、工具等必要的条件以及试运行费用由</w:t>
      </w:r>
      <w:r>
        <w:rPr>
          <w:spacing w:val="-1"/>
          <w:sz w:val="21"/>
        </w:rPr>
        <w:t>承包人</w:t>
      </w:r>
      <w:r>
        <w:rPr>
          <w:spacing w:val="-2"/>
          <w:sz w:val="21"/>
        </w:rPr>
        <w:t>承担。</w:t>
      </w:r>
    </w:p>
    <w:p>
      <w:pPr>
        <w:ind w:firstLine="330" w:firstLineChars="150"/>
      </w:pPr>
      <w:r>
        <w:rPr>
          <w:rFonts w:hint="eastAsia"/>
        </w:rPr>
        <w:t>18.2 竣工验收申请报告</w:t>
      </w:r>
    </w:p>
    <w:p>
      <w:pPr>
        <w:ind w:firstLine="440" w:firstLineChars="200"/>
      </w:pPr>
    </w:p>
    <w:p>
      <w:pPr>
        <w:ind w:firstLine="440" w:firstLineChars="200"/>
      </w:pPr>
      <w:r>
        <w:t>按合同通用条款的规定。</w:t>
      </w:r>
    </w:p>
    <w:p>
      <w:pPr>
        <w:ind w:firstLine="220" w:firstLineChars="100"/>
        <w:rPr>
          <w:rFonts w:ascii="Times New Roman" w:eastAsiaTheme="minorEastAsia"/>
        </w:rPr>
      </w:pPr>
      <w:bookmarkStart w:id="349" w:name="_bookmark265"/>
      <w:bookmarkEnd w:id="349"/>
    </w:p>
    <w:p>
      <w:pPr>
        <w:ind w:firstLine="330" w:firstLineChars="150"/>
      </w:pPr>
      <w:r>
        <w:rPr>
          <w:rFonts w:ascii="Times New Roman" w:eastAsiaTheme="minorEastAsia"/>
        </w:rPr>
        <w:t xml:space="preserve">18.3 </w:t>
      </w:r>
      <w:r>
        <w:t>竣工验收</w:t>
      </w:r>
    </w:p>
    <w:p>
      <w:pPr>
        <w:pStyle w:val="10"/>
        <w:spacing w:before="4"/>
        <w:rPr>
          <w:rFonts w:ascii="黑体"/>
          <w:sz w:val="38"/>
        </w:rPr>
      </w:pPr>
    </w:p>
    <w:p>
      <w:pPr>
        <w:pStyle w:val="10"/>
        <w:ind w:left="738"/>
      </w:pPr>
      <w:r>
        <w:t>18.3.5 经验收合格工程的实际竣工日期</w:t>
      </w:r>
    </w:p>
    <w:p>
      <w:pPr>
        <w:pStyle w:val="10"/>
        <w:rPr>
          <w:sz w:val="23"/>
        </w:rPr>
      </w:pPr>
    </w:p>
    <w:p>
      <w:pPr>
        <w:pStyle w:val="10"/>
        <w:spacing w:before="1"/>
        <w:ind w:left="738"/>
      </w:pPr>
      <w:r>
        <w:rPr>
          <w:rFonts w:hint="eastAsia"/>
          <w:sz w:val="24"/>
        </w:rPr>
        <w:t>■</w:t>
      </w:r>
      <w:r>
        <w:rPr>
          <w:spacing w:val="-3"/>
        </w:rPr>
        <w:t>按通用条款的规定。</w:t>
      </w:r>
    </w:p>
    <w:p>
      <w:pPr>
        <w:pStyle w:val="10"/>
        <w:spacing w:before="6"/>
        <w:rPr>
          <w:sz w:val="15"/>
        </w:rPr>
      </w:pPr>
    </w:p>
    <w:p>
      <w:pPr>
        <w:pStyle w:val="10"/>
        <w:tabs>
          <w:tab w:val="left" w:pos="7250"/>
        </w:tabs>
        <w:ind w:left="738"/>
      </w:pPr>
      <w:r>
        <w:t>□另</w:t>
      </w:r>
      <w:r>
        <w:rPr>
          <w:spacing w:val="-3"/>
        </w:rPr>
        <w:t>作</w:t>
      </w:r>
      <w:r>
        <w:t>约</w:t>
      </w:r>
      <w:r>
        <w:rPr>
          <w:spacing w:val="-3"/>
        </w:rPr>
        <w:t>定</w:t>
      </w:r>
      <w:r>
        <w:t>:</w:t>
      </w:r>
      <w:r>
        <w:rPr>
          <w:u w:val="single"/>
        </w:rPr>
        <w:t xml:space="preserve"> </w:t>
      </w:r>
      <w:r>
        <w:rPr>
          <w:u w:val="single"/>
        </w:rPr>
        <w:tab/>
      </w:r>
      <w:r>
        <w:t>。</w:t>
      </w:r>
    </w:p>
    <w:p>
      <w:pPr>
        <w:pStyle w:val="10"/>
        <w:rPr>
          <w:sz w:val="20"/>
        </w:rPr>
      </w:pPr>
    </w:p>
    <w:p>
      <w:pPr>
        <w:ind w:firstLine="220" w:firstLineChars="100"/>
      </w:pPr>
      <w:bookmarkStart w:id="350" w:name="_bookmark266"/>
      <w:bookmarkEnd w:id="350"/>
      <w:r>
        <w:rPr>
          <w:rFonts w:ascii="Times New Roman" w:eastAsiaTheme="minorEastAsia"/>
        </w:rPr>
        <w:t xml:space="preserve">18.9 </w:t>
      </w:r>
      <w:r>
        <w:rPr>
          <w:rFonts w:ascii="Times New Roman" w:eastAsia="Times New Roman"/>
        </w:rPr>
        <w:t xml:space="preserve"> </w:t>
      </w:r>
      <w:r>
        <w:t>竣工后试验</w:t>
      </w:r>
    </w:p>
    <w:p>
      <w:pPr>
        <w:pStyle w:val="10"/>
        <w:spacing w:before="4"/>
        <w:rPr>
          <w:rFonts w:ascii="黑体"/>
          <w:sz w:val="38"/>
        </w:rPr>
      </w:pPr>
    </w:p>
    <w:p>
      <w:pPr>
        <w:pStyle w:val="10"/>
        <w:ind w:left="738"/>
      </w:pPr>
      <w:r>
        <w:rPr>
          <w:rFonts w:hint="eastAsia"/>
          <w:sz w:val="24"/>
        </w:rPr>
        <w:t>■</w:t>
      </w:r>
      <w:r>
        <w:rPr>
          <w:rFonts w:ascii="Times New Roman" w:hAnsi="Times New Roman" w:eastAsia="Times New Roman"/>
          <w:spacing w:val="51"/>
        </w:rPr>
        <w:t xml:space="preserve"> </w:t>
      </w:r>
      <w:r>
        <w:rPr>
          <w:spacing w:val="-3"/>
        </w:rPr>
        <w:t>按通用条款的规定。</w:t>
      </w:r>
    </w:p>
    <w:p>
      <w:pPr>
        <w:pStyle w:val="10"/>
        <w:spacing w:before="7"/>
        <w:rPr>
          <w:sz w:val="15"/>
        </w:rPr>
      </w:pPr>
    </w:p>
    <w:p>
      <w:pPr>
        <w:pStyle w:val="10"/>
        <w:tabs>
          <w:tab w:val="left" w:pos="7250"/>
        </w:tabs>
        <w:ind w:left="738"/>
      </w:pPr>
      <w:r>
        <w:t>□另</w:t>
      </w:r>
      <w:r>
        <w:rPr>
          <w:spacing w:val="-3"/>
        </w:rPr>
        <w:t>作</w:t>
      </w:r>
      <w:r>
        <w:t>约</w:t>
      </w:r>
      <w:r>
        <w:rPr>
          <w:spacing w:val="-3"/>
        </w:rPr>
        <w:t>定</w:t>
      </w:r>
      <w:r>
        <w:t>:</w:t>
      </w:r>
      <w:r>
        <w:rPr>
          <w:u w:val="single"/>
        </w:rPr>
        <w:t xml:space="preserve"> </w:t>
      </w:r>
      <w:r>
        <w:rPr>
          <w:u w:val="single"/>
        </w:rPr>
        <w:tab/>
      </w:r>
      <w:r>
        <w:t>。</w:t>
      </w:r>
    </w:p>
    <w:p>
      <w:pPr>
        <w:pStyle w:val="10"/>
        <w:rPr>
          <w:sz w:val="20"/>
        </w:rPr>
      </w:pPr>
    </w:p>
    <w:p>
      <w:pPr>
        <w:pStyle w:val="4"/>
      </w:pPr>
      <w:bookmarkStart w:id="351" w:name="_bookmark267"/>
      <w:bookmarkEnd w:id="351"/>
      <w:bookmarkStart w:id="352" w:name="_Toc37926089"/>
      <w:r>
        <w:rPr>
          <w:rFonts w:hint="eastAsia"/>
        </w:rPr>
        <w:t>1</w:t>
      </w:r>
      <w:r>
        <w:t>9. 缺陷责任与保修责任</w:t>
      </w:r>
      <w:bookmarkEnd w:id="352"/>
    </w:p>
    <w:p>
      <w:pPr>
        <w:ind w:firstLine="220" w:firstLineChars="100"/>
      </w:pPr>
    </w:p>
    <w:p>
      <w:pPr>
        <w:ind w:firstLine="550" w:firstLineChars="250"/>
        <w:rPr>
          <w:rFonts w:ascii="Arial" w:eastAsia="Arial"/>
        </w:rPr>
      </w:pPr>
      <w:r>
        <w:t>按合同通用条款的规定。</w:t>
      </w:r>
    </w:p>
    <w:p>
      <w:pPr>
        <w:ind w:firstLine="218" w:firstLineChars="100"/>
        <w:rPr>
          <w:spacing w:val="-1"/>
        </w:rPr>
      </w:pPr>
      <w:bookmarkStart w:id="353" w:name="_bookmark268"/>
      <w:bookmarkEnd w:id="353"/>
    </w:p>
    <w:p>
      <w:pPr>
        <w:ind w:firstLine="218" w:firstLineChars="100"/>
      </w:pPr>
      <w:r>
        <w:rPr>
          <w:rFonts w:hint="eastAsia"/>
          <w:spacing w:val="-1"/>
        </w:rPr>
        <w:t>1</w:t>
      </w:r>
      <w:r>
        <w:rPr>
          <w:spacing w:val="-1"/>
        </w:rPr>
        <w:t>9.7 保修责任</w:t>
      </w:r>
    </w:p>
    <w:p>
      <w:pPr>
        <w:pStyle w:val="35"/>
        <w:numPr>
          <w:ilvl w:val="2"/>
          <w:numId w:val="87"/>
        </w:numPr>
        <w:tabs>
          <w:tab w:val="left" w:pos="1268"/>
          <w:tab w:val="left" w:pos="8509"/>
        </w:tabs>
        <w:ind w:hanging="530"/>
        <w:rPr>
          <w:sz w:val="21"/>
        </w:rPr>
      </w:pPr>
      <w:r>
        <w:rPr>
          <w:sz w:val="21"/>
        </w:rPr>
        <w:t>工</w:t>
      </w:r>
      <w:r>
        <w:rPr>
          <w:spacing w:val="-3"/>
          <w:sz w:val="21"/>
        </w:rPr>
        <w:t>程</w:t>
      </w:r>
      <w:r>
        <w:rPr>
          <w:sz w:val="21"/>
        </w:rPr>
        <w:t>质</w:t>
      </w:r>
      <w:r>
        <w:rPr>
          <w:spacing w:val="-3"/>
          <w:sz w:val="21"/>
        </w:rPr>
        <w:t>量</w:t>
      </w:r>
      <w:r>
        <w:rPr>
          <w:sz w:val="21"/>
        </w:rPr>
        <w:t>保</w:t>
      </w:r>
      <w:r>
        <w:rPr>
          <w:spacing w:val="-3"/>
          <w:sz w:val="21"/>
        </w:rPr>
        <w:t>修</w:t>
      </w:r>
      <w:r>
        <w:rPr>
          <w:sz w:val="21"/>
        </w:rPr>
        <w:t>范</w:t>
      </w:r>
      <w:r>
        <w:rPr>
          <w:spacing w:val="-3"/>
          <w:sz w:val="21"/>
        </w:rPr>
        <w:t>围：</w:t>
      </w:r>
      <w:r>
        <w:rPr>
          <w:spacing w:val="-3"/>
          <w:sz w:val="21"/>
          <w:u w:val="single"/>
        </w:rPr>
        <w:t xml:space="preserve"> </w:t>
      </w:r>
      <w:r>
        <w:rPr>
          <w:spacing w:val="-3"/>
          <w:sz w:val="21"/>
          <w:u w:val="single"/>
        </w:rPr>
        <w:tab/>
      </w:r>
      <w:r>
        <w:rPr>
          <w:sz w:val="21"/>
        </w:rPr>
        <w:t>。</w:t>
      </w:r>
    </w:p>
    <w:p>
      <w:pPr>
        <w:pStyle w:val="10"/>
        <w:spacing w:before="6"/>
        <w:rPr>
          <w:sz w:val="9"/>
        </w:rPr>
      </w:pPr>
    </w:p>
    <w:p>
      <w:pPr>
        <w:pStyle w:val="35"/>
        <w:numPr>
          <w:ilvl w:val="2"/>
          <w:numId w:val="87"/>
        </w:numPr>
        <w:tabs>
          <w:tab w:val="left" w:pos="1268"/>
          <w:tab w:val="left" w:pos="8509"/>
        </w:tabs>
        <w:spacing w:before="78"/>
        <w:ind w:hanging="530"/>
        <w:rPr>
          <w:sz w:val="21"/>
        </w:rPr>
      </w:pPr>
      <w:r>
        <w:rPr>
          <w:sz w:val="21"/>
        </w:rPr>
        <w:t>工</w:t>
      </w:r>
      <w:r>
        <w:rPr>
          <w:spacing w:val="-3"/>
          <w:sz w:val="21"/>
        </w:rPr>
        <w:t>程</w:t>
      </w:r>
      <w:r>
        <w:rPr>
          <w:sz w:val="21"/>
        </w:rPr>
        <w:t>质</w:t>
      </w:r>
      <w:r>
        <w:rPr>
          <w:spacing w:val="-3"/>
          <w:sz w:val="21"/>
        </w:rPr>
        <w:t>量</w:t>
      </w:r>
      <w:r>
        <w:rPr>
          <w:sz w:val="21"/>
        </w:rPr>
        <w:t>保</w:t>
      </w:r>
      <w:r>
        <w:rPr>
          <w:spacing w:val="-3"/>
          <w:sz w:val="21"/>
        </w:rPr>
        <w:t>修</w:t>
      </w:r>
      <w:r>
        <w:rPr>
          <w:sz w:val="21"/>
        </w:rPr>
        <w:t>期</w:t>
      </w:r>
      <w:r>
        <w:rPr>
          <w:spacing w:val="-3"/>
          <w:sz w:val="21"/>
        </w:rPr>
        <w:t>限：</w:t>
      </w:r>
      <w:r>
        <w:rPr>
          <w:spacing w:val="-3"/>
          <w:sz w:val="21"/>
          <w:u w:val="single"/>
        </w:rPr>
        <w:t xml:space="preserve"> </w:t>
      </w:r>
      <w:r>
        <w:rPr>
          <w:spacing w:val="-3"/>
          <w:sz w:val="21"/>
          <w:u w:val="single"/>
        </w:rPr>
        <w:tab/>
      </w:r>
      <w:r>
        <w:rPr>
          <w:sz w:val="21"/>
        </w:rPr>
        <w:t>。</w:t>
      </w:r>
    </w:p>
    <w:p>
      <w:pPr>
        <w:pStyle w:val="10"/>
        <w:spacing w:before="5"/>
        <w:rPr>
          <w:sz w:val="9"/>
        </w:rPr>
      </w:pPr>
    </w:p>
    <w:p>
      <w:pPr>
        <w:pStyle w:val="35"/>
        <w:numPr>
          <w:ilvl w:val="2"/>
          <w:numId w:val="87"/>
        </w:numPr>
        <w:tabs>
          <w:tab w:val="left" w:pos="1268"/>
          <w:tab w:val="left" w:pos="8509"/>
        </w:tabs>
        <w:spacing w:before="79"/>
        <w:ind w:hanging="530"/>
        <w:rPr>
          <w:sz w:val="21"/>
        </w:rPr>
      </w:pPr>
      <w:r>
        <w:rPr>
          <w:sz w:val="21"/>
        </w:rPr>
        <w:t>工</w:t>
      </w:r>
      <w:r>
        <w:rPr>
          <w:spacing w:val="-3"/>
          <w:sz w:val="21"/>
        </w:rPr>
        <w:t>程</w:t>
      </w:r>
      <w:r>
        <w:rPr>
          <w:sz w:val="21"/>
        </w:rPr>
        <w:t>质</w:t>
      </w:r>
      <w:r>
        <w:rPr>
          <w:spacing w:val="-3"/>
          <w:sz w:val="21"/>
        </w:rPr>
        <w:t>量</w:t>
      </w:r>
      <w:r>
        <w:rPr>
          <w:sz w:val="21"/>
        </w:rPr>
        <w:t>保</w:t>
      </w:r>
      <w:r>
        <w:rPr>
          <w:spacing w:val="-3"/>
          <w:sz w:val="21"/>
        </w:rPr>
        <w:t>修</w:t>
      </w:r>
      <w:r>
        <w:rPr>
          <w:sz w:val="21"/>
        </w:rPr>
        <w:t>责</w:t>
      </w:r>
      <w:r>
        <w:rPr>
          <w:spacing w:val="-3"/>
          <w:sz w:val="21"/>
        </w:rPr>
        <w:t>任：</w:t>
      </w:r>
      <w:r>
        <w:rPr>
          <w:spacing w:val="-3"/>
          <w:sz w:val="21"/>
          <w:u w:val="single"/>
        </w:rPr>
        <w:t xml:space="preserve"> </w:t>
      </w:r>
      <w:r>
        <w:rPr>
          <w:spacing w:val="-3"/>
          <w:sz w:val="21"/>
          <w:u w:val="single"/>
        </w:rPr>
        <w:tab/>
      </w:r>
      <w:r>
        <w:rPr>
          <w:sz w:val="21"/>
        </w:rPr>
        <w:t>。</w:t>
      </w:r>
    </w:p>
    <w:p>
      <w:pPr>
        <w:pStyle w:val="10"/>
        <w:spacing w:before="12"/>
        <w:rPr>
          <w:sz w:val="9"/>
        </w:rPr>
      </w:pPr>
    </w:p>
    <w:p>
      <w:pPr>
        <w:pStyle w:val="10"/>
        <w:spacing w:before="72" w:line="417" w:lineRule="auto"/>
        <w:ind w:left="212" w:right="440" w:firstLine="526"/>
      </w:pPr>
      <w:r>
        <w:rPr>
          <w:spacing w:val="-4"/>
        </w:rPr>
        <w:t xml:space="preserve">质量保修书是竣工验收申请报告的组成内容。承包人应当按照有关法律法规的规定出具质量保修书， </w:t>
      </w:r>
      <w:r>
        <w:rPr>
          <w:spacing w:val="-5"/>
        </w:rPr>
        <w:t>质量保修书的主要内容应当与本款上述约定内容一致。承包人在递交竣工验收报告的同时，将质量保修书</w:t>
      </w:r>
      <w:r>
        <w:rPr>
          <w:spacing w:val="-4"/>
        </w:rPr>
        <w:t>一并保送监理人。</w:t>
      </w:r>
    </w:p>
    <w:p>
      <w:pPr>
        <w:pStyle w:val="10"/>
        <w:spacing w:before="12"/>
        <w:rPr>
          <w:sz w:val="22"/>
        </w:rPr>
      </w:pPr>
    </w:p>
    <w:p>
      <w:pPr>
        <w:pStyle w:val="4"/>
        <w:rPr>
          <w:rFonts w:ascii="Arial" w:eastAsia="Arial"/>
        </w:rPr>
      </w:pPr>
      <w:bookmarkStart w:id="354" w:name="_bookmark269"/>
      <w:bookmarkEnd w:id="354"/>
      <w:bookmarkStart w:id="355" w:name="_Toc37926090"/>
      <w:r>
        <w:rPr>
          <w:rFonts w:hint="eastAsia"/>
        </w:rPr>
        <w:t>2</w:t>
      </w:r>
      <w:r>
        <w:t>0.保险</w:t>
      </w:r>
      <w:bookmarkEnd w:id="355"/>
    </w:p>
    <w:p>
      <w:pPr>
        <w:pStyle w:val="10"/>
        <w:spacing w:before="12"/>
        <w:rPr>
          <w:rFonts w:ascii="黑体"/>
          <w:sz w:val="40"/>
        </w:rPr>
      </w:pPr>
    </w:p>
    <w:p>
      <w:pPr>
        <w:tabs>
          <w:tab w:val="left" w:pos="982"/>
        </w:tabs>
        <w:ind w:firstLine="110" w:firstLineChars="50"/>
      </w:pPr>
      <w:bookmarkStart w:id="356" w:name="_bookmark270"/>
      <w:bookmarkEnd w:id="356"/>
      <w:r>
        <w:rPr>
          <w:rFonts w:hint="eastAsia"/>
        </w:rPr>
        <w:t>20.1 设计和工程保险</w:t>
      </w:r>
    </w:p>
    <w:p>
      <w:pPr>
        <w:pStyle w:val="10"/>
        <w:spacing w:before="4"/>
        <w:rPr>
          <w:rFonts w:ascii="黑体"/>
          <w:sz w:val="38"/>
        </w:rPr>
      </w:pPr>
    </w:p>
    <w:p>
      <w:pPr>
        <w:pStyle w:val="10"/>
        <w:tabs>
          <w:tab w:val="left" w:pos="1458"/>
          <w:tab w:val="left" w:pos="9452"/>
        </w:tabs>
        <w:ind w:left="212"/>
      </w:pPr>
      <w:r>
        <w:t>本工程</w:t>
      </w:r>
      <w:r>
        <w:rPr>
          <w:u w:val="single"/>
        </w:rPr>
        <w:t xml:space="preserve"> </w:t>
      </w:r>
      <w:r>
        <w:rPr>
          <w:u w:val="single"/>
        </w:rPr>
        <w:tab/>
      </w:r>
      <w:r>
        <w:rPr>
          <w:spacing w:val="-3"/>
        </w:rPr>
        <w:t>（</w:t>
      </w:r>
      <w:r>
        <w:t>投保</w:t>
      </w:r>
      <w:r>
        <w:rPr>
          <w:rFonts w:ascii="Times New Roman" w:eastAsia="Times New Roman"/>
        </w:rPr>
        <w:t>/</w:t>
      </w:r>
      <w:r>
        <w:rPr>
          <w:spacing w:val="-3"/>
        </w:rPr>
        <w:t>不投</w:t>
      </w:r>
      <w:r>
        <w:t>保</w:t>
      </w:r>
      <w:r>
        <w:rPr>
          <w:spacing w:val="-17"/>
        </w:rPr>
        <w:t>）</w:t>
      </w:r>
      <w:r>
        <w:rPr>
          <w:spacing w:val="-3"/>
        </w:rPr>
        <w:t>工</w:t>
      </w:r>
      <w:r>
        <w:t>程</w:t>
      </w:r>
      <w:r>
        <w:rPr>
          <w:spacing w:val="-3"/>
        </w:rPr>
        <w:t>保</w:t>
      </w:r>
      <w:r>
        <w:t>险</w:t>
      </w:r>
      <w:r>
        <w:rPr>
          <w:spacing w:val="-17"/>
        </w:rPr>
        <w:t>。</w:t>
      </w:r>
      <w:r>
        <w:rPr>
          <w:spacing w:val="-3"/>
        </w:rPr>
        <w:t>投</w:t>
      </w:r>
      <w:r>
        <w:t>保</w:t>
      </w:r>
      <w:r>
        <w:rPr>
          <w:spacing w:val="-3"/>
        </w:rPr>
        <w:t>工程</w:t>
      </w:r>
      <w:r>
        <w:t>保险</w:t>
      </w:r>
      <w:r>
        <w:rPr>
          <w:spacing w:val="-3"/>
        </w:rPr>
        <w:t>时</w:t>
      </w:r>
      <w:r>
        <w:rPr>
          <w:spacing w:val="-17"/>
        </w:rPr>
        <w:t>，</w:t>
      </w:r>
      <w:r>
        <w:rPr>
          <w:spacing w:val="-3"/>
        </w:rPr>
        <w:t>险</w:t>
      </w:r>
      <w:r>
        <w:t>种为</w:t>
      </w:r>
      <w:r>
        <w:rPr>
          <w:u w:val="single"/>
        </w:rPr>
        <w:t xml:space="preserve"> </w:t>
      </w:r>
      <w:r>
        <w:rPr>
          <w:u w:val="single"/>
        </w:rPr>
        <w:tab/>
      </w:r>
      <w:r>
        <w:rPr>
          <w:spacing w:val="-20"/>
        </w:rPr>
        <w:t>，并</w:t>
      </w:r>
    </w:p>
    <w:p>
      <w:pPr>
        <w:pStyle w:val="10"/>
        <w:rPr>
          <w:sz w:val="10"/>
        </w:rPr>
      </w:pPr>
    </w:p>
    <w:p>
      <w:pPr>
        <w:pStyle w:val="10"/>
        <w:spacing w:before="72"/>
        <w:ind w:left="212"/>
      </w:pPr>
      <w:r>
        <w:t>符合以下约定 。</w:t>
      </w:r>
    </w:p>
    <w:p>
      <w:pPr>
        <w:pStyle w:val="10"/>
        <w:spacing w:before="6"/>
        <w:rPr>
          <w:sz w:val="15"/>
        </w:rPr>
      </w:pPr>
    </w:p>
    <w:p>
      <w:pPr>
        <w:pStyle w:val="35"/>
        <w:numPr>
          <w:ilvl w:val="0"/>
          <w:numId w:val="88"/>
        </w:numPr>
        <w:tabs>
          <w:tab w:val="left" w:pos="743"/>
          <w:tab w:val="left" w:pos="6514"/>
        </w:tabs>
        <w:ind w:hanging="531"/>
        <w:rPr>
          <w:sz w:val="21"/>
        </w:rPr>
      </w:pPr>
      <w:r>
        <w:rPr>
          <w:sz w:val="21"/>
        </w:rPr>
        <w:t>投 标</w:t>
      </w:r>
      <w:r>
        <w:rPr>
          <w:spacing w:val="2"/>
          <w:sz w:val="21"/>
        </w:rPr>
        <w:t xml:space="preserve"> </w:t>
      </w:r>
      <w:r>
        <w:rPr>
          <w:spacing w:val="-3"/>
          <w:sz w:val="21"/>
        </w:rPr>
        <w:t>人</w:t>
      </w:r>
      <w:r>
        <w:rPr>
          <w:sz w:val="21"/>
        </w:rPr>
        <w:t>：</w:t>
      </w:r>
      <w:r>
        <w:rPr>
          <w:sz w:val="21"/>
          <w:u w:val="single"/>
        </w:rPr>
        <w:t xml:space="preserve"> </w:t>
      </w:r>
      <w:r>
        <w:rPr>
          <w:sz w:val="21"/>
          <w:u w:val="single"/>
        </w:rPr>
        <w:tab/>
      </w:r>
      <w:r>
        <w:rPr>
          <w:sz w:val="21"/>
        </w:rPr>
        <w:t>。</w:t>
      </w:r>
    </w:p>
    <w:p>
      <w:pPr>
        <w:pStyle w:val="10"/>
        <w:spacing w:before="6"/>
        <w:rPr>
          <w:sz w:val="9"/>
        </w:rPr>
      </w:pPr>
    </w:p>
    <w:p>
      <w:pPr>
        <w:pStyle w:val="35"/>
        <w:numPr>
          <w:ilvl w:val="0"/>
          <w:numId w:val="88"/>
        </w:numPr>
        <w:tabs>
          <w:tab w:val="left" w:pos="743"/>
          <w:tab w:val="left" w:pos="6514"/>
        </w:tabs>
        <w:spacing w:before="78"/>
        <w:ind w:hanging="531"/>
        <w:rPr>
          <w:sz w:val="21"/>
        </w:rPr>
      </w:pPr>
      <w:r>
        <w:rPr>
          <w:sz w:val="21"/>
        </w:rPr>
        <w:t>投</w:t>
      </w:r>
      <w:r>
        <w:rPr>
          <w:spacing w:val="-3"/>
          <w:sz w:val="21"/>
        </w:rPr>
        <w:t>保</w:t>
      </w:r>
      <w:r>
        <w:rPr>
          <w:sz w:val="21"/>
        </w:rPr>
        <w:t>内</w:t>
      </w:r>
      <w:r>
        <w:rPr>
          <w:spacing w:val="-3"/>
          <w:sz w:val="21"/>
        </w:rPr>
        <w:t>容</w:t>
      </w:r>
      <w:r>
        <w:rPr>
          <w:sz w:val="21"/>
        </w:rPr>
        <w:t>：</w:t>
      </w:r>
      <w:r>
        <w:rPr>
          <w:sz w:val="21"/>
          <w:u w:val="single"/>
        </w:rPr>
        <w:t xml:space="preserve"> </w:t>
      </w:r>
      <w:r>
        <w:rPr>
          <w:sz w:val="21"/>
          <w:u w:val="single"/>
        </w:rPr>
        <w:tab/>
      </w:r>
      <w:r>
        <w:rPr>
          <w:sz w:val="21"/>
        </w:rPr>
        <w:t>。</w:t>
      </w:r>
    </w:p>
    <w:p>
      <w:pPr>
        <w:pStyle w:val="10"/>
        <w:spacing w:before="5"/>
        <w:rPr>
          <w:sz w:val="9"/>
        </w:rPr>
      </w:pPr>
    </w:p>
    <w:p>
      <w:pPr>
        <w:pStyle w:val="35"/>
        <w:numPr>
          <w:ilvl w:val="0"/>
          <w:numId w:val="88"/>
        </w:numPr>
        <w:tabs>
          <w:tab w:val="left" w:pos="743"/>
        </w:tabs>
        <w:spacing w:before="59"/>
        <w:ind w:hanging="531"/>
        <w:rPr>
          <w:sz w:val="21"/>
        </w:rPr>
      </w:pPr>
      <w:r>
        <w:rPr>
          <w:spacing w:val="-3"/>
          <w:sz w:val="21"/>
        </w:rPr>
        <w:t>保险费率：由投保人与合同双方同意的保险人商定。</w:t>
      </w:r>
    </w:p>
    <w:p>
      <w:pPr>
        <w:pStyle w:val="35"/>
        <w:rPr>
          <w:sz w:val="21"/>
        </w:rPr>
      </w:pPr>
    </w:p>
    <w:p>
      <w:pPr>
        <w:pStyle w:val="35"/>
        <w:numPr>
          <w:ilvl w:val="0"/>
          <w:numId w:val="88"/>
        </w:numPr>
        <w:tabs>
          <w:tab w:val="left" w:pos="743"/>
        </w:tabs>
        <w:spacing w:before="59"/>
        <w:ind w:hanging="531"/>
        <w:rPr>
          <w:sz w:val="21"/>
        </w:rPr>
      </w:pPr>
      <w:r>
        <w:rPr>
          <w:sz w:val="21"/>
        </w:rPr>
        <w:t>保</w:t>
      </w:r>
      <w:r>
        <w:rPr>
          <w:spacing w:val="-3"/>
          <w:sz w:val="21"/>
        </w:rPr>
        <w:t>险</w:t>
      </w:r>
      <w:r>
        <w:rPr>
          <w:sz w:val="21"/>
        </w:rPr>
        <w:t>金</w:t>
      </w:r>
      <w:r>
        <w:rPr>
          <w:spacing w:val="-3"/>
          <w:sz w:val="21"/>
        </w:rPr>
        <w:t>额</w:t>
      </w:r>
      <w:r>
        <w:rPr>
          <w:sz w:val="21"/>
        </w:rPr>
        <w:t>：</w:t>
      </w:r>
      <w:r>
        <w:rPr>
          <w:sz w:val="21"/>
          <w:u w:val="single"/>
        </w:rPr>
        <w:t xml:space="preserve"> </w:t>
      </w:r>
      <w:r>
        <w:rPr>
          <w:rFonts w:hint="eastAsia"/>
          <w:sz w:val="21"/>
          <w:u w:val="single"/>
        </w:rPr>
        <w:t xml:space="preserve">                </w:t>
      </w:r>
      <w:r>
        <w:rPr>
          <w:sz w:val="21"/>
          <w:u w:val="single"/>
        </w:rPr>
        <w:tab/>
      </w:r>
      <w:r>
        <w:rPr>
          <w:sz w:val="21"/>
        </w:rPr>
        <w:t>。</w:t>
      </w:r>
    </w:p>
    <w:p>
      <w:pPr>
        <w:pStyle w:val="10"/>
        <w:spacing w:before="6"/>
        <w:rPr>
          <w:sz w:val="9"/>
        </w:rPr>
      </w:pPr>
    </w:p>
    <w:p>
      <w:pPr>
        <w:pStyle w:val="35"/>
        <w:numPr>
          <w:ilvl w:val="0"/>
          <w:numId w:val="88"/>
        </w:numPr>
        <w:tabs>
          <w:tab w:val="left" w:pos="743"/>
          <w:tab w:val="left" w:pos="6514"/>
        </w:tabs>
        <w:spacing w:before="78"/>
        <w:ind w:hanging="531"/>
        <w:rPr>
          <w:sz w:val="21"/>
        </w:rPr>
      </w:pPr>
      <w:r>
        <w:rPr>
          <w:sz w:val="21"/>
        </w:rPr>
        <w:t>保</w:t>
      </w:r>
      <w:r>
        <w:rPr>
          <w:spacing w:val="-3"/>
          <w:sz w:val="21"/>
        </w:rPr>
        <w:t>险</w:t>
      </w:r>
      <w:r>
        <w:rPr>
          <w:sz w:val="21"/>
        </w:rPr>
        <w:t>期</w:t>
      </w:r>
      <w:r>
        <w:rPr>
          <w:spacing w:val="-3"/>
          <w:sz w:val="21"/>
        </w:rPr>
        <w:t>限</w:t>
      </w:r>
      <w:r>
        <w:rPr>
          <w:sz w:val="21"/>
        </w:rPr>
        <w:t>：</w:t>
      </w:r>
      <w:r>
        <w:rPr>
          <w:sz w:val="21"/>
          <w:u w:val="single"/>
        </w:rPr>
        <w:t xml:space="preserve"> </w:t>
      </w:r>
      <w:r>
        <w:rPr>
          <w:sz w:val="21"/>
          <w:u w:val="single"/>
        </w:rPr>
        <w:tab/>
      </w:r>
      <w:r>
        <w:rPr>
          <w:sz w:val="21"/>
        </w:rPr>
        <w:t>。</w:t>
      </w:r>
    </w:p>
    <w:p>
      <w:pPr>
        <w:pStyle w:val="10"/>
        <w:rPr>
          <w:sz w:val="20"/>
        </w:rPr>
      </w:pPr>
    </w:p>
    <w:p>
      <w:pPr>
        <w:ind w:firstLine="218" w:firstLineChars="100"/>
      </w:pPr>
      <w:bookmarkStart w:id="357" w:name="_bookmark271"/>
      <w:bookmarkEnd w:id="357"/>
      <w:r>
        <w:rPr>
          <w:rFonts w:hint="eastAsia"/>
          <w:spacing w:val="-1"/>
        </w:rPr>
        <w:t>2</w:t>
      </w:r>
      <w:r>
        <w:rPr>
          <w:spacing w:val="-1"/>
        </w:rPr>
        <w:t>0.4 其他保险</w:t>
      </w:r>
    </w:p>
    <w:p>
      <w:pPr>
        <w:pStyle w:val="10"/>
        <w:spacing w:before="2"/>
        <w:rPr>
          <w:rFonts w:ascii="黑体"/>
          <w:sz w:val="38"/>
        </w:rPr>
      </w:pPr>
    </w:p>
    <w:p>
      <w:pPr>
        <w:pStyle w:val="10"/>
        <w:tabs>
          <w:tab w:val="left" w:pos="9142"/>
        </w:tabs>
        <w:ind w:left="212"/>
      </w:pPr>
      <w:r>
        <w:t>承包</w:t>
      </w:r>
      <w:r>
        <w:rPr>
          <w:spacing w:val="-3"/>
        </w:rPr>
        <w:t>人</w:t>
      </w:r>
      <w:r>
        <w:t>应</w:t>
      </w:r>
      <w:r>
        <w:rPr>
          <w:spacing w:val="-3"/>
        </w:rPr>
        <w:t>为</w:t>
      </w:r>
      <w:r>
        <w:t>其</w:t>
      </w:r>
      <w:r>
        <w:rPr>
          <w:spacing w:val="-3"/>
        </w:rPr>
        <w:t>施</w:t>
      </w:r>
      <w:r>
        <w:t>工</w:t>
      </w:r>
      <w:r>
        <w:rPr>
          <w:spacing w:val="-3"/>
        </w:rPr>
        <w:t>设</w:t>
      </w:r>
      <w:r>
        <w:t>备</w:t>
      </w:r>
      <w:r>
        <w:rPr>
          <w:spacing w:val="-3"/>
        </w:rPr>
        <w:t>、</w:t>
      </w:r>
      <w:r>
        <w:t>进场</w:t>
      </w:r>
      <w:r>
        <w:rPr>
          <w:spacing w:val="-3"/>
        </w:rPr>
        <w:t>的</w:t>
      </w:r>
      <w:r>
        <w:t>材</w:t>
      </w:r>
      <w:r>
        <w:rPr>
          <w:spacing w:val="-3"/>
        </w:rPr>
        <w:t>料</w:t>
      </w:r>
      <w:r>
        <w:t>和</w:t>
      </w:r>
      <w:r>
        <w:rPr>
          <w:spacing w:val="-3"/>
        </w:rPr>
        <w:t>工</w:t>
      </w:r>
      <w:r>
        <w:t>程</w:t>
      </w:r>
      <w:r>
        <w:rPr>
          <w:spacing w:val="-3"/>
        </w:rPr>
        <w:t>设</w:t>
      </w:r>
      <w:r>
        <w:t>备</w:t>
      </w:r>
      <w:r>
        <w:rPr>
          <w:spacing w:val="-3"/>
        </w:rPr>
        <w:t>等</w:t>
      </w:r>
      <w:r>
        <w:t>办理</w:t>
      </w:r>
      <w:r>
        <w:rPr>
          <w:spacing w:val="-3"/>
        </w:rPr>
        <w:t>的</w:t>
      </w:r>
      <w:r>
        <w:t>保</w:t>
      </w:r>
      <w:r>
        <w:rPr>
          <w:spacing w:val="-3"/>
        </w:rPr>
        <w:t>险</w:t>
      </w:r>
      <w:r>
        <w:t>：</w:t>
      </w:r>
      <w:r>
        <w:rPr>
          <w:u w:val="single"/>
        </w:rPr>
        <w:t xml:space="preserve"> </w:t>
      </w:r>
      <w:r>
        <w:rPr>
          <w:u w:val="single"/>
        </w:rPr>
        <w:tab/>
      </w:r>
      <w:r>
        <w:t>。</w:t>
      </w:r>
    </w:p>
    <w:p>
      <w:pPr>
        <w:pStyle w:val="10"/>
        <w:rPr>
          <w:sz w:val="20"/>
        </w:rPr>
      </w:pPr>
    </w:p>
    <w:p>
      <w:pPr>
        <w:ind w:firstLine="216" w:firstLineChars="100"/>
      </w:pPr>
      <w:bookmarkStart w:id="358" w:name="_bookmark272"/>
      <w:bookmarkEnd w:id="358"/>
      <w:r>
        <w:rPr>
          <w:rFonts w:hint="eastAsia"/>
          <w:spacing w:val="-2"/>
        </w:rPr>
        <w:t>2</w:t>
      </w:r>
      <w:r>
        <w:rPr>
          <w:spacing w:val="-2"/>
        </w:rPr>
        <w:t>0.5 对各项保险的一般要求</w:t>
      </w:r>
    </w:p>
    <w:p>
      <w:pPr>
        <w:pStyle w:val="10"/>
        <w:spacing w:before="4"/>
        <w:rPr>
          <w:rFonts w:ascii="黑体"/>
          <w:sz w:val="38"/>
        </w:rPr>
      </w:pPr>
    </w:p>
    <w:p>
      <w:pPr>
        <w:pStyle w:val="10"/>
        <w:spacing w:before="1"/>
        <w:ind w:left="212"/>
      </w:pPr>
      <w:r>
        <w:rPr>
          <w:rFonts w:ascii="Times New Roman" w:eastAsia="Times New Roman"/>
        </w:rPr>
        <w:t xml:space="preserve">20.5.1 </w:t>
      </w:r>
      <w:r>
        <w:rPr>
          <w:spacing w:val="-2"/>
        </w:rPr>
        <w:t>保险凭证</w:t>
      </w:r>
    </w:p>
    <w:p>
      <w:pPr>
        <w:pStyle w:val="10"/>
        <w:spacing w:before="7"/>
        <w:rPr>
          <w:sz w:val="15"/>
        </w:rPr>
      </w:pPr>
    </w:p>
    <w:p>
      <w:pPr>
        <w:pStyle w:val="10"/>
        <w:tabs>
          <w:tab w:val="left" w:pos="9819"/>
        </w:tabs>
        <w:ind w:left="212"/>
        <w:rPr>
          <w:rFonts w:ascii="Times New Roman" w:eastAsia="Times New Roman"/>
        </w:rPr>
      </w:pPr>
      <w:r>
        <w:rPr>
          <w:spacing w:val="-1"/>
        </w:rPr>
        <w:t>承包</w:t>
      </w:r>
      <w:r>
        <w:rPr>
          <w:spacing w:val="-3"/>
        </w:rPr>
        <w:t>人</w:t>
      </w:r>
      <w:r>
        <w:t>向</w:t>
      </w:r>
      <w:r>
        <w:rPr>
          <w:spacing w:val="-3"/>
        </w:rPr>
        <w:t>发</w:t>
      </w:r>
      <w:r>
        <w:t>包</w:t>
      </w:r>
      <w:r>
        <w:rPr>
          <w:spacing w:val="-3"/>
        </w:rPr>
        <w:t>人</w:t>
      </w:r>
      <w:r>
        <w:t>提</w:t>
      </w:r>
      <w:r>
        <w:rPr>
          <w:spacing w:val="-3"/>
        </w:rPr>
        <w:t>交</w:t>
      </w:r>
      <w:r>
        <w:t>各</w:t>
      </w:r>
      <w:r>
        <w:rPr>
          <w:spacing w:val="-3"/>
        </w:rPr>
        <w:t>项</w:t>
      </w:r>
      <w:r>
        <w:t>保险</w:t>
      </w:r>
      <w:r>
        <w:rPr>
          <w:spacing w:val="-3"/>
        </w:rPr>
        <w:t>生</w:t>
      </w:r>
      <w:r>
        <w:t>效</w:t>
      </w:r>
      <w:r>
        <w:rPr>
          <w:spacing w:val="-3"/>
        </w:rPr>
        <w:t>的</w:t>
      </w:r>
      <w:r>
        <w:t>证</w:t>
      </w:r>
      <w:r>
        <w:rPr>
          <w:spacing w:val="-3"/>
        </w:rPr>
        <w:t>据</w:t>
      </w:r>
      <w:r>
        <w:t>和</w:t>
      </w:r>
      <w:r>
        <w:rPr>
          <w:spacing w:val="-3"/>
        </w:rPr>
        <w:t>保</w:t>
      </w:r>
      <w:r>
        <w:t>险</w:t>
      </w:r>
      <w:r>
        <w:rPr>
          <w:spacing w:val="-3"/>
        </w:rPr>
        <w:t>副</w:t>
      </w:r>
      <w:r>
        <w:t>本的</w:t>
      </w:r>
      <w:r>
        <w:rPr>
          <w:spacing w:val="-3"/>
        </w:rPr>
        <w:t>期</w:t>
      </w:r>
      <w:r>
        <w:t>限：</w:t>
      </w:r>
      <w:r>
        <w:rPr>
          <w:rFonts w:ascii="Times New Roman" w:eastAsia="Times New Roman"/>
          <w:u w:val="single"/>
        </w:rPr>
        <w:t xml:space="preserve"> </w:t>
      </w:r>
      <w:r>
        <w:rPr>
          <w:rFonts w:ascii="Times New Roman" w:eastAsia="Times New Roman"/>
          <w:u w:val="single"/>
        </w:rPr>
        <w:tab/>
      </w:r>
    </w:p>
    <w:p>
      <w:pPr>
        <w:pStyle w:val="10"/>
        <w:spacing w:before="6"/>
        <w:rPr>
          <w:rFonts w:ascii="Times New Roman"/>
          <w:sz w:val="10"/>
        </w:rPr>
      </w:pPr>
    </w:p>
    <w:p>
      <w:pPr>
        <w:pStyle w:val="10"/>
        <w:tabs>
          <w:tab w:val="left" w:pos="9663"/>
        </w:tabs>
        <w:spacing w:before="78"/>
        <w:ind w:left="212"/>
      </w:pPr>
      <w:r>
        <w:rPr>
          <w:rFonts w:ascii="Times New Roman" w:eastAsia="Times New Roman"/>
          <w:u w:val="single"/>
        </w:rPr>
        <w:t xml:space="preserve"> </w:t>
      </w:r>
      <w:r>
        <w:rPr>
          <w:rFonts w:ascii="Times New Roman" w:eastAsia="Times New Roman"/>
          <w:u w:val="single"/>
        </w:rPr>
        <w:tab/>
      </w:r>
      <w:r>
        <w:t>。</w:t>
      </w:r>
    </w:p>
    <w:p>
      <w:pPr>
        <w:pStyle w:val="10"/>
        <w:spacing w:before="5"/>
        <w:rPr>
          <w:sz w:val="9"/>
        </w:rPr>
      </w:pPr>
    </w:p>
    <w:p>
      <w:pPr>
        <w:pStyle w:val="10"/>
        <w:spacing w:before="79"/>
        <w:ind w:left="212"/>
      </w:pPr>
      <w:r>
        <w:rPr>
          <w:rFonts w:ascii="Times New Roman" w:eastAsia="Times New Roman"/>
        </w:rPr>
        <w:t xml:space="preserve">20.5.4 </w:t>
      </w:r>
      <w:r>
        <w:rPr>
          <w:spacing w:val="-3"/>
        </w:rPr>
        <w:t>保险金不足的赔偿</w:t>
      </w:r>
    </w:p>
    <w:p>
      <w:pPr>
        <w:pStyle w:val="10"/>
        <w:spacing w:before="6"/>
        <w:rPr>
          <w:sz w:val="15"/>
        </w:rPr>
      </w:pPr>
    </w:p>
    <w:p>
      <w:pPr>
        <w:pStyle w:val="10"/>
        <w:tabs>
          <w:tab w:val="left" w:pos="9900"/>
        </w:tabs>
        <w:ind w:left="212"/>
        <w:rPr>
          <w:rFonts w:ascii="Times New Roman" w:eastAsia="Times New Roman"/>
        </w:rPr>
      </w:pPr>
      <w:r>
        <w:rPr>
          <w:spacing w:val="-1"/>
        </w:rPr>
        <w:t>保险</w:t>
      </w:r>
      <w:r>
        <w:rPr>
          <w:spacing w:val="-3"/>
        </w:rPr>
        <w:t>金</w:t>
      </w:r>
      <w:r>
        <w:t>不</w:t>
      </w:r>
      <w:r>
        <w:rPr>
          <w:spacing w:val="-3"/>
        </w:rPr>
        <w:t>足</w:t>
      </w:r>
      <w:r>
        <w:t>以</w:t>
      </w:r>
      <w:r>
        <w:rPr>
          <w:spacing w:val="-3"/>
        </w:rPr>
        <w:t>补</w:t>
      </w:r>
      <w:r>
        <w:t>偿</w:t>
      </w:r>
      <w:r>
        <w:rPr>
          <w:spacing w:val="-3"/>
        </w:rPr>
        <w:t>损</w:t>
      </w:r>
      <w:r>
        <w:t>失</w:t>
      </w:r>
      <w:r>
        <w:rPr>
          <w:spacing w:val="-3"/>
        </w:rPr>
        <w:t>时</w:t>
      </w:r>
      <w:r>
        <w:t>，承</w:t>
      </w:r>
      <w:r>
        <w:rPr>
          <w:spacing w:val="-3"/>
        </w:rPr>
        <w:t>包</w:t>
      </w:r>
      <w:r>
        <w:t>人</w:t>
      </w:r>
      <w:r>
        <w:rPr>
          <w:spacing w:val="-3"/>
        </w:rPr>
        <w:t>和</w:t>
      </w:r>
      <w:r>
        <w:t>发</w:t>
      </w:r>
      <w:r>
        <w:rPr>
          <w:spacing w:val="-3"/>
        </w:rPr>
        <w:t>包</w:t>
      </w:r>
      <w:r>
        <w:t>人</w:t>
      </w:r>
      <w:r>
        <w:rPr>
          <w:spacing w:val="-3"/>
        </w:rPr>
        <w:t>负</w:t>
      </w:r>
      <w:r>
        <w:t>责</w:t>
      </w:r>
      <w:r>
        <w:rPr>
          <w:spacing w:val="-3"/>
        </w:rPr>
        <w:t>补</w:t>
      </w:r>
      <w:r>
        <w:t>偿的</w:t>
      </w:r>
      <w:r>
        <w:rPr>
          <w:spacing w:val="-3"/>
        </w:rPr>
        <w:t>责</w:t>
      </w:r>
      <w:r>
        <w:t>任</w:t>
      </w:r>
      <w:r>
        <w:rPr>
          <w:spacing w:val="-3"/>
        </w:rPr>
        <w:t>分</w:t>
      </w:r>
      <w:r>
        <w:t>摊：</w:t>
      </w:r>
      <w:r>
        <w:rPr>
          <w:rFonts w:ascii="Times New Roman" w:eastAsia="Times New Roman"/>
          <w:u w:val="single"/>
        </w:rPr>
        <w:t xml:space="preserve"> </w:t>
      </w:r>
      <w:r>
        <w:rPr>
          <w:rFonts w:ascii="Times New Roman" w:eastAsia="Times New Roman"/>
          <w:u w:val="single"/>
        </w:rPr>
        <w:tab/>
      </w:r>
    </w:p>
    <w:p>
      <w:pPr>
        <w:pStyle w:val="10"/>
        <w:spacing w:before="6"/>
        <w:rPr>
          <w:rFonts w:ascii="Times New Roman"/>
          <w:sz w:val="10"/>
        </w:rPr>
      </w:pPr>
    </w:p>
    <w:p>
      <w:pPr>
        <w:pStyle w:val="10"/>
        <w:tabs>
          <w:tab w:val="left" w:pos="9663"/>
        </w:tabs>
        <w:spacing w:before="78"/>
        <w:ind w:left="212"/>
      </w:pPr>
      <w:r>
        <w:rPr>
          <w:rFonts w:ascii="Times New Roman" w:eastAsia="Times New Roman"/>
          <w:u w:val="single"/>
        </w:rPr>
        <w:t xml:space="preserve"> </w:t>
      </w:r>
      <w:r>
        <w:rPr>
          <w:rFonts w:ascii="Times New Roman" w:eastAsia="Times New Roman"/>
          <w:u w:val="single"/>
        </w:rPr>
        <w:tab/>
      </w:r>
      <w:r>
        <w:t>。</w:t>
      </w:r>
    </w:p>
    <w:p>
      <w:pPr>
        <w:pStyle w:val="10"/>
        <w:rPr>
          <w:sz w:val="20"/>
        </w:rPr>
      </w:pPr>
    </w:p>
    <w:p>
      <w:pPr>
        <w:spacing w:before="1"/>
        <w:ind w:firstLine="315" w:firstLineChars="150"/>
        <w:rPr>
          <w:b/>
          <w:sz w:val="21"/>
        </w:rPr>
      </w:pPr>
      <w:bookmarkStart w:id="359" w:name="_bookmark273"/>
      <w:bookmarkEnd w:id="359"/>
      <w:r>
        <w:rPr>
          <w:rFonts w:hint="eastAsia"/>
          <w:sz w:val="21"/>
        </w:rPr>
        <w:t>20.6</w:t>
      </w:r>
      <w:r>
        <w:rPr>
          <w:spacing w:val="-1"/>
        </w:rPr>
        <w:t xml:space="preserve"> 一切险和第三方责任</w:t>
      </w:r>
    </w:p>
    <w:p>
      <w:pPr>
        <w:pStyle w:val="10"/>
        <w:spacing w:before="8"/>
        <w:rPr>
          <w:b/>
          <w:sz w:val="27"/>
        </w:rPr>
      </w:pPr>
    </w:p>
    <w:p>
      <w:pPr>
        <w:pStyle w:val="10"/>
        <w:tabs>
          <w:tab w:val="left" w:pos="7507"/>
        </w:tabs>
        <w:spacing w:before="1"/>
        <w:ind w:left="633"/>
        <w:rPr>
          <w:rFonts w:ascii="Times New Roman" w:eastAsia="Times New Roman"/>
        </w:rPr>
      </w:pPr>
      <w:r>
        <w:rPr>
          <w:spacing w:val="-1"/>
        </w:rPr>
        <w:t>土</w:t>
      </w:r>
      <w:r>
        <w:t>建</w:t>
      </w:r>
      <w:r>
        <w:rPr>
          <w:spacing w:val="-3"/>
        </w:rPr>
        <w:t>工</w:t>
      </w:r>
      <w:r>
        <w:t>程</w:t>
      </w:r>
      <w:r>
        <w:rPr>
          <w:spacing w:val="-3"/>
        </w:rPr>
        <w:t>一</w:t>
      </w:r>
      <w:r>
        <w:t>切</w:t>
      </w:r>
      <w:r>
        <w:rPr>
          <w:spacing w:val="-3"/>
        </w:rPr>
        <w:t>险</w:t>
      </w:r>
      <w:r>
        <w:t>的</w:t>
      </w:r>
      <w:r>
        <w:rPr>
          <w:spacing w:val="-3"/>
        </w:rPr>
        <w:t>投</w:t>
      </w:r>
      <w:r>
        <w:t>保</w:t>
      </w:r>
      <w:r>
        <w:rPr>
          <w:spacing w:val="-3"/>
        </w:rPr>
        <w:t>方</w:t>
      </w:r>
      <w:r>
        <w:t>及对</w:t>
      </w:r>
      <w:r>
        <w:rPr>
          <w:spacing w:val="-3"/>
        </w:rPr>
        <w:t>投</w:t>
      </w:r>
      <w:r>
        <w:t>保</w:t>
      </w:r>
      <w:r>
        <w:rPr>
          <w:spacing w:val="-3"/>
        </w:rPr>
        <w:t>的</w:t>
      </w:r>
      <w:r>
        <w:t>相</w:t>
      </w:r>
      <w:r>
        <w:rPr>
          <w:spacing w:val="-3"/>
        </w:rPr>
        <w:t>关</w:t>
      </w:r>
      <w:r>
        <w:t>要</w:t>
      </w:r>
      <w:r>
        <w:rPr>
          <w:spacing w:val="-3"/>
        </w:rPr>
        <w:t>求</w:t>
      </w:r>
      <w:r>
        <w:t>：</w:t>
      </w:r>
      <w:r>
        <w:rPr>
          <w:rFonts w:ascii="Times New Roman" w:eastAsia="Times New Roman"/>
          <w:u w:val="single"/>
        </w:rPr>
        <w:t xml:space="preserve"> </w:t>
      </w:r>
      <w:r>
        <w:rPr>
          <w:rFonts w:ascii="Times New Roman" w:eastAsia="Times New Roman"/>
          <w:u w:val="single"/>
        </w:rPr>
        <w:tab/>
      </w:r>
    </w:p>
    <w:p>
      <w:pPr>
        <w:pStyle w:val="10"/>
        <w:spacing w:before="5"/>
        <w:rPr>
          <w:rFonts w:ascii="Times New Roman"/>
          <w:sz w:val="10"/>
        </w:rPr>
      </w:pPr>
    </w:p>
    <w:p>
      <w:pPr>
        <w:pStyle w:val="10"/>
        <w:tabs>
          <w:tab w:val="left" w:pos="7509"/>
        </w:tabs>
        <w:spacing w:before="78"/>
        <w:ind w:left="633"/>
        <w:rPr>
          <w:rFonts w:ascii="Times New Roman" w:eastAsia="Times New Roman"/>
        </w:rPr>
      </w:pPr>
      <w:r>
        <w:t>安装</w:t>
      </w:r>
      <w:r>
        <w:rPr>
          <w:spacing w:val="-3"/>
        </w:rPr>
        <w:t>工</w:t>
      </w:r>
      <w:r>
        <w:t>程</w:t>
      </w:r>
      <w:r>
        <w:rPr>
          <w:spacing w:val="-3"/>
        </w:rPr>
        <w:t>及</w:t>
      </w:r>
      <w:r>
        <w:t>竣</w:t>
      </w:r>
      <w:r>
        <w:rPr>
          <w:spacing w:val="-3"/>
        </w:rPr>
        <w:t>工</w:t>
      </w:r>
      <w:r>
        <w:t>试</w:t>
      </w:r>
      <w:r>
        <w:rPr>
          <w:spacing w:val="-3"/>
        </w:rPr>
        <w:t>验</w:t>
      </w:r>
      <w:r>
        <w:t>一</w:t>
      </w:r>
      <w:r>
        <w:rPr>
          <w:spacing w:val="-3"/>
        </w:rPr>
        <w:t>切</w:t>
      </w:r>
      <w:r>
        <w:t>险的</w:t>
      </w:r>
      <w:r>
        <w:rPr>
          <w:spacing w:val="-3"/>
        </w:rPr>
        <w:t>投</w:t>
      </w:r>
      <w:r>
        <w:t>保</w:t>
      </w:r>
      <w:r>
        <w:rPr>
          <w:spacing w:val="-3"/>
        </w:rPr>
        <w:t>方</w:t>
      </w:r>
      <w:r>
        <w:t>及</w:t>
      </w:r>
      <w:r>
        <w:rPr>
          <w:spacing w:val="-3"/>
        </w:rPr>
        <w:t>对</w:t>
      </w:r>
      <w:r>
        <w:t>投</w:t>
      </w:r>
      <w:r>
        <w:rPr>
          <w:spacing w:val="-3"/>
        </w:rPr>
        <w:t>保</w:t>
      </w:r>
      <w:r>
        <w:t>的</w:t>
      </w:r>
      <w:r>
        <w:rPr>
          <w:spacing w:val="-3"/>
        </w:rPr>
        <w:t>相</w:t>
      </w:r>
      <w:r>
        <w:t>关要</w:t>
      </w:r>
      <w:r>
        <w:rPr>
          <w:spacing w:val="-3"/>
        </w:rPr>
        <w:t>求</w:t>
      </w:r>
      <w:r>
        <w:t>：</w:t>
      </w:r>
      <w:r>
        <w:rPr>
          <w:rFonts w:ascii="Times New Roman" w:eastAsia="Times New Roman"/>
          <w:u w:val="single"/>
        </w:rPr>
        <w:t xml:space="preserve"> </w:t>
      </w:r>
      <w:r>
        <w:rPr>
          <w:rFonts w:ascii="Times New Roman" w:eastAsia="Times New Roman"/>
          <w:u w:val="single"/>
        </w:rPr>
        <w:tab/>
      </w:r>
    </w:p>
    <w:p>
      <w:pPr>
        <w:pStyle w:val="10"/>
        <w:spacing w:before="1"/>
        <w:rPr>
          <w:rFonts w:ascii="Times New Roman"/>
          <w:sz w:val="11"/>
        </w:rPr>
      </w:pPr>
    </w:p>
    <w:p>
      <w:pPr>
        <w:pStyle w:val="10"/>
        <w:tabs>
          <w:tab w:val="left" w:pos="7459"/>
        </w:tabs>
        <w:spacing w:before="72"/>
        <w:ind w:left="633"/>
      </w:pPr>
      <w:r>
        <w:t>第三</w:t>
      </w:r>
      <w:r>
        <w:rPr>
          <w:spacing w:val="-3"/>
        </w:rPr>
        <w:t>者</w:t>
      </w:r>
      <w:r>
        <w:t>责</w:t>
      </w:r>
      <w:r>
        <w:rPr>
          <w:spacing w:val="-3"/>
        </w:rPr>
        <w:t>任</w:t>
      </w:r>
      <w:r>
        <w:t>险</w:t>
      </w:r>
      <w:r>
        <w:rPr>
          <w:spacing w:val="-3"/>
        </w:rPr>
        <w:t>的</w:t>
      </w:r>
      <w:r>
        <w:t>应</w:t>
      </w:r>
      <w:r>
        <w:rPr>
          <w:spacing w:val="-3"/>
        </w:rPr>
        <w:t>投</w:t>
      </w:r>
      <w:r>
        <w:t>保</w:t>
      </w:r>
      <w:r>
        <w:rPr>
          <w:spacing w:val="-3"/>
        </w:rPr>
        <w:t>方</w:t>
      </w:r>
      <w:r>
        <w:t>及对</w:t>
      </w:r>
      <w:r>
        <w:rPr>
          <w:spacing w:val="-3"/>
        </w:rPr>
        <w:t>投</w:t>
      </w:r>
      <w:r>
        <w:t>保</w:t>
      </w:r>
      <w:r>
        <w:rPr>
          <w:spacing w:val="-3"/>
        </w:rPr>
        <w:t>的</w:t>
      </w:r>
      <w:r>
        <w:t>相</w:t>
      </w:r>
      <w:r>
        <w:rPr>
          <w:spacing w:val="-3"/>
        </w:rPr>
        <w:t>关</w:t>
      </w:r>
      <w:r>
        <w:t>要</w:t>
      </w:r>
      <w:r>
        <w:rPr>
          <w:spacing w:val="-3"/>
        </w:rPr>
        <w:t>求</w:t>
      </w:r>
      <w:r>
        <w:rPr>
          <w:u w:val="single"/>
        </w:rPr>
        <w:t>：</w:t>
      </w:r>
      <w:r>
        <w:rPr>
          <w:u w:val="single"/>
        </w:rPr>
        <w:tab/>
      </w:r>
    </w:p>
    <w:p>
      <w:pPr>
        <w:pStyle w:val="10"/>
        <w:rPr>
          <w:sz w:val="20"/>
        </w:rPr>
      </w:pPr>
    </w:p>
    <w:p>
      <w:pPr>
        <w:pStyle w:val="4"/>
      </w:pPr>
      <w:bookmarkStart w:id="360" w:name="_bookmark274"/>
      <w:bookmarkEnd w:id="360"/>
      <w:bookmarkStart w:id="361" w:name="_Toc37926091"/>
      <w:r>
        <w:rPr>
          <w:rFonts w:hint="eastAsia"/>
        </w:rPr>
        <w:t>2</w:t>
      </w:r>
      <w:r>
        <w:t>1</w:t>
      </w:r>
      <w:r>
        <w:rPr>
          <w:rFonts w:hint="eastAsia"/>
        </w:rPr>
        <w:t>．</w:t>
      </w:r>
      <w:r>
        <w:t xml:space="preserve"> 不可抗力</w:t>
      </w:r>
      <w:bookmarkEnd w:id="361"/>
    </w:p>
    <w:p>
      <w:pPr>
        <w:pStyle w:val="10"/>
        <w:spacing w:before="2"/>
        <w:rPr>
          <w:rFonts w:ascii="黑体"/>
          <w:sz w:val="38"/>
        </w:rPr>
      </w:pPr>
    </w:p>
    <w:p>
      <w:pPr>
        <w:ind w:left="633"/>
        <w:rPr>
          <w:b/>
          <w:sz w:val="21"/>
        </w:rPr>
      </w:pPr>
      <w:r>
        <w:rPr>
          <w:rFonts w:ascii="Times New Roman" w:eastAsia="Times New Roman"/>
          <w:sz w:val="21"/>
        </w:rPr>
        <w:t>21.1.1</w:t>
      </w:r>
      <w:r>
        <w:rPr>
          <w:rFonts w:ascii="Times New Roman" w:eastAsia="Times New Roman"/>
          <w:spacing w:val="-1"/>
          <w:sz w:val="21"/>
        </w:rPr>
        <w:t xml:space="preserve">  </w:t>
      </w:r>
      <w:r>
        <w:rPr>
          <w:spacing w:val="-3"/>
          <w:sz w:val="21"/>
        </w:rPr>
        <w:t>通用条款第</w:t>
      </w:r>
      <w:r>
        <w:rPr>
          <w:spacing w:val="-53"/>
          <w:sz w:val="21"/>
        </w:rPr>
        <w:t xml:space="preserve"> </w:t>
      </w:r>
      <w:r>
        <w:rPr>
          <w:rFonts w:ascii="Times New Roman" w:eastAsia="Times New Roman"/>
          <w:spacing w:val="-3"/>
          <w:sz w:val="21"/>
        </w:rPr>
        <w:t>2</w:t>
      </w:r>
      <w:r>
        <w:rPr>
          <w:rFonts w:ascii="Times New Roman" w:eastAsia="Times New Roman"/>
          <w:sz w:val="21"/>
        </w:rPr>
        <w:t>1.1</w:t>
      </w:r>
      <w:r>
        <w:rPr>
          <w:rFonts w:ascii="Times New Roman" w:eastAsia="Times New Roman"/>
          <w:spacing w:val="-3"/>
          <w:sz w:val="21"/>
        </w:rPr>
        <w:t xml:space="preserve"> </w:t>
      </w:r>
      <w:r>
        <w:rPr>
          <w:spacing w:val="-11"/>
          <w:sz w:val="21"/>
        </w:rPr>
        <w:t>项约定的不可抗力的其他情形：</w:t>
      </w:r>
      <w:r>
        <w:rPr>
          <w:b/>
          <w:sz w:val="21"/>
        </w:rPr>
        <w:t>（</w:t>
      </w:r>
      <w:r>
        <w:rPr>
          <w:b/>
          <w:w w:val="99"/>
          <w:sz w:val="21"/>
        </w:rPr>
        <w:t>1</w:t>
      </w:r>
      <w:r>
        <w:rPr>
          <w:b/>
          <w:sz w:val="21"/>
        </w:rPr>
        <w:t>）</w:t>
      </w:r>
      <w:r>
        <w:rPr>
          <w:b/>
          <w:sz w:val="21"/>
          <w:u w:val="single"/>
        </w:rPr>
        <w:t>异常天气：仅指</w:t>
      </w:r>
      <w:r>
        <w:rPr>
          <w:b/>
          <w:spacing w:val="-56"/>
          <w:sz w:val="21"/>
          <w:u w:val="single"/>
        </w:rPr>
        <w:t xml:space="preserve"> </w:t>
      </w:r>
      <w:r>
        <w:rPr>
          <w:b/>
          <w:w w:val="99"/>
          <w:sz w:val="21"/>
          <w:u w:val="single"/>
        </w:rPr>
        <w:t>50</w:t>
      </w:r>
      <w:r>
        <w:rPr>
          <w:b/>
          <w:spacing w:val="-54"/>
          <w:sz w:val="21"/>
          <w:u w:val="single"/>
        </w:rPr>
        <w:t xml:space="preserve"> </w:t>
      </w:r>
      <w:r>
        <w:rPr>
          <w:b/>
          <w:sz w:val="21"/>
          <w:u w:val="single"/>
        </w:rPr>
        <w:t>年一遇以上（含</w:t>
      </w:r>
      <w:r>
        <w:rPr>
          <w:b/>
          <w:spacing w:val="-53"/>
          <w:sz w:val="21"/>
          <w:u w:val="single"/>
        </w:rPr>
        <w:t xml:space="preserve"> </w:t>
      </w:r>
      <w:r>
        <w:rPr>
          <w:b/>
          <w:w w:val="99"/>
          <w:sz w:val="21"/>
          <w:u w:val="single"/>
        </w:rPr>
        <w:t>50</w:t>
      </w:r>
    </w:p>
    <w:p>
      <w:pPr>
        <w:pStyle w:val="10"/>
        <w:rPr>
          <w:b/>
          <w:sz w:val="10"/>
        </w:rPr>
      </w:pPr>
    </w:p>
    <w:p>
      <w:pPr>
        <w:spacing w:before="72"/>
        <w:ind w:left="212"/>
        <w:rPr>
          <w:b/>
          <w:sz w:val="21"/>
        </w:rPr>
      </w:pPr>
      <w:r>
        <w:rPr>
          <w:b/>
          <w:sz w:val="21"/>
          <w:u w:val="single"/>
        </w:rPr>
        <w:t>年）的洪水、10 级（含本数）以上台风，直接淹没或袭击工地为确保安全而停工。承包人应于台风、洪</w:t>
      </w:r>
    </w:p>
    <w:p>
      <w:pPr>
        <w:pStyle w:val="10"/>
        <w:spacing w:before="12"/>
        <w:rPr>
          <w:b/>
          <w:sz w:val="9"/>
        </w:rPr>
      </w:pPr>
    </w:p>
    <w:p>
      <w:pPr>
        <w:spacing w:before="71"/>
        <w:ind w:left="212"/>
        <w:rPr>
          <w:b/>
          <w:sz w:val="21"/>
        </w:rPr>
      </w:pPr>
      <w:r>
        <w:rPr>
          <w:b/>
          <w:sz w:val="21"/>
          <w:u w:val="single"/>
        </w:rPr>
        <w:t>水天气结束之日起七日内，向本地气象部门索取当地台风、暴雨天气资料或报告（含气象实况及对此分析</w:t>
      </w:r>
    </w:p>
    <w:p>
      <w:pPr>
        <w:pStyle w:val="10"/>
        <w:rPr>
          <w:b/>
          <w:sz w:val="10"/>
        </w:rPr>
      </w:pPr>
    </w:p>
    <w:p>
      <w:pPr>
        <w:spacing w:before="71"/>
        <w:ind w:left="212"/>
        <w:rPr>
          <w:b/>
          <w:sz w:val="21"/>
        </w:rPr>
      </w:pPr>
      <w:r>
        <w:rPr>
          <w:b/>
          <w:sz w:val="21"/>
          <w:u w:val="single"/>
        </w:rPr>
        <w:t>的内容），连同施工日志、施工现场照片办理证据保全公证，方可认定为是不可抗力。</w:t>
      </w:r>
    </w:p>
    <w:p>
      <w:pPr>
        <w:pStyle w:val="10"/>
        <w:spacing w:before="12"/>
        <w:rPr>
          <w:b/>
          <w:sz w:val="9"/>
        </w:rPr>
      </w:pPr>
    </w:p>
    <w:p>
      <w:pPr>
        <w:tabs>
          <w:tab w:val="left" w:pos="4223"/>
        </w:tabs>
        <w:spacing w:before="72"/>
        <w:ind w:left="635"/>
        <w:rPr>
          <w:b/>
          <w:sz w:val="21"/>
        </w:rPr>
      </w:pPr>
      <w:r>
        <w:rPr>
          <w:b/>
          <w:sz w:val="21"/>
        </w:rPr>
        <w:t>（2）</w:t>
      </w:r>
      <w:r>
        <w:rPr>
          <w:b/>
          <w:sz w:val="21"/>
          <w:u w:val="single"/>
        </w:rPr>
        <w:t>里氏</w:t>
      </w:r>
      <w:r>
        <w:rPr>
          <w:b/>
          <w:spacing w:val="-54"/>
          <w:sz w:val="21"/>
          <w:u w:val="single"/>
        </w:rPr>
        <w:t xml:space="preserve"> </w:t>
      </w:r>
      <w:r>
        <w:rPr>
          <w:b/>
          <w:sz w:val="21"/>
          <w:u w:val="single"/>
        </w:rPr>
        <w:t>5</w:t>
      </w:r>
      <w:r>
        <w:rPr>
          <w:b/>
          <w:spacing w:val="-53"/>
          <w:sz w:val="21"/>
          <w:u w:val="single"/>
        </w:rPr>
        <w:t xml:space="preserve"> </w:t>
      </w:r>
      <w:r>
        <w:rPr>
          <w:b/>
          <w:sz w:val="21"/>
          <w:u w:val="single"/>
        </w:rPr>
        <w:t>级（含本数</w:t>
      </w:r>
      <w:r>
        <w:rPr>
          <w:b/>
          <w:spacing w:val="-3"/>
          <w:sz w:val="21"/>
          <w:u w:val="single"/>
        </w:rPr>
        <w:t>）</w:t>
      </w:r>
      <w:r>
        <w:rPr>
          <w:b/>
          <w:sz w:val="21"/>
          <w:u w:val="single"/>
        </w:rPr>
        <w:t>以上地震</w:t>
      </w:r>
      <w:r>
        <w:rPr>
          <w:b/>
          <w:sz w:val="21"/>
          <w:u w:val="single"/>
        </w:rPr>
        <w:tab/>
      </w:r>
      <w:r>
        <w:rPr>
          <w:b/>
          <w:sz w:val="21"/>
        </w:rPr>
        <w:t>。</w:t>
      </w:r>
    </w:p>
    <w:p>
      <w:pPr>
        <w:tabs>
          <w:tab w:val="left" w:pos="4223"/>
        </w:tabs>
        <w:spacing w:before="72"/>
        <w:ind w:left="635"/>
        <w:rPr>
          <w:b/>
          <w:sz w:val="21"/>
        </w:rPr>
      </w:pPr>
    </w:p>
    <w:p>
      <w:pPr>
        <w:tabs>
          <w:tab w:val="left" w:pos="4223"/>
        </w:tabs>
        <w:spacing w:before="72"/>
        <w:ind w:left="635"/>
      </w:pPr>
      <w:r>
        <w:rPr>
          <w:rFonts w:ascii="Times New Roman" w:eastAsia="Times New Roman"/>
        </w:rPr>
        <w:t xml:space="preserve">21.3.1 </w:t>
      </w:r>
      <w:r>
        <w:rPr>
          <w:spacing w:val="-3"/>
        </w:rPr>
        <w:t>不可抗力造成损害的责任</w:t>
      </w:r>
    </w:p>
    <w:p>
      <w:pPr>
        <w:pStyle w:val="10"/>
        <w:spacing w:before="1"/>
        <w:rPr>
          <w:sz w:val="23"/>
        </w:rPr>
      </w:pPr>
    </w:p>
    <w:p>
      <w:pPr>
        <w:pStyle w:val="10"/>
        <w:ind w:left="738"/>
      </w:pPr>
      <w:r>
        <w:rPr>
          <w:rFonts w:hint="eastAsia"/>
          <w:sz w:val="24"/>
        </w:rPr>
        <w:t>■</w:t>
      </w:r>
      <w:r>
        <w:rPr>
          <w:rFonts w:ascii="Times New Roman" w:hAnsi="Times New Roman" w:eastAsia="Times New Roman"/>
          <w:spacing w:val="51"/>
        </w:rPr>
        <w:t xml:space="preserve"> </w:t>
      </w:r>
      <w:r>
        <w:rPr>
          <w:spacing w:val="-3"/>
        </w:rPr>
        <w:t>按通用条款的规定。</w:t>
      </w:r>
    </w:p>
    <w:p>
      <w:pPr>
        <w:pStyle w:val="10"/>
        <w:spacing w:before="7"/>
        <w:rPr>
          <w:sz w:val="15"/>
        </w:rPr>
      </w:pPr>
    </w:p>
    <w:p>
      <w:pPr>
        <w:pStyle w:val="10"/>
        <w:tabs>
          <w:tab w:val="left" w:pos="7250"/>
        </w:tabs>
        <w:ind w:left="738"/>
      </w:pPr>
      <w:r>
        <w:t>□另</w:t>
      </w:r>
      <w:r>
        <w:rPr>
          <w:spacing w:val="-3"/>
        </w:rPr>
        <w:t>作</w:t>
      </w:r>
      <w:r>
        <w:t>约</w:t>
      </w:r>
      <w:r>
        <w:rPr>
          <w:spacing w:val="-3"/>
        </w:rPr>
        <w:t>定</w:t>
      </w:r>
      <w:r>
        <w:t>:</w:t>
      </w:r>
      <w:r>
        <w:rPr>
          <w:u w:val="single"/>
        </w:rPr>
        <w:t xml:space="preserve"> </w:t>
      </w:r>
      <w:r>
        <w:rPr>
          <w:u w:val="single"/>
        </w:rPr>
        <w:tab/>
      </w:r>
      <w:r>
        <w:t>。</w:t>
      </w:r>
    </w:p>
    <w:p>
      <w:pPr>
        <w:pStyle w:val="10"/>
        <w:rPr>
          <w:sz w:val="20"/>
        </w:rPr>
      </w:pPr>
    </w:p>
    <w:p>
      <w:pPr>
        <w:pStyle w:val="4"/>
      </w:pPr>
      <w:bookmarkStart w:id="362" w:name="_bookmark275"/>
      <w:bookmarkEnd w:id="362"/>
      <w:bookmarkStart w:id="363" w:name="_Toc37926092"/>
      <w:r>
        <w:rPr>
          <w:rFonts w:hint="eastAsia"/>
        </w:rPr>
        <w:t>2</w:t>
      </w:r>
      <w:r>
        <w:t>4. 争议的解决</w:t>
      </w:r>
      <w:bookmarkEnd w:id="363"/>
    </w:p>
    <w:p>
      <w:pPr>
        <w:pStyle w:val="10"/>
        <w:spacing w:before="12"/>
        <w:rPr>
          <w:rFonts w:ascii="黑体"/>
          <w:b/>
          <w:sz w:val="40"/>
        </w:rPr>
      </w:pPr>
    </w:p>
    <w:p>
      <w:pPr>
        <w:ind w:firstLine="432" w:firstLineChars="200"/>
      </w:pPr>
      <w:bookmarkStart w:id="364" w:name="_bookmark276"/>
      <w:bookmarkEnd w:id="364"/>
      <w:r>
        <w:rPr>
          <w:rFonts w:hint="eastAsia"/>
          <w:spacing w:val="-2"/>
        </w:rPr>
        <w:t>2</w:t>
      </w:r>
      <w:r>
        <w:rPr>
          <w:spacing w:val="-2"/>
        </w:rPr>
        <w:t>4.1 争议的解决方式</w:t>
      </w:r>
    </w:p>
    <w:p>
      <w:pPr>
        <w:pStyle w:val="10"/>
        <w:spacing w:before="4"/>
        <w:rPr>
          <w:rFonts w:ascii="黑体"/>
          <w:sz w:val="38"/>
        </w:rPr>
      </w:pPr>
    </w:p>
    <w:p>
      <w:pPr>
        <w:pStyle w:val="10"/>
        <w:spacing w:before="1"/>
        <w:ind w:left="633"/>
      </w:pPr>
      <w:r>
        <w:rPr>
          <w:highlight w:val="yellow"/>
        </w:rPr>
        <w:t>因本合同引起的或与本合同有关的任何争议，合同双方友好协商不成向</w:t>
      </w:r>
      <w:r>
        <w:rPr>
          <w:rFonts w:hint="eastAsia"/>
          <w:b/>
          <w:highlight w:val="yellow"/>
          <w:u w:val="single"/>
        </w:rPr>
        <w:t>江门市</w:t>
      </w:r>
      <w:r>
        <w:rPr>
          <w:b/>
          <w:highlight w:val="yellow"/>
          <w:u w:val="single"/>
        </w:rPr>
        <w:t>人民法院</w:t>
      </w:r>
      <w:r>
        <w:rPr>
          <w:highlight w:val="yellow"/>
        </w:rPr>
        <w:t>提起诉讼。</w:t>
      </w:r>
    </w:p>
    <w:p>
      <w:pPr>
        <w:pStyle w:val="10"/>
        <w:spacing w:before="6"/>
        <w:rPr>
          <w:sz w:val="18"/>
        </w:rPr>
      </w:pPr>
    </w:p>
    <w:p>
      <w:pPr>
        <w:ind w:firstLine="220" w:firstLineChars="100"/>
      </w:pPr>
      <w:bookmarkStart w:id="365" w:name="_bookmark277"/>
      <w:bookmarkEnd w:id="365"/>
      <w:r>
        <w:rPr>
          <w:rFonts w:ascii="Times New Roman" w:eastAsia="Times New Roman"/>
        </w:rPr>
        <w:t xml:space="preserve">24.3 </w:t>
      </w:r>
      <w:r>
        <w:t>争议评审</w:t>
      </w:r>
    </w:p>
    <w:p>
      <w:pPr>
        <w:pStyle w:val="10"/>
        <w:spacing w:before="1"/>
        <w:rPr>
          <w:rFonts w:ascii="黑体"/>
          <w:sz w:val="38"/>
        </w:rPr>
      </w:pPr>
    </w:p>
    <w:p>
      <w:pPr>
        <w:pStyle w:val="35"/>
        <w:numPr>
          <w:ilvl w:val="2"/>
          <w:numId w:val="89"/>
        </w:numPr>
        <w:tabs>
          <w:tab w:val="left" w:pos="1325"/>
          <w:tab w:val="left" w:pos="9308"/>
        </w:tabs>
        <w:spacing w:before="1"/>
        <w:rPr>
          <w:sz w:val="21"/>
        </w:rPr>
      </w:pPr>
      <w:r>
        <w:rPr>
          <w:sz w:val="21"/>
        </w:rPr>
        <w:t>争</w:t>
      </w:r>
      <w:r>
        <w:rPr>
          <w:spacing w:val="-3"/>
          <w:sz w:val="21"/>
        </w:rPr>
        <w:t>议</w:t>
      </w:r>
      <w:r>
        <w:rPr>
          <w:sz w:val="21"/>
        </w:rPr>
        <w:t>评</w:t>
      </w:r>
      <w:r>
        <w:rPr>
          <w:spacing w:val="-3"/>
          <w:sz w:val="21"/>
        </w:rPr>
        <w:t>审</w:t>
      </w:r>
      <w:r>
        <w:rPr>
          <w:sz w:val="21"/>
        </w:rPr>
        <w:t>组</w:t>
      </w:r>
      <w:r>
        <w:rPr>
          <w:spacing w:val="-3"/>
          <w:sz w:val="21"/>
        </w:rPr>
        <w:t>邀</w:t>
      </w:r>
      <w:r>
        <w:rPr>
          <w:sz w:val="21"/>
        </w:rPr>
        <w:t>请</w:t>
      </w:r>
      <w:r>
        <w:rPr>
          <w:spacing w:val="-3"/>
          <w:sz w:val="21"/>
        </w:rPr>
        <w:t>合</w:t>
      </w:r>
      <w:r>
        <w:rPr>
          <w:sz w:val="21"/>
        </w:rPr>
        <w:t>同双</w:t>
      </w:r>
      <w:r>
        <w:rPr>
          <w:spacing w:val="-3"/>
          <w:sz w:val="21"/>
        </w:rPr>
        <w:t>方</w:t>
      </w:r>
      <w:r>
        <w:rPr>
          <w:sz w:val="21"/>
        </w:rPr>
        <w:t>代</w:t>
      </w:r>
      <w:r>
        <w:rPr>
          <w:spacing w:val="-3"/>
          <w:sz w:val="21"/>
        </w:rPr>
        <w:t>表</w:t>
      </w:r>
      <w:r>
        <w:rPr>
          <w:sz w:val="21"/>
        </w:rPr>
        <w:t>人</w:t>
      </w:r>
      <w:r>
        <w:rPr>
          <w:spacing w:val="-3"/>
          <w:sz w:val="21"/>
        </w:rPr>
        <w:t>和</w:t>
      </w:r>
      <w:r>
        <w:rPr>
          <w:sz w:val="21"/>
        </w:rPr>
        <w:t>有</w:t>
      </w:r>
      <w:r>
        <w:rPr>
          <w:spacing w:val="-3"/>
          <w:sz w:val="21"/>
        </w:rPr>
        <w:t>关</w:t>
      </w:r>
      <w:r>
        <w:rPr>
          <w:sz w:val="21"/>
        </w:rPr>
        <w:t>人</w:t>
      </w:r>
      <w:r>
        <w:rPr>
          <w:spacing w:val="-3"/>
          <w:sz w:val="21"/>
        </w:rPr>
        <w:t>员</w:t>
      </w:r>
      <w:r>
        <w:rPr>
          <w:sz w:val="21"/>
        </w:rPr>
        <w:t>举行</w:t>
      </w:r>
      <w:r>
        <w:rPr>
          <w:spacing w:val="-3"/>
          <w:sz w:val="21"/>
        </w:rPr>
        <w:t>调</w:t>
      </w:r>
      <w:r>
        <w:rPr>
          <w:sz w:val="21"/>
        </w:rPr>
        <w:t>查</w:t>
      </w:r>
      <w:r>
        <w:rPr>
          <w:spacing w:val="-3"/>
          <w:sz w:val="21"/>
        </w:rPr>
        <w:t>会</w:t>
      </w:r>
      <w:r>
        <w:rPr>
          <w:sz w:val="21"/>
        </w:rPr>
        <w:t>的</w:t>
      </w:r>
      <w:r>
        <w:rPr>
          <w:spacing w:val="-3"/>
          <w:sz w:val="21"/>
        </w:rPr>
        <w:t>期</w:t>
      </w:r>
      <w:r>
        <w:rPr>
          <w:sz w:val="21"/>
        </w:rPr>
        <w:t>限</w:t>
      </w:r>
      <w:r>
        <w:rPr>
          <w:spacing w:val="-3"/>
          <w:sz w:val="21"/>
        </w:rPr>
        <w:t>：</w:t>
      </w:r>
      <w:r>
        <w:rPr>
          <w:spacing w:val="-3"/>
          <w:sz w:val="21"/>
          <w:u w:val="single"/>
        </w:rPr>
        <w:t xml:space="preserve"> </w:t>
      </w:r>
      <w:r>
        <w:rPr>
          <w:spacing w:val="-3"/>
          <w:sz w:val="21"/>
          <w:u w:val="single"/>
        </w:rPr>
        <w:tab/>
      </w:r>
      <w:r>
        <w:rPr>
          <w:sz w:val="21"/>
        </w:rPr>
        <w:t>。</w:t>
      </w:r>
    </w:p>
    <w:p>
      <w:pPr>
        <w:pStyle w:val="10"/>
        <w:spacing w:before="5"/>
        <w:rPr>
          <w:sz w:val="9"/>
        </w:rPr>
      </w:pPr>
    </w:p>
    <w:p>
      <w:pPr>
        <w:pStyle w:val="35"/>
        <w:numPr>
          <w:ilvl w:val="2"/>
          <w:numId w:val="89"/>
        </w:numPr>
        <w:tabs>
          <w:tab w:val="left" w:pos="1325"/>
          <w:tab w:val="left" w:pos="9308"/>
        </w:tabs>
        <w:spacing w:before="78"/>
        <w:rPr>
          <w:sz w:val="21"/>
        </w:rPr>
      </w:pPr>
      <w:r>
        <w:rPr>
          <w:sz w:val="21"/>
        </w:rPr>
        <w:t>争</w:t>
      </w:r>
      <w:r>
        <w:rPr>
          <w:spacing w:val="-3"/>
          <w:sz w:val="21"/>
        </w:rPr>
        <w:t>议</w:t>
      </w:r>
      <w:r>
        <w:rPr>
          <w:sz w:val="21"/>
        </w:rPr>
        <w:t>评</w:t>
      </w:r>
      <w:r>
        <w:rPr>
          <w:spacing w:val="-3"/>
          <w:sz w:val="21"/>
        </w:rPr>
        <w:t>审</w:t>
      </w:r>
      <w:r>
        <w:rPr>
          <w:sz w:val="21"/>
        </w:rPr>
        <w:t>组</w:t>
      </w:r>
      <w:r>
        <w:rPr>
          <w:spacing w:val="-3"/>
          <w:sz w:val="21"/>
        </w:rPr>
        <w:t>在</w:t>
      </w:r>
      <w:r>
        <w:rPr>
          <w:sz w:val="21"/>
        </w:rPr>
        <w:t>调</w:t>
      </w:r>
      <w:r>
        <w:rPr>
          <w:spacing w:val="-3"/>
          <w:sz w:val="21"/>
        </w:rPr>
        <w:t>查</w:t>
      </w:r>
      <w:r>
        <w:rPr>
          <w:sz w:val="21"/>
        </w:rPr>
        <w:t>会后</w:t>
      </w:r>
      <w:r>
        <w:rPr>
          <w:spacing w:val="-3"/>
          <w:sz w:val="21"/>
        </w:rPr>
        <w:t>作</w:t>
      </w:r>
      <w:r>
        <w:rPr>
          <w:sz w:val="21"/>
        </w:rPr>
        <w:t>出</w:t>
      </w:r>
      <w:r>
        <w:rPr>
          <w:spacing w:val="-3"/>
          <w:sz w:val="21"/>
        </w:rPr>
        <w:t>争</w:t>
      </w:r>
      <w:r>
        <w:rPr>
          <w:sz w:val="21"/>
        </w:rPr>
        <w:t>议</w:t>
      </w:r>
      <w:r>
        <w:rPr>
          <w:spacing w:val="-3"/>
          <w:sz w:val="21"/>
        </w:rPr>
        <w:t>评</w:t>
      </w:r>
      <w:r>
        <w:rPr>
          <w:sz w:val="21"/>
        </w:rPr>
        <w:t>审</w:t>
      </w:r>
      <w:r>
        <w:rPr>
          <w:spacing w:val="-3"/>
          <w:sz w:val="21"/>
        </w:rPr>
        <w:t>意</w:t>
      </w:r>
      <w:r>
        <w:rPr>
          <w:sz w:val="21"/>
        </w:rPr>
        <w:t>见</w:t>
      </w:r>
      <w:r>
        <w:rPr>
          <w:spacing w:val="-3"/>
          <w:sz w:val="21"/>
        </w:rPr>
        <w:t>的</w:t>
      </w:r>
      <w:r>
        <w:rPr>
          <w:sz w:val="21"/>
        </w:rPr>
        <w:t>期限</w:t>
      </w:r>
      <w:r>
        <w:rPr>
          <w:spacing w:val="-3"/>
          <w:sz w:val="21"/>
        </w:rPr>
        <w:t>：</w:t>
      </w:r>
      <w:r>
        <w:rPr>
          <w:spacing w:val="-3"/>
          <w:sz w:val="21"/>
          <w:u w:val="single"/>
        </w:rPr>
        <w:t xml:space="preserve"> </w:t>
      </w:r>
      <w:r>
        <w:rPr>
          <w:spacing w:val="-3"/>
          <w:sz w:val="21"/>
          <w:u w:val="single"/>
        </w:rPr>
        <w:tab/>
      </w:r>
      <w:r>
        <w:rPr>
          <w:sz w:val="21"/>
        </w:rPr>
        <w:t>。</w:t>
      </w:r>
    </w:p>
    <w:p>
      <w:pPr>
        <w:pStyle w:val="35"/>
        <w:rPr>
          <w:sz w:val="21"/>
        </w:rPr>
      </w:pPr>
    </w:p>
    <w:p>
      <w:pPr>
        <w:pStyle w:val="10"/>
        <w:spacing w:before="4"/>
        <w:rPr>
          <w:sz w:val="13"/>
        </w:rPr>
      </w:pPr>
    </w:p>
    <w:p>
      <w:pPr>
        <w:pStyle w:val="4"/>
        <w:rPr>
          <w:b w:val="0"/>
          <w:bCs w:val="0"/>
        </w:rPr>
      </w:pPr>
      <w:bookmarkStart w:id="366" w:name="_Toc37926093"/>
      <w:r>
        <w:rPr>
          <w:rFonts w:hint="eastAsia"/>
          <w:b w:val="0"/>
          <w:bCs w:val="0"/>
        </w:rPr>
        <w:t>补充条款：</w:t>
      </w:r>
      <w:bookmarkEnd w:id="366"/>
    </w:p>
    <w:p>
      <w:pPr>
        <w:ind w:firstLine="442" w:firstLineChars="200"/>
      </w:pPr>
      <w:r>
        <w:rPr>
          <w:b/>
        </w:rPr>
        <w:t>1</w:t>
      </w:r>
      <w:r>
        <w:t>6.3 双方约定合同价款的其他调整因素：</w:t>
      </w:r>
    </w:p>
    <w:p>
      <w:pPr>
        <w:spacing w:before="91"/>
        <w:ind w:left="635"/>
        <w:rPr>
          <w:b/>
          <w:sz w:val="21"/>
        </w:rPr>
      </w:pPr>
      <w:r>
        <w:rPr>
          <w:b/>
          <w:sz w:val="21"/>
        </w:rPr>
        <w:t>在合同实施时工程发生变更（含增、减工程</w:t>
      </w:r>
      <w:r>
        <w:rPr>
          <w:b/>
          <w:spacing w:val="-104"/>
          <w:sz w:val="21"/>
        </w:rPr>
        <w:t>）</w:t>
      </w:r>
      <w:r>
        <w:rPr>
          <w:b/>
          <w:sz w:val="21"/>
        </w:rPr>
        <w:t>，其变更（含增、减）工程的综合单价按照如下办法确</w:t>
      </w:r>
    </w:p>
    <w:p>
      <w:pPr>
        <w:spacing w:before="92"/>
        <w:ind w:left="212"/>
        <w:rPr>
          <w:b/>
          <w:sz w:val="21"/>
        </w:rPr>
      </w:pPr>
      <w:r>
        <w:rPr>
          <w:b/>
          <w:sz w:val="21"/>
        </w:rPr>
        <w:t>定：</w:t>
      </w:r>
    </w:p>
    <w:p>
      <w:pPr>
        <w:spacing w:before="90"/>
        <w:ind w:left="635"/>
        <w:rPr>
          <w:b/>
          <w:sz w:val="21"/>
        </w:rPr>
      </w:pPr>
      <w:r>
        <w:rPr>
          <w:b/>
          <w:sz w:val="21"/>
        </w:rPr>
        <w:t>变更估价</w:t>
      </w:r>
    </w:p>
    <w:p>
      <w:pPr>
        <w:spacing w:before="91"/>
        <w:ind w:left="635"/>
        <w:rPr>
          <w:b/>
          <w:sz w:val="21"/>
        </w:rPr>
      </w:pPr>
      <w:r>
        <w:rPr>
          <w:b/>
          <w:sz w:val="21"/>
        </w:rPr>
        <w:t>承包人按发包人要求的变更通知和同意发包人变更建议的回复所要求的方式，实施的变更，造成增加</w:t>
      </w:r>
    </w:p>
    <w:p>
      <w:pPr>
        <w:spacing w:before="91" w:line="321" w:lineRule="auto"/>
        <w:ind w:left="212" w:right="552"/>
        <w:jc w:val="both"/>
        <w:rPr>
          <w:b/>
          <w:sz w:val="21"/>
        </w:rPr>
      </w:pPr>
      <w:r>
        <w:rPr>
          <w:b/>
          <w:spacing w:val="-6"/>
          <w:sz w:val="21"/>
        </w:rPr>
        <w:t>新的工程量清单项目，会造成建设项目重大设计变更，或可能造成投资扩大，改变支付方式的，应建立发</w:t>
      </w:r>
      <w:r>
        <w:rPr>
          <w:b/>
          <w:spacing w:val="-9"/>
          <w:sz w:val="21"/>
        </w:rPr>
        <w:t>包人、监理等部门联席会议共同审查、确认。施工过程中发生设计变更的，承包人应在监理人和</w:t>
      </w:r>
      <w:r>
        <w:rPr>
          <w:b/>
          <w:sz w:val="21"/>
        </w:rPr>
        <w:t>（</w:t>
      </w:r>
      <w:r>
        <w:rPr>
          <w:b/>
          <w:spacing w:val="-3"/>
          <w:sz w:val="21"/>
        </w:rPr>
        <w:t>或</w:t>
      </w:r>
      <w:r>
        <w:rPr>
          <w:b/>
          <w:spacing w:val="-10"/>
          <w:sz w:val="21"/>
        </w:rPr>
        <w:t>）</w:t>
      </w:r>
      <w:r>
        <w:rPr>
          <w:b/>
          <w:sz w:val="21"/>
        </w:rPr>
        <w:t>发</w:t>
      </w:r>
      <w:r>
        <w:rPr>
          <w:b/>
          <w:spacing w:val="-3"/>
          <w:sz w:val="21"/>
        </w:rPr>
        <w:t>包人要求的期限内提供全套变更文件及相应的电子版。</w:t>
      </w:r>
    </w:p>
    <w:p>
      <w:pPr>
        <w:spacing w:line="267" w:lineRule="exact"/>
        <w:ind w:left="635"/>
        <w:rPr>
          <w:b/>
          <w:sz w:val="21"/>
        </w:rPr>
      </w:pPr>
      <w:r>
        <w:rPr>
          <w:b/>
          <w:sz w:val="21"/>
        </w:rPr>
        <w:t>其对应的综合单价按下列方法确定：</w:t>
      </w:r>
    </w:p>
    <w:p>
      <w:pPr>
        <w:pStyle w:val="35"/>
        <w:numPr>
          <w:ilvl w:val="0"/>
          <w:numId w:val="90"/>
        </w:numPr>
        <w:tabs>
          <w:tab w:val="left" w:pos="1079"/>
        </w:tabs>
        <w:spacing w:before="91"/>
        <w:ind w:hanging="530"/>
        <w:rPr>
          <w:b/>
          <w:sz w:val="21"/>
        </w:rPr>
      </w:pPr>
      <w:r>
        <w:rPr>
          <w:b/>
          <w:spacing w:val="-3"/>
          <w:sz w:val="21"/>
        </w:rPr>
        <w:t>预算价清单中已有适用的综合单价，按已有的综合单价确定；</w:t>
      </w:r>
    </w:p>
    <w:p>
      <w:pPr>
        <w:pStyle w:val="35"/>
        <w:numPr>
          <w:ilvl w:val="0"/>
          <w:numId w:val="90"/>
        </w:numPr>
        <w:tabs>
          <w:tab w:val="left" w:pos="1081"/>
        </w:tabs>
        <w:spacing w:before="91"/>
        <w:ind w:left="1080" w:hanging="530"/>
        <w:rPr>
          <w:b/>
          <w:sz w:val="21"/>
        </w:rPr>
      </w:pPr>
      <w:r>
        <w:rPr>
          <w:b/>
          <w:spacing w:val="-3"/>
          <w:sz w:val="21"/>
        </w:rPr>
        <w:t>预算价清单中有类似的综合单价，参照类似的综合单价确定；</w:t>
      </w:r>
    </w:p>
    <w:p>
      <w:pPr>
        <w:pStyle w:val="35"/>
        <w:numPr>
          <w:ilvl w:val="0"/>
          <w:numId w:val="90"/>
        </w:numPr>
        <w:tabs>
          <w:tab w:val="left" w:pos="1079"/>
        </w:tabs>
        <w:spacing w:before="91"/>
        <w:ind w:hanging="530"/>
        <w:rPr>
          <w:b/>
          <w:sz w:val="21"/>
        </w:rPr>
      </w:pPr>
      <w:r>
        <w:rPr>
          <w:b/>
          <w:spacing w:val="-10"/>
          <w:sz w:val="21"/>
        </w:rPr>
        <w:t>预算控制价清单中没有适用或类似的综合单价，按《建设工程工程量清单计价规范</w:t>
      </w:r>
      <w:r>
        <w:rPr>
          <w:b/>
          <w:spacing w:val="-176"/>
          <w:sz w:val="21"/>
        </w:rPr>
        <w:t>》</w:t>
      </w:r>
      <w:r>
        <w:rPr>
          <w:b/>
          <w:spacing w:val="1"/>
          <w:sz w:val="21"/>
        </w:rPr>
        <w:t>（</w:t>
      </w:r>
      <w:r>
        <w:rPr>
          <w:b/>
          <w:w w:val="99"/>
          <w:sz w:val="21"/>
        </w:rPr>
        <w:t>GB20500-2013</w:t>
      </w:r>
      <w:r>
        <w:rPr>
          <w:b/>
          <w:spacing w:val="-106"/>
          <w:sz w:val="21"/>
        </w:rPr>
        <w:t>）、</w:t>
      </w:r>
    </w:p>
    <w:p>
      <w:pPr>
        <w:spacing w:before="91" w:line="321" w:lineRule="auto"/>
        <w:ind w:left="140" w:right="110"/>
        <w:rPr>
          <w:b/>
          <w:sz w:val="21"/>
        </w:rPr>
      </w:pPr>
      <w:r>
        <w:rPr>
          <w:b/>
          <w:spacing w:val="-2"/>
          <w:sz w:val="21"/>
        </w:rPr>
        <w:t>《建筑工程建筑面积计算规范</w:t>
      </w:r>
      <w:r>
        <w:rPr>
          <w:b/>
          <w:spacing w:val="-53"/>
          <w:sz w:val="21"/>
        </w:rPr>
        <w:t xml:space="preserve"> </w:t>
      </w:r>
      <w:r>
        <w:rPr>
          <w:b/>
          <w:w w:val="99"/>
          <w:sz w:val="21"/>
        </w:rPr>
        <w:t>GB/T503</w:t>
      </w:r>
      <w:r>
        <w:rPr>
          <w:b/>
          <w:spacing w:val="2"/>
          <w:w w:val="99"/>
          <w:sz w:val="21"/>
        </w:rPr>
        <w:t>5</w:t>
      </w:r>
      <w:r>
        <w:rPr>
          <w:b/>
          <w:w w:val="99"/>
          <w:sz w:val="21"/>
        </w:rPr>
        <w:t>3-2013</w:t>
      </w:r>
      <w:r>
        <w:rPr>
          <w:b/>
          <w:spacing w:val="-16"/>
          <w:sz w:val="21"/>
        </w:rPr>
        <w:t>》、《广东省房屋建筑与装饰工程综合定额</w:t>
      </w:r>
      <w:r>
        <w:rPr>
          <w:b/>
          <w:sz w:val="21"/>
        </w:rPr>
        <w:t>（</w:t>
      </w:r>
      <w:r>
        <w:rPr>
          <w:b/>
          <w:w w:val="99"/>
          <w:sz w:val="21"/>
        </w:rPr>
        <w:t>2018</w:t>
      </w:r>
      <w:r>
        <w:rPr>
          <w:b/>
          <w:spacing w:val="-106"/>
          <w:sz w:val="21"/>
        </w:rPr>
        <w:t>）</w:t>
      </w:r>
      <w:r>
        <w:rPr>
          <w:b/>
          <w:spacing w:val="-34"/>
          <w:sz w:val="21"/>
        </w:rPr>
        <w:t>》、《广东省市</w:t>
      </w:r>
      <w:r>
        <w:rPr>
          <w:b/>
          <w:spacing w:val="-32"/>
          <w:sz w:val="21"/>
        </w:rPr>
        <w:t>政工程综合定额</w:t>
      </w:r>
      <w:r>
        <w:rPr>
          <w:b/>
          <w:sz w:val="21"/>
        </w:rPr>
        <w:t>（</w:t>
      </w:r>
      <w:r>
        <w:rPr>
          <w:b/>
          <w:w w:val="99"/>
          <w:sz w:val="21"/>
        </w:rPr>
        <w:t>2018</w:t>
      </w:r>
      <w:r>
        <w:rPr>
          <w:b/>
          <w:spacing w:val="-106"/>
          <w:sz w:val="21"/>
        </w:rPr>
        <w:t>）</w:t>
      </w:r>
      <w:r>
        <w:rPr>
          <w:b/>
          <w:spacing w:val="-19"/>
          <w:sz w:val="21"/>
        </w:rPr>
        <w:t>》、《广东省通用安装工程综合定额</w:t>
      </w:r>
      <w:r>
        <w:rPr>
          <w:b/>
          <w:sz w:val="21"/>
        </w:rPr>
        <w:t>（</w:t>
      </w:r>
      <w:r>
        <w:rPr>
          <w:b/>
          <w:w w:val="99"/>
          <w:sz w:val="21"/>
        </w:rPr>
        <w:t>2018</w:t>
      </w:r>
      <w:r>
        <w:rPr>
          <w:b/>
          <w:spacing w:val="-106"/>
          <w:sz w:val="21"/>
        </w:rPr>
        <w:t>）</w:t>
      </w:r>
      <w:r>
        <w:rPr>
          <w:b/>
          <w:spacing w:val="-19"/>
          <w:sz w:val="21"/>
        </w:rPr>
        <w:t>》、《广东省园林绿化工程综合定额</w:t>
      </w:r>
      <w:r>
        <w:rPr>
          <w:b/>
          <w:sz w:val="21"/>
        </w:rPr>
        <w:t>（</w:t>
      </w:r>
      <w:r>
        <w:rPr>
          <w:b/>
          <w:w w:val="99"/>
          <w:sz w:val="21"/>
        </w:rPr>
        <w:t>2018</w:t>
      </w:r>
      <w:r>
        <w:rPr>
          <w:b/>
          <w:spacing w:val="-106"/>
          <w:sz w:val="21"/>
        </w:rPr>
        <w:t>）》</w:t>
      </w:r>
      <w:r>
        <w:rPr>
          <w:b/>
          <w:spacing w:val="-12"/>
          <w:sz w:val="21"/>
        </w:rPr>
        <w:t>及相关配套文件规定组价确定，其中人工、材料、机械价格按江门市造价管理部门发布的《江门工程造价信息》</w:t>
      </w:r>
      <w:r>
        <w:rPr>
          <w:b/>
          <w:spacing w:val="-3"/>
          <w:sz w:val="21"/>
        </w:rPr>
        <w:t>施工当月信息价（如当月信息价没出，采用最近一期信息价</w:t>
      </w:r>
      <w:r>
        <w:rPr>
          <w:b/>
          <w:spacing w:val="-113"/>
          <w:sz w:val="21"/>
        </w:rPr>
        <w:t>）</w:t>
      </w:r>
      <w:r>
        <w:rPr>
          <w:b/>
          <w:spacing w:val="-14"/>
          <w:sz w:val="21"/>
        </w:rPr>
        <w:t>，《江门工程造价信息》没有的由发、承包双方通</w:t>
      </w:r>
      <w:r>
        <w:rPr>
          <w:b/>
          <w:spacing w:val="-11"/>
          <w:sz w:val="21"/>
        </w:rPr>
        <w:t>过市场调查后与监理人三方共同确定。</w:t>
      </w:r>
    </w:p>
    <w:p>
      <w:pPr>
        <w:spacing w:line="267" w:lineRule="exact"/>
        <w:ind w:left="551"/>
        <w:rPr>
          <w:b/>
          <w:sz w:val="21"/>
        </w:rPr>
      </w:pPr>
      <w:r>
        <w:rPr>
          <w:b/>
          <w:sz w:val="21"/>
        </w:rPr>
        <w:t>承包人按上述方法确定的综合单价负责编制增加工程施工图预算后交由</w:t>
      </w:r>
      <w:r>
        <w:rPr>
          <w:rFonts w:hint="eastAsia" w:ascii="Times New Roman"/>
          <w:b/>
          <w:sz w:val="21"/>
        </w:rPr>
        <w:t>广东省气象</w:t>
      </w:r>
      <w:r>
        <w:rPr>
          <w:rFonts w:ascii="Times New Roman"/>
          <w:b/>
          <w:sz w:val="21"/>
        </w:rPr>
        <w:t>局</w:t>
      </w:r>
      <w:r>
        <w:rPr>
          <w:b/>
          <w:sz w:val="21"/>
        </w:rPr>
        <w:t>评审，以经审核后的预算价作为施工部分的增加工程合同价。</w:t>
      </w:r>
    </w:p>
    <w:p>
      <w:pPr>
        <w:spacing w:before="91" w:line="321" w:lineRule="auto"/>
        <w:ind w:left="212" w:right="552" w:firstLine="413"/>
        <w:rPr>
          <w:b/>
          <w:sz w:val="21"/>
        </w:rPr>
      </w:pPr>
      <w:r>
        <w:rPr>
          <w:b/>
          <w:spacing w:val="-6"/>
          <w:sz w:val="21"/>
        </w:rPr>
        <w:t>变更价款在确定前应按照相关文件及补充文件的规定履行报批或备案手续。并按审定金额计入工程竣</w:t>
      </w:r>
      <w:r>
        <w:rPr>
          <w:b/>
          <w:sz w:val="21"/>
        </w:rPr>
        <w:t>工结算价款。</w:t>
      </w:r>
    </w:p>
    <w:p>
      <w:pPr>
        <w:pStyle w:val="35"/>
        <w:numPr>
          <w:ilvl w:val="0"/>
          <w:numId w:val="91"/>
        </w:numPr>
        <w:tabs>
          <w:tab w:val="left" w:pos="953"/>
        </w:tabs>
        <w:spacing w:line="321" w:lineRule="auto"/>
        <w:ind w:right="444" w:firstLine="422"/>
        <w:rPr>
          <w:b/>
          <w:sz w:val="21"/>
        </w:rPr>
      </w:pPr>
      <w:r>
        <w:rPr>
          <w:b/>
          <w:spacing w:val="-1"/>
          <w:sz w:val="21"/>
        </w:rPr>
        <w:t>根据江财法【</w:t>
      </w:r>
      <w:r>
        <w:rPr>
          <w:b/>
          <w:sz w:val="21"/>
        </w:rPr>
        <w:t>2016</w:t>
      </w:r>
      <w:r>
        <w:rPr>
          <w:b/>
          <w:spacing w:val="-3"/>
          <w:sz w:val="21"/>
        </w:rPr>
        <w:t>】</w:t>
      </w:r>
      <w:r>
        <w:rPr>
          <w:b/>
          <w:sz w:val="21"/>
        </w:rPr>
        <w:t>16</w:t>
      </w:r>
      <w:r>
        <w:rPr>
          <w:b/>
          <w:spacing w:val="-8"/>
          <w:sz w:val="21"/>
        </w:rPr>
        <w:t xml:space="preserve"> 号文要求：如承包人为外县</w:t>
      </w:r>
      <w:r>
        <w:rPr>
          <w:b/>
          <w:sz w:val="21"/>
        </w:rPr>
        <w:t>（</w:t>
      </w:r>
      <w:r>
        <w:rPr>
          <w:b/>
          <w:spacing w:val="-2"/>
          <w:sz w:val="21"/>
        </w:rPr>
        <w:t>市、区</w:t>
      </w:r>
      <w:r>
        <w:rPr>
          <w:b/>
          <w:spacing w:val="-3"/>
          <w:sz w:val="21"/>
        </w:rPr>
        <w:t>）</w:t>
      </w:r>
      <w:r>
        <w:rPr>
          <w:b/>
          <w:spacing w:val="-2"/>
          <w:sz w:val="21"/>
        </w:rPr>
        <w:t>建筑施工单位的，承包人需提供增</w:t>
      </w:r>
      <w:r>
        <w:rPr>
          <w:b/>
          <w:spacing w:val="-5"/>
          <w:sz w:val="21"/>
        </w:rPr>
        <w:t>值税发票及对应销售额已在建筑服务发生地预缴税款的增值税完税凭证复印件</w:t>
      </w:r>
      <w:r>
        <w:rPr>
          <w:b/>
          <w:sz w:val="21"/>
        </w:rPr>
        <w:t>（</w:t>
      </w:r>
      <w:r>
        <w:rPr>
          <w:b/>
          <w:spacing w:val="-2"/>
          <w:sz w:val="21"/>
        </w:rPr>
        <w:t>加盖纳税人公章或项目部印章</w:t>
      </w:r>
      <w:r>
        <w:rPr>
          <w:b/>
          <w:spacing w:val="-34"/>
          <w:sz w:val="21"/>
        </w:rPr>
        <w:t>）</w:t>
      </w:r>
      <w:r>
        <w:rPr>
          <w:b/>
          <w:spacing w:val="-10"/>
          <w:sz w:val="21"/>
        </w:rPr>
        <w:t>及对应的《增值税预缴税款表》复印件</w:t>
      </w:r>
      <w:r>
        <w:rPr>
          <w:b/>
          <w:sz w:val="21"/>
        </w:rPr>
        <w:t>（</w:t>
      </w:r>
      <w:r>
        <w:rPr>
          <w:b/>
          <w:spacing w:val="-2"/>
          <w:sz w:val="21"/>
        </w:rPr>
        <w:t>加盖纳税人公章</w:t>
      </w:r>
      <w:r>
        <w:rPr>
          <w:b/>
          <w:spacing w:val="-34"/>
          <w:sz w:val="21"/>
        </w:rPr>
        <w:t>）</w:t>
      </w:r>
      <w:r>
        <w:rPr>
          <w:b/>
          <w:spacing w:val="-4"/>
          <w:sz w:val="21"/>
        </w:rPr>
        <w:t xml:space="preserve">给发包人作为支付工程款项的必备资料， </w:t>
      </w:r>
      <w:r>
        <w:rPr>
          <w:b/>
          <w:spacing w:val="-3"/>
          <w:sz w:val="21"/>
        </w:rPr>
        <w:t>并报</w:t>
      </w:r>
      <w:r>
        <w:rPr>
          <w:rFonts w:hint="eastAsia"/>
          <w:b/>
          <w:spacing w:val="-3"/>
          <w:sz w:val="21"/>
        </w:rPr>
        <w:t>广东省气象</w:t>
      </w:r>
      <w:r>
        <w:rPr>
          <w:b/>
          <w:spacing w:val="-3"/>
          <w:sz w:val="21"/>
        </w:rPr>
        <w:t>局审核，确认预缴税款已完税后再支付工程款。</w:t>
      </w:r>
    </w:p>
    <w:p>
      <w:pPr>
        <w:pStyle w:val="35"/>
        <w:numPr>
          <w:ilvl w:val="0"/>
          <w:numId w:val="91"/>
        </w:numPr>
        <w:tabs>
          <w:tab w:val="left" w:pos="955"/>
        </w:tabs>
        <w:spacing w:line="321" w:lineRule="auto"/>
        <w:ind w:right="553" w:firstLine="422"/>
        <w:jc w:val="both"/>
        <w:rPr>
          <w:b/>
          <w:sz w:val="21"/>
        </w:rPr>
      </w:pPr>
      <w:r>
        <w:rPr>
          <w:b/>
          <w:spacing w:val="-10"/>
          <w:sz w:val="21"/>
        </w:rPr>
        <w:t>根据《广东省建设领域工人工资支付分账管理暂行办法》、《江门市建筑施工企业工资保证金制度</w:t>
      </w:r>
      <w:r>
        <w:rPr>
          <w:b/>
          <w:spacing w:val="-12"/>
          <w:sz w:val="21"/>
        </w:rPr>
        <w:t>管理办法》，承包人在签订工程承包合同后，按相关规定支付农民工工资。</w:t>
      </w:r>
    </w:p>
    <w:p>
      <w:pPr>
        <w:pStyle w:val="35"/>
        <w:numPr>
          <w:ilvl w:val="0"/>
          <w:numId w:val="91"/>
        </w:numPr>
        <w:tabs>
          <w:tab w:val="left" w:pos="900"/>
        </w:tabs>
        <w:spacing w:line="237" w:lineRule="exact"/>
        <w:ind w:left="899" w:hanging="265"/>
        <w:jc w:val="both"/>
        <w:rPr>
          <w:b/>
          <w:sz w:val="21"/>
        </w:rPr>
      </w:pPr>
      <w:r>
        <w:rPr>
          <w:b/>
          <w:sz w:val="21"/>
        </w:rPr>
        <w:t>发包人的设计文件规定</w:t>
      </w:r>
    </w:p>
    <w:p>
      <w:pPr>
        <w:pStyle w:val="35"/>
        <w:numPr>
          <w:ilvl w:val="1"/>
          <w:numId w:val="91"/>
        </w:numPr>
        <w:tabs>
          <w:tab w:val="left" w:pos="1050"/>
        </w:tabs>
        <w:spacing w:before="126" w:line="374" w:lineRule="auto"/>
        <w:ind w:right="494" w:firstLine="413"/>
        <w:jc w:val="both"/>
        <w:rPr>
          <w:b/>
          <w:sz w:val="21"/>
        </w:rPr>
      </w:pPr>
      <w:r>
        <w:rPr>
          <w:b/>
          <w:spacing w:val="-3"/>
          <w:sz w:val="21"/>
        </w:rPr>
        <w:t>、工程各阶段设计应达到建设部《建筑工程设计文件编制深度规定</w:t>
      </w:r>
      <w:r>
        <w:rPr>
          <w:b/>
          <w:sz w:val="21"/>
        </w:rPr>
        <w:t>（2016</w:t>
      </w:r>
      <w:r>
        <w:rPr>
          <w:b/>
          <w:spacing w:val="-16"/>
          <w:sz w:val="21"/>
        </w:rPr>
        <w:t xml:space="preserve"> 年版</w:t>
      </w:r>
      <w:r>
        <w:rPr>
          <w:b/>
          <w:spacing w:val="-106"/>
          <w:sz w:val="21"/>
        </w:rPr>
        <w:t>）</w:t>
      </w:r>
      <w:r>
        <w:rPr>
          <w:b/>
          <w:spacing w:val="-1"/>
          <w:sz w:val="21"/>
        </w:rPr>
        <w:t>》相应设计阶段</w:t>
      </w:r>
      <w:r>
        <w:rPr>
          <w:b/>
          <w:spacing w:val="-7"/>
          <w:sz w:val="21"/>
        </w:rPr>
        <w:t>的要求。发包人有权指导和审查由承包人根据发包人要求完成的各阶段方案深化和优化设计、初步设计和</w:t>
      </w:r>
      <w:r>
        <w:rPr>
          <w:b/>
          <w:spacing w:val="-10"/>
          <w:sz w:val="21"/>
        </w:rPr>
        <w:t>施工图设计，并给出审核意见，承包人需及时进行修改和优化，但发包人的审查并不免除承包人所应承担的任何责任。因承包人原因，造成设计文件存在遗漏、错误、缺陷和不足的，承包人应自费修复、弥补、</w:t>
      </w:r>
      <w:r>
        <w:rPr>
          <w:b/>
          <w:spacing w:val="-6"/>
          <w:sz w:val="21"/>
        </w:rPr>
        <w:t>纠正和完善。造成工程质量事故损失或设计进度延误时，除应自费采取措施补救外，工期不予顺延。发包人要求中有违反有关设计规范及地方性规章的，承包人应修正</w:t>
      </w:r>
      <w:r>
        <w:rPr>
          <w:b/>
          <w:color w:val="0070C0"/>
          <w:spacing w:val="-6"/>
          <w:sz w:val="21"/>
          <w:highlight w:val="yellow"/>
        </w:rPr>
        <w:t>并按照修正后的方案进行施工，且</w:t>
      </w:r>
      <w:r>
        <w:rPr>
          <w:b/>
          <w:spacing w:val="-6"/>
          <w:sz w:val="21"/>
          <w:highlight w:val="yellow"/>
        </w:rPr>
        <w:t>不</w:t>
      </w:r>
      <w:r>
        <w:rPr>
          <w:b/>
          <w:spacing w:val="-6"/>
          <w:sz w:val="21"/>
        </w:rPr>
        <w:t>作为承包人增加费用的原因。</w:t>
      </w:r>
    </w:p>
    <w:p>
      <w:pPr>
        <w:pStyle w:val="35"/>
        <w:numPr>
          <w:ilvl w:val="1"/>
          <w:numId w:val="91"/>
        </w:numPr>
        <w:tabs>
          <w:tab w:val="left" w:pos="1060"/>
        </w:tabs>
        <w:spacing w:before="33"/>
        <w:ind w:left="1059" w:hanging="425"/>
        <w:rPr>
          <w:b/>
          <w:sz w:val="21"/>
        </w:rPr>
      </w:pPr>
      <w:r>
        <w:rPr>
          <w:b/>
          <w:spacing w:val="-1"/>
          <w:sz w:val="21"/>
        </w:rPr>
        <w:t>、方案设计、深化阶段：</w:t>
      </w:r>
    </w:p>
    <w:p>
      <w:pPr>
        <w:pStyle w:val="10"/>
        <w:rPr>
          <w:b/>
          <w:sz w:val="15"/>
        </w:rPr>
      </w:pPr>
    </w:p>
    <w:p>
      <w:pPr>
        <w:ind w:left="635"/>
        <w:rPr>
          <w:b/>
          <w:sz w:val="21"/>
        </w:rPr>
      </w:pPr>
      <w:r>
        <w:rPr>
          <w:b/>
          <w:sz w:val="21"/>
        </w:rPr>
        <w:t>承包人提供的初步设计方案需经发包人确认并经有关部门批准后方可进行下一阶段的设计工作。</w:t>
      </w:r>
    </w:p>
    <w:p>
      <w:pPr>
        <w:pStyle w:val="10"/>
        <w:spacing w:before="10"/>
        <w:rPr>
          <w:b/>
          <w:sz w:val="14"/>
        </w:rPr>
      </w:pPr>
    </w:p>
    <w:p>
      <w:pPr>
        <w:spacing w:line="410" w:lineRule="auto"/>
        <w:ind w:left="212" w:right="494" w:firstLine="422"/>
        <w:jc w:val="both"/>
        <w:rPr>
          <w:b/>
          <w:sz w:val="21"/>
        </w:rPr>
      </w:pPr>
      <w:r>
        <w:rPr>
          <w:b/>
          <w:spacing w:val="-6"/>
          <w:sz w:val="21"/>
        </w:rPr>
        <w:t>对承包人的设计方案进行调整、深化和优化,提供完整的设计方案及效果图,直至取得发包人确认，并</w:t>
      </w:r>
      <w:r>
        <w:rPr>
          <w:b/>
          <w:spacing w:val="-7"/>
          <w:sz w:val="21"/>
        </w:rPr>
        <w:t>无条件接受发包人对承包人设计方案的调整或深化，且本阶段各专业的设计和深度须满足现行国家、省、</w:t>
      </w:r>
      <w:r>
        <w:rPr>
          <w:b/>
          <w:spacing w:val="-3"/>
          <w:sz w:val="21"/>
        </w:rPr>
        <w:t>市有关规范、规定、标准以及有关职能审批部门和行业主管部门的要求。</w:t>
      </w:r>
    </w:p>
    <w:p>
      <w:pPr>
        <w:pStyle w:val="35"/>
        <w:numPr>
          <w:ilvl w:val="1"/>
          <w:numId w:val="92"/>
        </w:numPr>
        <w:tabs>
          <w:tab w:val="left" w:pos="1165"/>
        </w:tabs>
        <w:ind w:hanging="530"/>
        <w:rPr>
          <w:b/>
          <w:sz w:val="21"/>
        </w:rPr>
      </w:pPr>
      <w:r>
        <w:rPr>
          <w:b/>
          <w:sz w:val="21"/>
        </w:rPr>
        <w:t>初步设计阶段</w:t>
      </w:r>
    </w:p>
    <w:p>
      <w:pPr>
        <w:pStyle w:val="10"/>
        <w:spacing w:before="12"/>
        <w:rPr>
          <w:b/>
          <w:sz w:val="14"/>
        </w:rPr>
      </w:pPr>
    </w:p>
    <w:p>
      <w:pPr>
        <w:pStyle w:val="35"/>
        <w:numPr>
          <w:ilvl w:val="2"/>
          <w:numId w:val="92"/>
        </w:numPr>
        <w:tabs>
          <w:tab w:val="left" w:pos="1325"/>
        </w:tabs>
        <w:spacing w:line="410" w:lineRule="auto"/>
        <w:ind w:right="548" w:firstLine="422"/>
        <w:jc w:val="both"/>
        <w:rPr>
          <w:b/>
          <w:sz w:val="21"/>
        </w:rPr>
      </w:pPr>
      <w:r>
        <w:rPr>
          <w:b/>
          <w:spacing w:val="-6"/>
          <w:sz w:val="21"/>
        </w:rPr>
        <w:t xml:space="preserve">根据方案完成各专业全套初步设计图纸，提供完整的初步设计图和概算各 </w:t>
      </w:r>
      <w:r>
        <w:rPr>
          <w:b/>
          <w:sz w:val="21"/>
        </w:rPr>
        <w:t>10</w:t>
      </w:r>
      <w:r>
        <w:rPr>
          <w:b/>
          <w:spacing w:val="-8"/>
          <w:sz w:val="21"/>
        </w:rPr>
        <w:t xml:space="preserve"> 套，直至取得发</w:t>
      </w:r>
      <w:r>
        <w:rPr>
          <w:b/>
          <w:spacing w:val="-11"/>
          <w:sz w:val="21"/>
        </w:rPr>
        <w:t>包人确认，且本阶段各专业的设计和深度必须满足现行国家、省、江门市有关规范、规定、标准以及有关</w:t>
      </w:r>
      <w:r>
        <w:rPr>
          <w:b/>
          <w:spacing w:val="-10"/>
          <w:sz w:val="21"/>
        </w:rPr>
        <w:t>职能审批部门行业主管部门的要求。</w:t>
      </w:r>
    </w:p>
    <w:p>
      <w:pPr>
        <w:pStyle w:val="35"/>
        <w:numPr>
          <w:ilvl w:val="2"/>
          <w:numId w:val="92"/>
        </w:numPr>
        <w:tabs>
          <w:tab w:val="left" w:pos="1325"/>
        </w:tabs>
        <w:spacing w:line="211" w:lineRule="exact"/>
        <w:ind w:left="1324" w:hanging="690"/>
        <w:rPr>
          <w:b/>
          <w:sz w:val="21"/>
        </w:rPr>
      </w:pPr>
      <w:r>
        <w:rPr>
          <w:b/>
          <w:spacing w:val="-3"/>
          <w:sz w:val="21"/>
        </w:rPr>
        <w:t>完成工程初步设计概算，通过有关部门评审审批，并最终确定概算总投资计划。</w:t>
      </w:r>
    </w:p>
    <w:p>
      <w:pPr>
        <w:pStyle w:val="10"/>
        <w:spacing w:before="1"/>
        <w:rPr>
          <w:b/>
          <w:sz w:val="20"/>
        </w:rPr>
      </w:pPr>
    </w:p>
    <w:p>
      <w:pPr>
        <w:pStyle w:val="35"/>
        <w:numPr>
          <w:ilvl w:val="2"/>
          <w:numId w:val="92"/>
        </w:numPr>
        <w:tabs>
          <w:tab w:val="left" w:pos="1378"/>
        </w:tabs>
        <w:spacing w:line="410" w:lineRule="auto"/>
        <w:ind w:right="551" w:firstLine="422"/>
        <w:jc w:val="both"/>
        <w:rPr>
          <w:b/>
          <w:sz w:val="21"/>
        </w:rPr>
      </w:pPr>
      <w:r>
        <w:rPr>
          <w:b/>
          <w:spacing w:val="-1"/>
          <w:sz w:val="21"/>
        </w:rPr>
        <w:t>初步设计文件完成后，送发包人审查认可并通过相关政府职能部门批准，且本阶段各专业的</w:t>
      </w:r>
      <w:r>
        <w:rPr>
          <w:b/>
          <w:spacing w:val="-6"/>
          <w:sz w:val="21"/>
        </w:rPr>
        <w:t>设计和深度须满足现行国家、省、江门市有关规范、规定、标准以及有关职能审批部门和行业主管部门的要求。</w:t>
      </w:r>
    </w:p>
    <w:p>
      <w:pPr>
        <w:pStyle w:val="35"/>
        <w:numPr>
          <w:ilvl w:val="2"/>
          <w:numId w:val="92"/>
        </w:numPr>
        <w:tabs>
          <w:tab w:val="left" w:pos="1325"/>
        </w:tabs>
        <w:spacing w:line="212" w:lineRule="exact"/>
        <w:ind w:left="1324" w:hanging="690"/>
        <w:rPr>
          <w:b/>
          <w:sz w:val="21"/>
        </w:rPr>
      </w:pPr>
      <w:r>
        <w:rPr>
          <w:b/>
          <w:spacing w:val="-3"/>
          <w:sz w:val="21"/>
        </w:rPr>
        <w:t>初步设计文件取得政府相关主管部门同意批文，视为本阶段工作完成。</w:t>
      </w:r>
    </w:p>
    <w:p>
      <w:pPr>
        <w:pStyle w:val="10"/>
        <w:spacing w:before="6"/>
        <w:rPr>
          <w:b/>
          <w:sz w:val="15"/>
        </w:rPr>
      </w:pPr>
    </w:p>
    <w:p>
      <w:pPr>
        <w:pStyle w:val="35"/>
        <w:numPr>
          <w:ilvl w:val="1"/>
          <w:numId w:val="93"/>
        </w:numPr>
        <w:tabs>
          <w:tab w:val="left" w:pos="1060"/>
        </w:tabs>
        <w:spacing w:before="1"/>
        <w:ind w:hanging="425"/>
        <w:rPr>
          <w:b/>
          <w:sz w:val="21"/>
        </w:rPr>
      </w:pPr>
      <w:r>
        <w:rPr>
          <w:b/>
          <w:sz w:val="21"/>
        </w:rPr>
        <w:t>、施工图设计阶段</w:t>
      </w:r>
    </w:p>
    <w:p>
      <w:pPr>
        <w:pStyle w:val="10"/>
        <w:spacing w:before="6"/>
        <w:rPr>
          <w:b/>
          <w:sz w:val="15"/>
        </w:rPr>
      </w:pPr>
    </w:p>
    <w:p>
      <w:pPr>
        <w:pStyle w:val="35"/>
        <w:numPr>
          <w:ilvl w:val="2"/>
          <w:numId w:val="93"/>
        </w:numPr>
        <w:tabs>
          <w:tab w:val="left" w:pos="1378"/>
        </w:tabs>
        <w:spacing w:before="59" w:line="417" w:lineRule="auto"/>
        <w:ind w:right="552" w:firstLine="422"/>
        <w:jc w:val="both"/>
        <w:rPr>
          <w:b/>
          <w:sz w:val="21"/>
        </w:rPr>
      </w:pPr>
      <w:r>
        <w:rPr>
          <w:b/>
          <w:spacing w:val="-1"/>
          <w:sz w:val="21"/>
        </w:rPr>
        <w:t>完成全部专业全套施工图纸设计，且设计深度必须满足现行国家、省及江门市关于施工图编</w:t>
      </w:r>
      <w:r>
        <w:rPr>
          <w:b/>
          <w:sz w:val="21"/>
        </w:rPr>
        <w:t>制的要求；</w:t>
      </w:r>
      <w:r>
        <w:rPr>
          <w:b/>
          <w:spacing w:val="-7"/>
          <w:sz w:val="21"/>
        </w:rPr>
        <w:t>承包人需严格按发包人书面提供的建筑安装工程费进行限额控制、设计和施工图预算编制</w:t>
      </w:r>
      <w:r>
        <w:rPr>
          <w:b/>
          <w:sz w:val="21"/>
        </w:rPr>
        <w:t>（</w:t>
      </w:r>
      <w:r>
        <w:rPr>
          <w:b/>
          <w:spacing w:val="-11"/>
          <w:sz w:val="21"/>
        </w:rPr>
        <w:t>施</w:t>
      </w:r>
      <w:r>
        <w:rPr>
          <w:b/>
          <w:sz w:val="21"/>
        </w:rPr>
        <w:t>工图预算必须由承包人的注册造价工程师签字盖章认可</w:t>
      </w:r>
      <w:r>
        <w:rPr>
          <w:b/>
          <w:spacing w:val="-106"/>
          <w:sz w:val="21"/>
        </w:rPr>
        <w:t>）</w:t>
      </w:r>
      <w:r>
        <w:rPr>
          <w:b/>
          <w:sz w:val="21"/>
        </w:rPr>
        <w:t>，如</w:t>
      </w:r>
      <w:r>
        <w:rPr>
          <w:rFonts w:hint="eastAsia"/>
          <w:b/>
          <w:sz w:val="21"/>
        </w:rPr>
        <w:t>广东省气象局</w:t>
      </w:r>
      <w:r>
        <w:rPr>
          <w:b/>
          <w:spacing w:val="1"/>
          <w:sz w:val="21"/>
        </w:rPr>
        <w:t>审核</w:t>
      </w:r>
      <w:r>
        <w:rPr>
          <w:b/>
          <w:spacing w:val="-11"/>
          <w:sz w:val="21"/>
        </w:rPr>
        <w:t>的</w:t>
      </w:r>
      <w:r>
        <w:rPr>
          <w:b/>
          <w:spacing w:val="-6"/>
          <w:sz w:val="21"/>
        </w:rPr>
        <w:t>施工图预算超过该数额及批准的工程总概算中建安工程费额，承包人应无条件调整设计，确保概算控制预</w:t>
      </w:r>
      <w:r>
        <w:rPr>
          <w:b/>
          <w:spacing w:val="-3"/>
          <w:sz w:val="21"/>
        </w:rPr>
        <w:t>算；发包人有权根据实际需要调整设计限额，另行书面通知为准。</w:t>
      </w:r>
    </w:p>
    <w:p>
      <w:pPr>
        <w:pStyle w:val="35"/>
        <w:numPr>
          <w:ilvl w:val="1"/>
          <w:numId w:val="92"/>
        </w:numPr>
        <w:tabs>
          <w:tab w:val="left" w:pos="1260"/>
        </w:tabs>
        <w:spacing w:line="417" w:lineRule="auto"/>
        <w:ind w:left="212" w:right="494" w:firstLine="422"/>
        <w:jc w:val="both"/>
        <w:rPr>
          <w:b/>
          <w:sz w:val="21"/>
        </w:rPr>
      </w:pPr>
      <w:r>
        <w:rPr>
          <w:b/>
          <w:sz w:val="21"/>
        </w:rPr>
        <w:t>3</w:t>
      </w:r>
      <w:r>
        <w:rPr>
          <w:b/>
          <w:spacing w:val="-8"/>
          <w:sz w:val="21"/>
        </w:rPr>
        <w:t xml:space="preserve"> 施工图设计文件完成后，送发包人审查认可并通过相关政府主管部门批准和行业主管部门认</w:t>
      </w:r>
      <w:r>
        <w:rPr>
          <w:b/>
          <w:spacing w:val="-9"/>
          <w:sz w:val="21"/>
        </w:rPr>
        <w:t>可的施工图审查单位审查，并获得施工图审查合格证，且本阶段各专业的设计深度须满足现行国家、省、</w:t>
      </w:r>
      <w:r>
        <w:rPr>
          <w:b/>
          <w:spacing w:val="-3"/>
          <w:sz w:val="21"/>
        </w:rPr>
        <w:t>市有关规范、规定、标准以及有关职能审批部门和行业主管部门的要求。</w:t>
      </w:r>
    </w:p>
    <w:p>
      <w:pPr>
        <w:spacing w:line="417" w:lineRule="auto"/>
        <w:ind w:left="212" w:right="555" w:firstLine="422"/>
        <w:jc w:val="both"/>
        <w:rPr>
          <w:b/>
          <w:sz w:val="21"/>
        </w:rPr>
      </w:pPr>
      <w:r>
        <w:rPr>
          <w:b/>
          <w:sz w:val="21"/>
        </w:rPr>
        <w:t>27.4.4 施工图设计文件取得政府相关主管部门同意批文和施工图审查单位的审查合格证，并按相关规定提供施工图设计成果 16 套和施工图预算 5 套后，视为本阶段工作完成。</w:t>
      </w:r>
    </w:p>
    <w:p>
      <w:pPr>
        <w:pStyle w:val="35"/>
        <w:numPr>
          <w:ilvl w:val="1"/>
          <w:numId w:val="93"/>
        </w:numPr>
        <w:tabs>
          <w:tab w:val="left" w:pos="1060"/>
        </w:tabs>
        <w:ind w:hanging="425"/>
        <w:rPr>
          <w:b/>
          <w:sz w:val="21"/>
        </w:rPr>
      </w:pPr>
      <w:r>
        <w:rPr>
          <w:b/>
          <w:sz w:val="21"/>
        </w:rPr>
        <w:t>、设计深度要求</w:t>
      </w:r>
    </w:p>
    <w:p>
      <w:pPr>
        <w:pStyle w:val="10"/>
        <w:spacing w:before="6"/>
        <w:rPr>
          <w:b/>
          <w:sz w:val="15"/>
        </w:rPr>
      </w:pPr>
    </w:p>
    <w:p>
      <w:pPr>
        <w:pStyle w:val="35"/>
        <w:numPr>
          <w:ilvl w:val="2"/>
          <w:numId w:val="93"/>
        </w:numPr>
        <w:tabs>
          <w:tab w:val="left" w:pos="1325"/>
        </w:tabs>
        <w:spacing w:before="1" w:line="417" w:lineRule="auto"/>
        <w:ind w:right="551" w:firstLine="422"/>
        <w:rPr>
          <w:b/>
          <w:sz w:val="21"/>
        </w:rPr>
      </w:pPr>
      <w:r>
        <w:rPr>
          <w:b/>
          <w:spacing w:val="-2"/>
          <w:sz w:val="21"/>
        </w:rPr>
        <w:t>中标后设计工作包括方案深化设计</w:t>
      </w:r>
      <w:r>
        <w:rPr>
          <w:b/>
          <w:sz w:val="21"/>
        </w:rPr>
        <w:t>（</w:t>
      </w:r>
      <w:r>
        <w:rPr>
          <w:b/>
          <w:spacing w:val="-3"/>
          <w:sz w:val="21"/>
        </w:rPr>
        <w:t>含设计概算编制</w:t>
      </w:r>
      <w:r>
        <w:rPr>
          <w:b/>
          <w:spacing w:val="-106"/>
          <w:sz w:val="21"/>
        </w:rPr>
        <w:t>）</w:t>
      </w:r>
      <w:r>
        <w:rPr>
          <w:b/>
          <w:spacing w:val="-1"/>
          <w:sz w:val="21"/>
        </w:rPr>
        <w:t>、施工图设计</w:t>
      </w:r>
      <w:r>
        <w:rPr>
          <w:b/>
          <w:spacing w:val="-3"/>
          <w:sz w:val="21"/>
        </w:rPr>
        <w:t>（</w:t>
      </w:r>
      <w:r>
        <w:rPr>
          <w:b/>
          <w:sz w:val="21"/>
        </w:rPr>
        <w:t>含施工图预算编制</w:t>
      </w:r>
      <w:r>
        <w:rPr>
          <w:b/>
          <w:spacing w:val="-106"/>
          <w:sz w:val="21"/>
        </w:rPr>
        <w:t>）</w:t>
      </w:r>
      <w:r>
        <w:rPr>
          <w:b/>
          <w:sz w:val="21"/>
        </w:rPr>
        <w:t>、</w:t>
      </w:r>
      <w:r>
        <w:rPr>
          <w:b/>
          <w:spacing w:val="-8"/>
          <w:sz w:val="21"/>
        </w:rPr>
        <w:t>施工期配合服务、后期采购咨询服务、专业设计配合服务及完成竣工图编制和审核及相关配合设计服务等阶段，承包人应完成各阶段的全部设计工作，并无偿承担各阶段深化优化设计及政府相关主管部门和审查</w:t>
      </w:r>
      <w:r>
        <w:rPr>
          <w:b/>
          <w:spacing w:val="-10"/>
          <w:sz w:val="21"/>
        </w:rPr>
        <w:t>部门审查批准而出现的反复调整和修改的工作责任。在设计工作过程和成果审查审批过程中，承包人应与</w:t>
      </w:r>
      <w:r>
        <w:rPr>
          <w:b/>
          <w:spacing w:val="-11"/>
          <w:sz w:val="21"/>
        </w:rPr>
        <w:t>发包人密切配合，充分尊重发包人的意见和建议，根据相关修改意见和建议对设计成果进行及时调整和深</w:t>
      </w:r>
      <w:r>
        <w:rPr>
          <w:b/>
          <w:spacing w:val="-10"/>
          <w:sz w:val="21"/>
        </w:rPr>
        <w:t>化优化，达到双方认可的最佳效果。各阶段设计图纸必须按现行国家建筑设计技术规范、建设工程质量管理</w:t>
      </w:r>
      <w:r>
        <w:rPr>
          <w:b/>
          <w:spacing w:val="-13"/>
          <w:sz w:val="21"/>
        </w:rPr>
        <w:t>条例、《建设工程勘察设计管理条例》以及国家和地方有关工程设计管理法规、规章和规定，并满足江门</w:t>
      </w:r>
      <w:r>
        <w:rPr>
          <w:b/>
          <w:spacing w:val="-11"/>
          <w:sz w:val="21"/>
        </w:rPr>
        <w:t>市相关规划、建设主管部门审批的相关审批要求。</w:t>
      </w:r>
    </w:p>
    <w:p>
      <w:pPr>
        <w:pStyle w:val="35"/>
        <w:numPr>
          <w:ilvl w:val="2"/>
          <w:numId w:val="93"/>
        </w:numPr>
        <w:tabs>
          <w:tab w:val="left" w:pos="1325"/>
        </w:tabs>
        <w:spacing w:line="417" w:lineRule="auto"/>
        <w:ind w:right="549" w:firstLine="422"/>
        <w:rPr>
          <w:b/>
          <w:sz w:val="21"/>
        </w:rPr>
      </w:pPr>
      <w:r>
        <w:rPr>
          <w:b/>
          <w:spacing w:val="-3"/>
          <w:sz w:val="21"/>
        </w:rPr>
        <w:t>各阶段设计图纸必须满足中华人民共和国现行国家、行业及工程所在地的地方规范、规程、</w:t>
      </w:r>
      <w:r>
        <w:rPr>
          <w:b/>
          <w:spacing w:val="-9"/>
          <w:sz w:val="21"/>
        </w:rPr>
        <w:t>标准，符合环保、节能、绿色建筑标识等要求，并满足江门市相关规划、建设主管部门审批的相关审批要</w:t>
      </w:r>
      <w:r>
        <w:rPr>
          <w:b/>
          <w:spacing w:val="-11"/>
          <w:sz w:val="21"/>
        </w:rPr>
        <w:t>求。当上述规范、规程、标准存在不一致时，约定采用的规范、规程、标准应按较高标准执行，除非当地</w:t>
      </w:r>
      <w:r>
        <w:rPr>
          <w:b/>
          <w:spacing w:val="-3"/>
          <w:sz w:val="21"/>
        </w:rPr>
        <w:t>相关部门另有规定。若超出中华人民共和国国内规范、规程、标准，应进行技术论证。</w:t>
      </w:r>
    </w:p>
    <w:p>
      <w:pPr>
        <w:pStyle w:val="35"/>
        <w:numPr>
          <w:ilvl w:val="2"/>
          <w:numId w:val="93"/>
        </w:numPr>
        <w:tabs>
          <w:tab w:val="left" w:pos="1378"/>
        </w:tabs>
        <w:spacing w:line="417" w:lineRule="auto"/>
        <w:ind w:right="595" w:firstLine="422"/>
        <w:rPr>
          <w:b/>
          <w:sz w:val="21"/>
        </w:rPr>
      </w:pPr>
      <w:r>
        <w:rPr>
          <w:b/>
          <w:spacing w:val="-4"/>
          <w:sz w:val="21"/>
        </w:rPr>
        <w:t>所有图纸设计深度应满足中华人民共和国国家、广东省、江门市有关工程设计文件编制深度</w:t>
      </w:r>
      <w:r>
        <w:rPr>
          <w:b/>
          <w:spacing w:val="-2"/>
          <w:sz w:val="21"/>
        </w:rPr>
        <w:t>规定及编制施工图预算要求。</w:t>
      </w:r>
    </w:p>
    <w:p>
      <w:pPr>
        <w:pStyle w:val="35"/>
        <w:numPr>
          <w:ilvl w:val="2"/>
          <w:numId w:val="93"/>
        </w:numPr>
        <w:tabs>
          <w:tab w:val="left" w:pos="1378"/>
        </w:tabs>
        <w:spacing w:line="269" w:lineRule="exact"/>
        <w:ind w:left="1377" w:hanging="743"/>
        <w:rPr>
          <w:b/>
          <w:sz w:val="21"/>
        </w:rPr>
      </w:pPr>
      <w:r>
        <w:rPr>
          <w:b/>
          <w:spacing w:val="-2"/>
          <w:sz w:val="21"/>
        </w:rPr>
        <w:t>承包人提供的设计成果</w:t>
      </w:r>
    </w:p>
    <w:p>
      <w:pPr>
        <w:pStyle w:val="10"/>
        <w:spacing w:before="7"/>
        <w:rPr>
          <w:b/>
          <w:sz w:val="7"/>
        </w:rPr>
      </w:pPr>
    </w:p>
    <w:tbl>
      <w:tblPr>
        <w:tblStyle w:val="24"/>
        <w:tblW w:w="8907"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3533"/>
        <w:gridCol w:w="1135"/>
        <w:gridCol w:w="2592"/>
        <w:gridCol w:w="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9" w:hRule="atLeast"/>
        </w:trPr>
        <w:tc>
          <w:tcPr>
            <w:tcW w:w="720" w:type="dxa"/>
          </w:tcPr>
          <w:p>
            <w:pPr>
              <w:pStyle w:val="36"/>
              <w:spacing w:before="116"/>
              <w:ind w:left="107"/>
              <w:rPr>
                <w:b/>
                <w:sz w:val="21"/>
              </w:rPr>
            </w:pPr>
            <w:r>
              <w:rPr>
                <w:b/>
                <w:sz w:val="21"/>
              </w:rPr>
              <w:t>序号</w:t>
            </w:r>
          </w:p>
        </w:tc>
        <w:tc>
          <w:tcPr>
            <w:tcW w:w="3533" w:type="dxa"/>
          </w:tcPr>
          <w:p>
            <w:pPr>
              <w:pStyle w:val="36"/>
              <w:spacing w:before="116"/>
              <w:ind w:left="1027"/>
              <w:rPr>
                <w:b/>
                <w:sz w:val="21"/>
              </w:rPr>
            </w:pPr>
            <w:r>
              <w:rPr>
                <w:b/>
                <w:sz w:val="21"/>
              </w:rPr>
              <w:t>资料及文件名称</w:t>
            </w:r>
          </w:p>
        </w:tc>
        <w:tc>
          <w:tcPr>
            <w:tcW w:w="1135" w:type="dxa"/>
          </w:tcPr>
          <w:p>
            <w:pPr>
              <w:pStyle w:val="36"/>
              <w:spacing w:before="116"/>
              <w:ind w:left="111"/>
              <w:rPr>
                <w:b/>
                <w:sz w:val="21"/>
              </w:rPr>
            </w:pPr>
            <w:r>
              <w:rPr>
                <w:b/>
                <w:sz w:val="21"/>
              </w:rPr>
              <w:t>份数</w:t>
            </w:r>
          </w:p>
        </w:tc>
        <w:tc>
          <w:tcPr>
            <w:tcW w:w="2592" w:type="dxa"/>
          </w:tcPr>
          <w:p>
            <w:pPr>
              <w:pStyle w:val="36"/>
              <w:spacing w:before="116"/>
              <w:ind w:left="855" w:right="843"/>
              <w:jc w:val="center"/>
              <w:rPr>
                <w:b/>
                <w:sz w:val="21"/>
              </w:rPr>
            </w:pPr>
            <w:r>
              <w:rPr>
                <w:b/>
                <w:sz w:val="21"/>
              </w:rPr>
              <w:t>提交日期</w:t>
            </w:r>
          </w:p>
        </w:tc>
        <w:tc>
          <w:tcPr>
            <w:tcW w:w="927" w:type="dxa"/>
          </w:tcPr>
          <w:p>
            <w:pPr>
              <w:pStyle w:val="36"/>
              <w:spacing w:before="116"/>
              <w:ind w:left="109"/>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20" w:type="dxa"/>
            <w:vMerge w:val="restart"/>
          </w:tcPr>
          <w:p>
            <w:pPr>
              <w:pStyle w:val="36"/>
              <w:rPr>
                <w:b/>
                <w:sz w:val="20"/>
              </w:rPr>
            </w:pPr>
          </w:p>
          <w:p>
            <w:pPr>
              <w:pStyle w:val="36"/>
              <w:rPr>
                <w:b/>
                <w:sz w:val="20"/>
              </w:rPr>
            </w:pPr>
          </w:p>
          <w:p>
            <w:pPr>
              <w:pStyle w:val="36"/>
              <w:spacing w:before="163"/>
              <w:ind w:left="10"/>
              <w:jc w:val="center"/>
              <w:rPr>
                <w:b/>
                <w:sz w:val="21"/>
              </w:rPr>
            </w:pPr>
            <w:r>
              <w:rPr>
                <w:b/>
                <w:w w:val="99"/>
                <w:sz w:val="21"/>
              </w:rPr>
              <w:t>1</w:t>
            </w:r>
          </w:p>
        </w:tc>
        <w:tc>
          <w:tcPr>
            <w:tcW w:w="3533" w:type="dxa"/>
          </w:tcPr>
          <w:p>
            <w:pPr>
              <w:pStyle w:val="36"/>
              <w:spacing w:before="22"/>
              <w:ind w:left="108"/>
              <w:rPr>
                <w:b/>
                <w:sz w:val="21"/>
              </w:rPr>
            </w:pPr>
            <w:r>
              <w:rPr>
                <w:b/>
                <w:sz w:val="21"/>
              </w:rPr>
              <w:t>初步设计文件（含初步设计说明及各</w:t>
            </w:r>
          </w:p>
          <w:p>
            <w:pPr>
              <w:pStyle w:val="36"/>
              <w:spacing w:before="43"/>
              <w:ind w:left="108"/>
              <w:rPr>
                <w:b/>
                <w:sz w:val="21"/>
              </w:rPr>
            </w:pPr>
            <w:r>
              <w:rPr>
                <w:b/>
                <w:sz w:val="21"/>
              </w:rPr>
              <w:t>专业图纸）</w:t>
            </w:r>
          </w:p>
        </w:tc>
        <w:tc>
          <w:tcPr>
            <w:tcW w:w="1135" w:type="dxa"/>
          </w:tcPr>
          <w:p>
            <w:pPr>
              <w:pStyle w:val="36"/>
              <w:spacing w:before="178"/>
              <w:ind w:right="449"/>
              <w:jc w:val="right"/>
              <w:rPr>
                <w:b/>
                <w:sz w:val="21"/>
              </w:rPr>
            </w:pPr>
            <w:r>
              <w:rPr>
                <w:b/>
                <w:w w:val="95"/>
                <w:sz w:val="21"/>
              </w:rPr>
              <w:t>10</w:t>
            </w:r>
          </w:p>
        </w:tc>
        <w:tc>
          <w:tcPr>
            <w:tcW w:w="2592" w:type="dxa"/>
            <w:vMerge w:val="restart"/>
          </w:tcPr>
          <w:p>
            <w:pPr>
              <w:pStyle w:val="36"/>
              <w:rPr>
                <w:b/>
                <w:sz w:val="20"/>
              </w:rPr>
            </w:pPr>
          </w:p>
          <w:p>
            <w:pPr>
              <w:pStyle w:val="36"/>
              <w:rPr>
                <w:b/>
                <w:sz w:val="20"/>
              </w:rPr>
            </w:pPr>
          </w:p>
          <w:p>
            <w:pPr>
              <w:pStyle w:val="36"/>
              <w:spacing w:before="163"/>
              <w:ind w:left="505"/>
              <w:rPr>
                <w:b/>
                <w:sz w:val="21"/>
              </w:rPr>
            </w:pPr>
            <w:r>
              <w:rPr>
                <w:b/>
                <w:sz w:val="21"/>
              </w:rPr>
              <w:t xml:space="preserve">签订合同 </w:t>
            </w:r>
            <w:r>
              <w:rPr>
                <w:rFonts w:hint="eastAsia"/>
                <w:b/>
                <w:sz w:val="21"/>
              </w:rPr>
              <w:t>2</w:t>
            </w:r>
            <w:r>
              <w:rPr>
                <w:b/>
                <w:sz w:val="21"/>
              </w:rPr>
              <w:t>0 天内</w:t>
            </w:r>
          </w:p>
        </w:tc>
        <w:tc>
          <w:tcPr>
            <w:tcW w:w="927"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720" w:type="dxa"/>
            <w:vMerge w:val="continue"/>
            <w:tcBorders>
              <w:top w:val="nil"/>
            </w:tcBorders>
          </w:tcPr>
          <w:p>
            <w:pPr>
              <w:rPr>
                <w:sz w:val="2"/>
                <w:szCs w:val="2"/>
              </w:rPr>
            </w:pPr>
          </w:p>
        </w:tc>
        <w:tc>
          <w:tcPr>
            <w:tcW w:w="3533" w:type="dxa"/>
          </w:tcPr>
          <w:p>
            <w:pPr>
              <w:pStyle w:val="36"/>
              <w:spacing w:before="102"/>
              <w:ind w:left="108"/>
              <w:rPr>
                <w:b/>
                <w:sz w:val="21"/>
              </w:rPr>
            </w:pPr>
            <w:r>
              <w:rPr>
                <w:b/>
                <w:sz w:val="21"/>
              </w:rPr>
              <w:t>初步设计概算</w:t>
            </w:r>
          </w:p>
        </w:tc>
        <w:tc>
          <w:tcPr>
            <w:tcW w:w="1135" w:type="dxa"/>
          </w:tcPr>
          <w:p>
            <w:pPr>
              <w:pStyle w:val="36"/>
              <w:spacing w:before="102"/>
              <w:ind w:right="500"/>
              <w:jc w:val="right"/>
              <w:rPr>
                <w:b/>
                <w:sz w:val="21"/>
              </w:rPr>
            </w:pPr>
            <w:r>
              <w:rPr>
                <w:b/>
                <w:w w:val="99"/>
                <w:sz w:val="21"/>
              </w:rPr>
              <w:t>5</w:t>
            </w:r>
          </w:p>
        </w:tc>
        <w:tc>
          <w:tcPr>
            <w:tcW w:w="2592" w:type="dxa"/>
            <w:vMerge w:val="continue"/>
            <w:tcBorders>
              <w:top w:val="nil"/>
            </w:tcBorders>
          </w:tcPr>
          <w:p>
            <w:pPr>
              <w:rPr>
                <w:sz w:val="2"/>
                <w:szCs w:val="2"/>
              </w:rPr>
            </w:pPr>
          </w:p>
        </w:tc>
        <w:tc>
          <w:tcPr>
            <w:tcW w:w="927" w:type="dxa"/>
            <w:vMerge w:val="restart"/>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720" w:type="dxa"/>
            <w:vMerge w:val="continue"/>
            <w:tcBorders>
              <w:top w:val="nil"/>
            </w:tcBorders>
          </w:tcPr>
          <w:p>
            <w:pPr>
              <w:rPr>
                <w:sz w:val="2"/>
                <w:szCs w:val="2"/>
              </w:rPr>
            </w:pPr>
          </w:p>
        </w:tc>
        <w:tc>
          <w:tcPr>
            <w:tcW w:w="3533" w:type="dxa"/>
          </w:tcPr>
          <w:p>
            <w:pPr>
              <w:pStyle w:val="36"/>
              <w:spacing w:before="118"/>
              <w:ind w:left="108"/>
              <w:rPr>
                <w:b/>
                <w:sz w:val="21"/>
              </w:rPr>
            </w:pPr>
            <w:r>
              <w:rPr>
                <w:b/>
                <w:sz w:val="21"/>
              </w:rPr>
              <w:t>有关电子文档（含初步设计图）</w:t>
            </w:r>
          </w:p>
        </w:tc>
        <w:tc>
          <w:tcPr>
            <w:tcW w:w="1135" w:type="dxa"/>
          </w:tcPr>
          <w:p>
            <w:pPr>
              <w:pStyle w:val="36"/>
              <w:spacing w:before="118"/>
              <w:ind w:right="500"/>
              <w:jc w:val="right"/>
              <w:rPr>
                <w:b/>
                <w:sz w:val="21"/>
              </w:rPr>
            </w:pPr>
            <w:r>
              <w:rPr>
                <w:b/>
                <w:w w:val="99"/>
                <w:sz w:val="21"/>
              </w:rPr>
              <w:t>2</w:t>
            </w:r>
          </w:p>
        </w:tc>
        <w:tc>
          <w:tcPr>
            <w:tcW w:w="2592" w:type="dxa"/>
            <w:vMerge w:val="continue"/>
            <w:tcBorders>
              <w:top w:val="nil"/>
            </w:tcBorders>
          </w:tcPr>
          <w:p>
            <w:pPr>
              <w:rPr>
                <w:sz w:val="2"/>
                <w:szCs w:val="2"/>
              </w:rPr>
            </w:pPr>
          </w:p>
        </w:tc>
        <w:tc>
          <w:tcPr>
            <w:tcW w:w="9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20" w:type="dxa"/>
            <w:vMerge w:val="restart"/>
          </w:tcPr>
          <w:p>
            <w:pPr>
              <w:pStyle w:val="36"/>
              <w:rPr>
                <w:b/>
                <w:sz w:val="20"/>
              </w:rPr>
            </w:pPr>
          </w:p>
          <w:p>
            <w:pPr>
              <w:pStyle w:val="36"/>
              <w:spacing w:before="160"/>
              <w:ind w:left="10"/>
              <w:jc w:val="center"/>
              <w:rPr>
                <w:b/>
                <w:sz w:val="21"/>
              </w:rPr>
            </w:pPr>
            <w:r>
              <w:rPr>
                <w:b/>
                <w:w w:val="99"/>
                <w:sz w:val="21"/>
              </w:rPr>
              <w:t>2</w:t>
            </w:r>
          </w:p>
        </w:tc>
        <w:tc>
          <w:tcPr>
            <w:tcW w:w="3533" w:type="dxa"/>
          </w:tcPr>
          <w:p>
            <w:pPr>
              <w:pStyle w:val="36"/>
              <w:spacing w:before="22"/>
              <w:ind w:left="108"/>
              <w:rPr>
                <w:b/>
                <w:sz w:val="21"/>
              </w:rPr>
            </w:pPr>
            <w:r>
              <w:rPr>
                <w:b/>
                <w:spacing w:val="-13"/>
                <w:sz w:val="21"/>
              </w:rPr>
              <w:t xml:space="preserve">所有专业施工图，含 </w:t>
            </w:r>
            <w:r>
              <w:rPr>
                <w:b/>
                <w:sz w:val="21"/>
              </w:rPr>
              <w:t>2</w:t>
            </w:r>
            <w:r>
              <w:rPr>
                <w:b/>
                <w:spacing w:val="-9"/>
                <w:sz w:val="21"/>
              </w:rPr>
              <w:t xml:space="preserve"> 份施工图电子</w:t>
            </w:r>
          </w:p>
          <w:p>
            <w:pPr>
              <w:pStyle w:val="36"/>
              <w:spacing w:before="44"/>
              <w:ind w:left="108"/>
              <w:rPr>
                <w:b/>
                <w:sz w:val="21"/>
              </w:rPr>
            </w:pPr>
            <w:r>
              <w:rPr>
                <w:b/>
                <w:sz w:val="21"/>
              </w:rPr>
              <w:t>文档</w:t>
            </w:r>
          </w:p>
        </w:tc>
        <w:tc>
          <w:tcPr>
            <w:tcW w:w="1135" w:type="dxa"/>
          </w:tcPr>
          <w:p>
            <w:pPr>
              <w:pStyle w:val="36"/>
              <w:spacing w:before="178"/>
              <w:ind w:left="463"/>
              <w:rPr>
                <w:b/>
                <w:sz w:val="21"/>
              </w:rPr>
            </w:pPr>
            <w:r>
              <w:rPr>
                <w:b/>
                <w:sz w:val="21"/>
              </w:rPr>
              <w:t>16</w:t>
            </w:r>
          </w:p>
        </w:tc>
        <w:tc>
          <w:tcPr>
            <w:tcW w:w="2592" w:type="dxa"/>
            <w:vMerge w:val="restart"/>
          </w:tcPr>
          <w:p>
            <w:pPr>
              <w:pStyle w:val="36"/>
              <w:rPr>
                <w:b/>
                <w:sz w:val="20"/>
              </w:rPr>
            </w:pPr>
          </w:p>
          <w:p>
            <w:pPr>
              <w:pStyle w:val="36"/>
              <w:spacing w:before="162"/>
              <w:ind w:left="505"/>
              <w:rPr>
                <w:b/>
                <w:sz w:val="21"/>
              </w:rPr>
            </w:pPr>
            <w:r>
              <w:rPr>
                <w:b/>
                <w:sz w:val="21"/>
              </w:rPr>
              <w:t xml:space="preserve">签订合同 </w:t>
            </w:r>
            <w:r>
              <w:rPr>
                <w:rFonts w:hint="eastAsia"/>
                <w:b/>
                <w:sz w:val="21"/>
              </w:rPr>
              <w:t>40</w:t>
            </w:r>
            <w:r>
              <w:rPr>
                <w:b/>
                <w:sz w:val="21"/>
              </w:rPr>
              <w:t xml:space="preserve"> 天内</w:t>
            </w:r>
          </w:p>
        </w:tc>
        <w:tc>
          <w:tcPr>
            <w:tcW w:w="927"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0" w:type="dxa"/>
            <w:vMerge w:val="continue"/>
            <w:tcBorders>
              <w:top w:val="nil"/>
            </w:tcBorders>
          </w:tcPr>
          <w:p>
            <w:pPr>
              <w:rPr>
                <w:sz w:val="2"/>
                <w:szCs w:val="2"/>
              </w:rPr>
            </w:pPr>
          </w:p>
        </w:tc>
        <w:tc>
          <w:tcPr>
            <w:tcW w:w="3533" w:type="dxa"/>
          </w:tcPr>
          <w:p>
            <w:pPr>
              <w:pStyle w:val="36"/>
              <w:spacing w:before="102"/>
              <w:ind w:left="108"/>
              <w:rPr>
                <w:b/>
                <w:sz w:val="21"/>
              </w:rPr>
            </w:pPr>
            <w:r>
              <w:rPr>
                <w:b/>
                <w:sz w:val="21"/>
              </w:rPr>
              <w:t>施工图预算</w:t>
            </w:r>
          </w:p>
        </w:tc>
        <w:tc>
          <w:tcPr>
            <w:tcW w:w="1135" w:type="dxa"/>
          </w:tcPr>
          <w:p>
            <w:pPr>
              <w:pStyle w:val="36"/>
              <w:spacing w:before="102"/>
              <w:ind w:left="516"/>
              <w:rPr>
                <w:b/>
                <w:sz w:val="21"/>
              </w:rPr>
            </w:pPr>
            <w:r>
              <w:rPr>
                <w:b/>
                <w:w w:val="99"/>
                <w:sz w:val="21"/>
              </w:rPr>
              <w:t>5</w:t>
            </w:r>
          </w:p>
        </w:tc>
        <w:tc>
          <w:tcPr>
            <w:tcW w:w="2592" w:type="dxa"/>
            <w:vMerge w:val="continue"/>
            <w:tcBorders>
              <w:top w:val="nil"/>
            </w:tcBorders>
          </w:tcPr>
          <w:p>
            <w:pPr>
              <w:rPr>
                <w:sz w:val="2"/>
                <w:szCs w:val="2"/>
              </w:rPr>
            </w:pPr>
          </w:p>
        </w:tc>
        <w:tc>
          <w:tcPr>
            <w:tcW w:w="927"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720" w:type="dxa"/>
            <w:tcBorders>
              <w:bottom w:val="nil"/>
            </w:tcBorders>
          </w:tcPr>
          <w:p>
            <w:pPr>
              <w:pStyle w:val="36"/>
              <w:rPr>
                <w:rFonts w:ascii="Times New Roman"/>
                <w:sz w:val="20"/>
              </w:rPr>
            </w:pPr>
          </w:p>
        </w:tc>
        <w:tc>
          <w:tcPr>
            <w:tcW w:w="3533" w:type="dxa"/>
            <w:tcBorders>
              <w:bottom w:val="nil"/>
            </w:tcBorders>
          </w:tcPr>
          <w:p>
            <w:pPr>
              <w:pStyle w:val="36"/>
              <w:rPr>
                <w:rFonts w:ascii="Times New Roman"/>
                <w:sz w:val="20"/>
              </w:rPr>
            </w:pPr>
          </w:p>
        </w:tc>
        <w:tc>
          <w:tcPr>
            <w:tcW w:w="1135" w:type="dxa"/>
            <w:tcBorders>
              <w:bottom w:val="nil"/>
            </w:tcBorders>
          </w:tcPr>
          <w:p>
            <w:pPr>
              <w:pStyle w:val="36"/>
              <w:rPr>
                <w:rFonts w:ascii="Times New Roman"/>
                <w:sz w:val="20"/>
              </w:rPr>
            </w:pPr>
          </w:p>
        </w:tc>
        <w:tc>
          <w:tcPr>
            <w:tcW w:w="2592" w:type="dxa"/>
            <w:tcBorders>
              <w:bottom w:val="nil"/>
            </w:tcBorders>
          </w:tcPr>
          <w:p>
            <w:pPr>
              <w:pStyle w:val="36"/>
              <w:spacing w:before="22"/>
              <w:ind w:left="108"/>
              <w:rPr>
                <w:b/>
                <w:sz w:val="21"/>
              </w:rPr>
            </w:pPr>
            <w:r>
              <w:rPr>
                <w:b/>
                <w:sz w:val="21"/>
              </w:rPr>
              <w:t>工程量50 万元以下的必须</w:t>
            </w:r>
          </w:p>
        </w:tc>
        <w:tc>
          <w:tcPr>
            <w:tcW w:w="927" w:type="dxa"/>
            <w:tcBorders>
              <w:bottom w:val="nil"/>
            </w:tcBorders>
          </w:tcPr>
          <w:p>
            <w:pPr>
              <w:pStyle w:val="36"/>
              <w:spacing w:before="22"/>
              <w:ind w:left="109"/>
              <w:rPr>
                <w:b/>
                <w:sz w:val="21"/>
              </w:rPr>
            </w:pPr>
            <w:r>
              <w:rPr>
                <w:b/>
                <w:sz w:val="21"/>
              </w:rPr>
              <w:t>含 2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720" w:type="dxa"/>
            <w:tcBorders>
              <w:top w:val="nil"/>
              <w:bottom w:val="nil"/>
            </w:tcBorders>
          </w:tcPr>
          <w:p>
            <w:pPr>
              <w:pStyle w:val="36"/>
              <w:spacing w:before="178"/>
              <w:ind w:left="10"/>
              <w:jc w:val="center"/>
              <w:rPr>
                <w:b/>
                <w:sz w:val="21"/>
              </w:rPr>
            </w:pPr>
            <w:r>
              <w:rPr>
                <w:b/>
                <w:w w:val="99"/>
                <w:sz w:val="21"/>
              </w:rPr>
              <w:t>3</w:t>
            </w:r>
          </w:p>
        </w:tc>
        <w:tc>
          <w:tcPr>
            <w:tcW w:w="3533" w:type="dxa"/>
            <w:tcBorders>
              <w:top w:val="nil"/>
              <w:bottom w:val="nil"/>
            </w:tcBorders>
          </w:tcPr>
          <w:p>
            <w:pPr>
              <w:pStyle w:val="36"/>
              <w:spacing w:before="178"/>
              <w:ind w:left="108"/>
              <w:rPr>
                <w:b/>
                <w:sz w:val="21"/>
              </w:rPr>
            </w:pPr>
            <w:r>
              <w:rPr>
                <w:b/>
                <w:sz w:val="21"/>
              </w:rPr>
              <w:t>变更设计</w:t>
            </w:r>
          </w:p>
        </w:tc>
        <w:tc>
          <w:tcPr>
            <w:tcW w:w="1135" w:type="dxa"/>
            <w:tcBorders>
              <w:top w:val="nil"/>
              <w:bottom w:val="nil"/>
            </w:tcBorders>
          </w:tcPr>
          <w:p>
            <w:pPr>
              <w:pStyle w:val="36"/>
              <w:spacing w:before="178"/>
              <w:ind w:left="463"/>
              <w:rPr>
                <w:b/>
                <w:sz w:val="21"/>
              </w:rPr>
            </w:pPr>
            <w:r>
              <w:rPr>
                <w:b/>
                <w:sz w:val="21"/>
              </w:rPr>
              <w:t>10</w:t>
            </w:r>
          </w:p>
        </w:tc>
        <w:tc>
          <w:tcPr>
            <w:tcW w:w="2592" w:type="dxa"/>
            <w:tcBorders>
              <w:top w:val="nil"/>
              <w:bottom w:val="nil"/>
            </w:tcBorders>
          </w:tcPr>
          <w:p>
            <w:pPr>
              <w:pStyle w:val="36"/>
              <w:spacing w:before="22"/>
              <w:ind w:left="108"/>
              <w:rPr>
                <w:b/>
                <w:sz w:val="21"/>
              </w:rPr>
            </w:pPr>
            <w:r>
              <w:rPr>
                <w:b/>
                <w:spacing w:val="-12"/>
                <w:sz w:val="21"/>
              </w:rPr>
              <w:t xml:space="preserve">在 </w:t>
            </w:r>
            <w:r>
              <w:rPr>
                <w:b/>
                <w:sz w:val="21"/>
              </w:rPr>
              <w:t>3</w:t>
            </w:r>
            <w:r>
              <w:rPr>
                <w:b/>
                <w:spacing w:val="-5"/>
                <w:sz w:val="21"/>
              </w:rPr>
              <w:t xml:space="preserve"> 个日历天内出图；工</w:t>
            </w:r>
          </w:p>
          <w:p>
            <w:pPr>
              <w:pStyle w:val="36"/>
              <w:spacing w:before="43"/>
              <w:ind w:left="108"/>
              <w:rPr>
                <w:b/>
                <w:sz w:val="21"/>
              </w:rPr>
            </w:pPr>
            <w:r>
              <w:rPr>
                <w:b/>
                <w:spacing w:val="-18"/>
                <w:sz w:val="21"/>
              </w:rPr>
              <w:t xml:space="preserve">作量 </w:t>
            </w:r>
            <w:r>
              <w:rPr>
                <w:b/>
                <w:sz w:val="21"/>
              </w:rPr>
              <w:t>50</w:t>
            </w:r>
            <w:r>
              <w:rPr>
                <w:b/>
                <w:spacing w:val="-14"/>
                <w:sz w:val="21"/>
              </w:rPr>
              <w:t xml:space="preserve"> 万元以上的，必须</w:t>
            </w:r>
          </w:p>
        </w:tc>
        <w:tc>
          <w:tcPr>
            <w:tcW w:w="927" w:type="dxa"/>
            <w:tcBorders>
              <w:top w:val="nil"/>
              <w:bottom w:val="nil"/>
            </w:tcBorders>
          </w:tcPr>
          <w:p>
            <w:pPr>
              <w:pStyle w:val="36"/>
              <w:spacing w:before="22"/>
              <w:ind w:left="109"/>
              <w:rPr>
                <w:b/>
                <w:sz w:val="21"/>
              </w:rPr>
            </w:pPr>
            <w:r>
              <w:rPr>
                <w:b/>
                <w:spacing w:val="25"/>
                <w:sz w:val="21"/>
              </w:rPr>
              <w:t>施工图</w:t>
            </w:r>
            <w:r>
              <w:rPr>
                <w:b/>
                <w:spacing w:val="-68"/>
                <w:sz w:val="21"/>
              </w:rPr>
              <w:t xml:space="preserve"> </w:t>
            </w:r>
          </w:p>
          <w:p>
            <w:pPr>
              <w:pStyle w:val="36"/>
              <w:spacing w:before="43"/>
              <w:ind w:left="109"/>
              <w:rPr>
                <w:b/>
                <w:sz w:val="21"/>
              </w:rPr>
            </w:pPr>
            <w:r>
              <w:rPr>
                <w:b/>
                <w:spacing w:val="25"/>
                <w:sz w:val="21"/>
              </w:rPr>
              <w:t>电子文</w:t>
            </w:r>
            <w:r>
              <w:rPr>
                <w:b/>
                <w:spacing w:val="-68"/>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720" w:type="dxa"/>
            <w:tcBorders>
              <w:top w:val="nil"/>
            </w:tcBorders>
          </w:tcPr>
          <w:p>
            <w:pPr>
              <w:pStyle w:val="36"/>
              <w:rPr>
                <w:rFonts w:ascii="Times New Roman"/>
                <w:sz w:val="20"/>
              </w:rPr>
            </w:pPr>
          </w:p>
        </w:tc>
        <w:tc>
          <w:tcPr>
            <w:tcW w:w="3533" w:type="dxa"/>
            <w:tcBorders>
              <w:top w:val="nil"/>
            </w:tcBorders>
          </w:tcPr>
          <w:p>
            <w:pPr>
              <w:pStyle w:val="36"/>
              <w:rPr>
                <w:rFonts w:ascii="Times New Roman"/>
                <w:sz w:val="20"/>
              </w:rPr>
            </w:pPr>
          </w:p>
        </w:tc>
        <w:tc>
          <w:tcPr>
            <w:tcW w:w="1135" w:type="dxa"/>
            <w:tcBorders>
              <w:top w:val="nil"/>
            </w:tcBorders>
          </w:tcPr>
          <w:p>
            <w:pPr>
              <w:pStyle w:val="36"/>
              <w:rPr>
                <w:rFonts w:ascii="Times New Roman"/>
                <w:sz w:val="20"/>
              </w:rPr>
            </w:pPr>
          </w:p>
        </w:tc>
        <w:tc>
          <w:tcPr>
            <w:tcW w:w="2592" w:type="dxa"/>
            <w:tcBorders>
              <w:top w:val="nil"/>
            </w:tcBorders>
          </w:tcPr>
          <w:p>
            <w:pPr>
              <w:pStyle w:val="36"/>
              <w:spacing w:before="22"/>
              <w:ind w:left="108"/>
              <w:rPr>
                <w:b/>
                <w:sz w:val="21"/>
              </w:rPr>
            </w:pPr>
            <w:r>
              <w:rPr>
                <w:b/>
                <w:sz w:val="21"/>
              </w:rPr>
              <w:t>在 5 个日历天内出图</w:t>
            </w:r>
          </w:p>
        </w:tc>
        <w:tc>
          <w:tcPr>
            <w:tcW w:w="927" w:type="dxa"/>
            <w:tcBorders>
              <w:top w:val="nil"/>
            </w:tcBorders>
          </w:tcPr>
          <w:p>
            <w:pPr>
              <w:pStyle w:val="36"/>
              <w:spacing w:before="22"/>
              <w:ind w:left="109"/>
              <w:rPr>
                <w:b/>
                <w:sz w:val="21"/>
              </w:rPr>
            </w:pPr>
            <w:r>
              <w:rPr>
                <w:b/>
                <w:sz w:val="21"/>
              </w:rPr>
              <w:t>档</w:t>
            </w:r>
          </w:p>
        </w:tc>
      </w:tr>
    </w:tbl>
    <w:p>
      <w:pPr>
        <w:spacing w:before="126"/>
        <w:ind w:left="635"/>
        <w:rPr>
          <w:b/>
          <w:sz w:val="21"/>
        </w:rPr>
      </w:pPr>
      <w:r>
        <w:rPr>
          <w:b/>
          <w:sz w:val="21"/>
        </w:rPr>
        <w:t>28、工期要求</w:t>
      </w:r>
    </w:p>
    <w:p>
      <w:pPr>
        <w:pStyle w:val="35"/>
        <w:numPr>
          <w:ilvl w:val="1"/>
          <w:numId w:val="94"/>
        </w:numPr>
        <w:tabs>
          <w:tab w:val="left" w:pos="1166"/>
        </w:tabs>
        <w:spacing w:before="151" w:line="374" w:lineRule="auto"/>
        <w:ind w:right="443" w:firstLine="422"/>
        <w:rPr>
          <w:b/>
          <w:sz w:val="21"/>
        </w:rPr>
      </w:pPr>
      <w:r>
        <w:rPr>
          <w:b/>
          <w:sz w:val="21"/>
        </w:rPr>
        <w:t>按照国家、地方和行业有关规范实施项目设计及施工，和约定的时间竣工验收及移交；承包人</w:t>
      </w:r>
      <w:r>
        <w:rPr>
          <w:b/>
          <w:spacing w:val="-3"/>
          <w:sz w:val="21"/>
        </w:rPr>
        <w:t>作为设计、施工总承包单位须积极配合。计划工期：</w:t>
      </w:r>
      <w:r>
        <w:rPr>
          <w:rFonts w:hint="eastAsia"/>
          <w:b/>
          <w:sz w:val="21"/>
        </w:rPr>
        <w:t xml:space="preserve">365 </w:t>
      </w:r>
      <w:r>
        <w:rPr>
          <w:b/>
          <w:spacing w:val="-11"/>
          <w:sz w:val="21"/>
        </w:rPr>
        <w:t>日历天</w:t>
      </w:r>
      <w:r>
        <w:rPr>
          <w:rFonts w:hint="eastAsia"/>
          <w:b/>
          <w:spacing w:val="-11"/>
          <w:sz w:val="21"/>
        </w:rPr>
        <w:t>。</w:t>
      </w:r>
    </w:p>
    <w:p>
      <w:pPr>
        <w:pStyle w:val="35"/>
        <w:numPr>
          <w:ilvl w:val="1"/>
          <w:numId w:val="94"/>
        </w:numPr>
        <w:tabs>
          <w:tab w:val="left" w:pos="1164"/>
        </w:tabs>
        <w:spacing w:before="151" w:line="374" w:lineRule="auto"/>
        <w:ind w:right="551" w:firstLine="422"/>
        <w:jc w:val="both"/>
        <w:rPr>
          <w:b/>
          <w:sz w:val="21"/>
        </w:rPr>
      </w:pPr>
      <w:r>
        <w:rPr>
          <w:b/>
          <w:sz w:val="21"/>
        </w:rPr>
        <w:t>设计工期</w:t>
      </w:r>
      <w:r>
        <w:rPr>
          <w:sz w:val="21"/>
        </w:rPr>
        <w:t>：</w:t>
      </w:r>
      <w:r>
        <w:rPr>
          <w:b/>
          <w:sz w:val="21"/>
        </w:rPr>
        <w:t>如果延误工期，中标人向招标人支付的误期损害赔偿费每天为签约合同价的 7</w:t>
      </w:r>
      <w:r>
        <w:rPr>
          <w:b/>
          <w:spacing w:val="1"/>
          <w:sz w:val="21"/>
        </w:rPr>
        <w:t xml:space="preserve">‰ ， </w:t>
      </w:r>
      <w:r>
        <w:rPr>
          <w:b/>
          <w:spacing w:val="-3"/>
          <w:sz w:val="21"/>
        </w:rPr>
        <w:t xml:space="preserve">误期损害赔偿费的最高限额为签约合同价的 </w:t>
      </w:r>
      <w:r>
        <w:rPr>
          <w:b/>
          <w:sz w:val="21"/>
        </w:rPr>
        <w:t>20%</w:t>
      </w:r>
      <w:r>
        <w:rPr>
          <w:b/>
          <w:spacing w:val="-5"/>
          <w:sz w:val="21"/>
        </w:rPr>
        <w:t xml:space="preserve">。逾期超过 </w:t>
      </w:r>
      <w:r>
        <w:rPr>
          <w:b/>
          <w:sz w:val="21"/>
        </w:rPr>
        <w:t>30</w:t>
      </w:r>
      <w:r>
        <w:rPr>
          <w:b/>
          <w:spacing w:val="-5"/>
          <w:sz w:val="21"/>
        </w:rPr>
        <w:t xml:space="preserve"> 天，招标人</w:t>
      </w:r>
      <w:r>
        <w:rPr>
          <w:rFonts w:hint="eastAsia"/>
          <w:b/>
          <w:spacing w:val="-5"/>
          <w:sz w:val="21"/>
          <w:highlight w:val="yellow"/>
        </w:rPr>
        <w:t>并</w:t>
      </w:r>
      <w:r>
        <w:rPr>
          <w:b/>
          <w:spacing w:val="-5"/>
          <w:sz w:val="21"/>
          <w:highlight w:val="yellow"/>
        </w:rPr>
        <w:t>有</w:t>
      </w:r>
      <w:r>
        <w:rPr>
          <w:b/>
          <w:spacing w:val="-5"/>
          <w:sz w:val="21"/>
        </w:rPr>
        <w:t>权以书面通知书形式解除合</w:t>
      </w:r>
      <w:r>
        <w:rPr>
          <w:b/>
          <w:spacing w:val="-3"/>
          <w:sz w:val="21"/>
        </w:rPr>
        <w:t>同，通知到达中标人即生效，由此导致的一切损失由中标人负责。</w:t>
      </w:r>
    </w:p>
    <w:p>
      <w:pPr>
        <w:pStyle w:val="35"/>
        <w:numPr>
          <w:ilvl w:val="1"/>
          <w:numId w:val="94"/>
        </w:numPr>
        <w:tabs>
          <w:tab w:val="left" w:pos="1164"/>
        </w:tabs>
        <w:spacing w:before="1" w:line="374" w:lineRule="auto"/>
        <w:ind w:right="548" w:firstLine="422"/>
        <w:jc w:val="both"/>
        <w:rPr>
          <w:b/>
          <w:sz w:val="21"/>
        </w:rPr>
      </w:pPr>
      <w:r>
        <w:rPr>
          <w:b/>
          <w:spacing w:val="-6"/>
          <w:sz w:val="21"/>
        </w:rPr>
        <w:t xml:space="preserve">在施工图设计完成后 </w:t>
      </w:r>
      <w:r>
        <w:rPr>
          <w:b/>
          <w:sz w:val="21"/>
        </w:rPr>
        <w:t>3</w:t>
      </w:r>
      <w:r>
        <w:rPr>
          <w:b/>
          <w:spacing w:val="-16"/>
          <w:sz w:val="21"/>
        </w:rPr>
        <w:t xml:space="preserve"> 日内除提交 </w:t>
      </w:r>
      <w:r>
        <w:rPr>
          <w:b/>
          <w:sz w:val="21"/>
        </w:rPr>
        <w:t>16</w:t>
      </w:r>
      <w:r>
        <w:rPr>
          <w:b/>
          <w:spacing w:val="-11"/>
          <w:sz w:val="21"/>
        </w:rPr>
        <w:t xml:space="preserve"> 套图纸外，还须提交所有设计成果的计算机文件，文字内</w:t>
      </w:r>
      <w:r>
        <w:rPr>
          <w:b/>
          <w:spacing w:val="-19"/>
          <w:sz w:val="21"/>
        </w:rPr>
        <w:t xml:space="preserve">容采用 </w:t>
      </w:r>
      <w:r>
        <w:rPr>
          <w:b/>
          <w:sz w:val="21"/>
        </w:rPr>
        <w:t>Microsoft</w:t>
      </w:r>
      <w:r>
        <w:rPr>
          <w:b/>
          <w:spacing w:val="2"/>
          <w:sz w:val="21"/>
        </w:rPr>
        <w:t xml:space="preserve"> </w:t>
      </w:r>
      <w:r>
        <w:rPr>
          <w:b/>
          <w:sz w:val="21"/>
        </w:rPr>
        <w:t>word</w:t>
      </w:r>
      <w:r>
        <w:rPr>
          <w:b/>
          <w:spacing w:val="-9"/>
          <w:sz w:val="21"/>
        </w:rPr>
        <w:t xml:space="preserve"> 格式文件，设计图形文件采用可编辑的 </w:t>
      </w:r>
      <w:r>
        <w:rPr>
          <w:b/>
          <w:sz w:val="21"/>
        </w:rPr>
        <w:t>AutoCAD</w:t>
      </w:r>
      <w:r>
        <w:rPr>
          <w:b/>
          <w:spacing w:val="-7"/>
          <w:sz w:val="21"/>
        </w:rPr>
        <w:t xml:space="preserve"> 格式文件。全部技术文件、设计</w:t>
      </w:r>
      <w:r>
        <w:rPr>
          <w:b/>
          <w:spacing w:val="-10"/>
          <w:sz w:val="21"/>
        </w:rPr>
        <w:t xml:space="preserve">成果均应制作成计算机文件，提交光盘 </w:t>
      </w:r>
      <w:r>
        <w:rPr>
          <w:b/>
          <w:sz w:val="21"/>
        </w:rPr>
        <w:t>1</w:t>
      </w:r>
      <w:r>
        <w:rPr>
          <w:b/>
          <w:spacing w:val="-18"/>
          <w:sz w:val="21"/>
        </w:rPr>
        <w:t xml:space="preserve"> 套。</w:t>
      </w:r>
    </w:p>
    <w:p>
      <w:pPr>
        <w:pStyle w:val="35"/>
        <w:numPr>
          <w:ilvl w:val="1"/>
          <w:numId w:val="94"/>
        </w:numPr>
        <w:tabs>
          <w:tab w:val="left" w:pos="1166"/>
        </w:tabs>
        <w:spacing w:before="1" w:line="374" w:lineRule="auto"/>
        <w:ind w:right="548" w:firstLine="422"/>
        <w:jc w:val="both"/>
        <w:rPr>
          <w:b/>
          <w:sz w:val="21"/>
        </w:rPr>
      </w:pPr>
      <w:r>
        <w:rPr>
          <w:b/>
          <w:sz w:val="21"/>
        </w:rPr>
        <w:t>在工程建设过程中承包人须提供现场服务工作，全程派设计代表驻现场（驻现场设计代表的所有费用包含在设计收费内</w:t>
      </w:r>
      <w:r>
        <w:rPr>
          <w:b/>
          <w:spacing w:val="-106"/>
          <w:sz w:val="21"/>
        </w:rPr>
        <w:t>）</w:t>
      </w:r>
      <w:r>
        <w:rPr>
          <w:b/>
          <w:spacing w:val="-9"/>
          <w:sz w:val="21"/>
        </w:rPr>
        <w:t>，及时迅速地解决现场问题：</w:t>
      </w:r>
      <w:r>
        <w:rPr>
          <w:b/>
          <w:spacing w:val="3"/>
          <w:sz w:val="21"/>
        </w:rPr>
        <w:t>（</w:t>
      </w:r>
      <w:r>
        <w:rPr>
          <w:b/>
          <w:spacing w:val="2"/>
          <w:w w:val="99"/>
          <w:sz w:val="21"/>
        </w:rPr>
        <w:t>1</w:t>
      </w:r>
      <w:r>
        <w:rPr>
          <w:b/>
          <w:sz w:val="21"/>
        </w:rPr>
        <w:t>）本项目的设计总负责人必须每周到现场一次处理相关问题。建设过程中遇到重大问题，承包人收到招标人发出通知后，24</w:t>
      </w:r>
      <w:r>
        <w:rPr>
          <w:b/>
          <w:spacing w:val="-1"/>
          <w:sz w:val="21"/>
        </w:rPr>
        <w:t xml:space="preserve"> 小时内必须派本项目的设</w:t>
      </w:r>
      <w:r>
        <w:rPr>
          <w:b/>
          <w:spacing w:val="-6"/>
          <w:sz w:val="21"/>
        </w:rPr>
        <w:t>计总负责人到现场解决问题，如出现三次不到场的情况，招标人有权无条件终止双方合同，并追究承包人由于其不及时处理而引起一切责任和损失</w:t>
      </w:r>
      <w:r>
        <w:rPr>
          <w:b/>
          <w:spacing w:val="-128"/>
          <w:sz w:val="21"/>
        </w:rPr>
        <w:t>。</w:t>
      </w:r>
      <w:r>
        <w:rPr>
          <w:b/>
          <w:spacing w:val="-7"/>
          <w:sz w:val="21"/>
        </w:rPr>
        <w:t>（2）</w:t>
      </w:r>
      <w:r>
        <w:rPr>
          <w:b/>
          <w:spacing w:val="-5"/>
          <w:sz w:val="21"/>
        </w:rPr>
        <w:t>承包人承诺应招标人要求，委派承担本项目的设计经理</w:t>
      </w:r>
      <w:r>
        <w:rPr>
          <w:b/>
          <w:spacing w:val="-11"/>
          <w:sz w:val="21"/>
        </w:rPr>
        <w:t xml:space="preserve">作为设计代表驻现场，提供专业齐全的配套服务。承包人收到招标人发出派驻通知后先派驻 </w:t>
      </w:r>
      <w:r>
        <w:rPr>
          <w:b/>
          <w:sz w:val="21"/>
        </w:rPr>
        <w:t>1</w:t>
      </w:r>
      <w:r>
        <w:rPr>
          <w:b/>
          <w:spacing w:val="-10"/>
          <w:sz w:val="21"/>
        </w:rPr>
        <w:t xml:space="preserve"> 名设计代表驻现场。承包人收到招标人发出通知后，24</w:t>
      </w:r>
      <w:r>
        <w:rPr>
          <w:b/>
          <w:sz w:val="21"/>
        </w:rPr>
        <w:t xml:space="preserve"> 小时内必须派设计代表到驻现场并解决问题，如出现不到场</w:t>
      </w:r>
      <w:r>
        <w:rPr>
          <w:b/>
          <w:spacing w:val="-4"/>
          <w:sz w:val="21"/>
        </w:rPr>
        <w:t xml:space="preserve">的情况，承包人向招标人支付的误期损害赔偿费每人每天为 </w:t>
      </w:r>
      <w:r>
        <w:rPr>
          <w:b/>
          <w:sz w:val="21"/>
        </w:rPr>
        <w:t>3000</w:t>
      </w:r>
      <w:r>
        <w:rPr>
          <w:b/>
          <w:spacing w:val="-6"/>
          <w:sz w:val="21"/>
        </w:rPr>
        <w:t xml:space="preserve"> 元，招标人</w:t>
      </w:r>
      <w:r>
        <w:rPr>
          <w:rFonts w:hint="eastAsia"/>
          <w:b/>
          <w:spacing w:val="-6"/>
          <w:sz w:val="21"/>
          <w:highlight w:val="yellow"/>
        </w:rPr>
        <w:t>并</w:t>
      </w:r>
      <w:r>
        <w:rPr>
          <w:b/>
          <w:spacing w:val="-6"/>
          <w:sz w:val="21"/>
          <w:highlight w:val="yellow"/>
        </w:rPr>
        <w:t>有</w:t>
      </w:r>
      <w:r>
        <w:rPr>
          <w:b/>
          <w:spacing w:val="-6"/>
          <w:sz w:val="21"/>
        </w:rPr>
        <w:t>权以书面通知形式解除合同，通知到达承包人即生效，由此导致的一切责任和损失由承包人负责。</w:t>
      </w:r>
    </w:p>
    <w:p>
      <w:pPr>
        <w:spacing w:before="2"/>
        <w:ind w:left="635"/>
        <w:jc w:val="both"/>
        <w:rPr>
          <w:b/>
          <w:sz w:val="21"/>
        </w:rPr>
      </w:pPr>
      <w:r>
        <w:rPr>
          <w:b/>
          <w:sz w:val="21"/>
        </w:rPr>
        <w:t>29、质量要求：合格。缺陷责任期 2 年。</w:t>
      </w:r>
    </w:p>
    <w:p>
      <w:pPr>
        <w:spacing w:before="151"/>
        <w:ind w:left="635"/>
        <w:rPr>
          <w:b/>
          <w:sz w:val="21"/>
        </w:rPr>
      </w:pPr>
      <w:r>
        <w:rPr>
          <w:b/>
          <w:sz w:val="21"/>
        </w:rPr>
        <w:t>30、合同价要求</w:t>
      </w:r>
    </w:p>
    <w:p>
      <w:pPr>
        <w:spacing w:before="152"/>
        <w:ind w:left="635"/>
        <w:rPr>
          <w:b/>
          <w:sz w:val="21"/>
        </w:rPr>
      </w:pPr>
      <w:r>
        <w:rPr>
          <w:b/>
          <w:sz w:val="21"/>
        </w:rPr>
        <w:t>总合同价的建安工程费金额（不扣减承包人违约金）超过经批准的设计总概算中对应的建安工程费用</w:t>
      </w:r>
    </w:p>
    <w:p>
      <w:pPr>
        <w:spacing w:before="151" w:line="374" w:lineRule="auto"/>
        <w:ind w:left="212" w:right="551"/>
        <w:jc w:val="both"/>
        <w:rPr>
          <w:b/>
          <w:sz w:val="21"/>
        </w:rPr>
      </w:pPr>
      <w:r>
        <w:rPr>
          <w:b/>
          <w:spacing w:val="2"/>
          <w:sz w:val="21"/>
        </w:rPr>
        <w:t>（</w:t>
      </w:r>
      <w:r>
        <w:rPr>
          <w:b/>
          <w:sz w:val="21"/>
        </w:rPr>
        <w:t>最终以发包人发出的书面通知为准</w:t>
      </w:r>
      <w:r>
        <w:rPr>
          <w:b/>
          <w:spacing w:val="-104"/>
          <w:sz w:val="21"/>
        </w:rPr>
        <w:t>）</w:t>
      </w:r>
      <w:r>
        <w:rPr>
          <w:b/>
          <w:spacing w:val="-1"/>
          <w:sz w:val="21"/>
        </w:rPr>
        <w:t>，超出的部分，发包人有权不予支付；由发包人主动增加或承包人</w:t>
      </w:r>
      <w:r>
        <w:rPr>
          <w:b/>
          <w:spacing w:val="-6"/>
          <w:sz w:val="21"/>
        </w:rPr>
        <w:t>的建议经监理及发包人同意产生的投资增加的原因、不可抗力等因素造成结算总金额超出设计总概算的情况除外。</w:t>
      </w:r>
    </w:p>
    <w:p>
      <w:pPr>
        <w:ind w:firstLine="310" w:firstLineChars="147"/>
        <w:rPr>
          <w:b/>
          <w:sz w:val="21"/>
        </w:rPr>
      </w:pPr>
      <w:r>
        <w:rPr>
          <w:b/>
          <w:sz w:val="21"/>
        </w:rPr>
        <w:t>承包人在设计阶段及施工阶段均应充分满足发包人的限额设计、限额施工要求，主动采取各种优化设</w:t>
      </w:r>
      <w:r>
        <w:rPr>
          <w:b/>
          <w:spacing w:val="-8"/>
          <w:sz w:val="21"/>
        </w:rPr>
        <w:t>计、优化施工措施，确保不超限额，工程竣工结算时，包括因承包人原因产生的工程变更、物价和人工费</w:t>
      </w:r>
      <w:r>
        <w:rPr>
          <w:b/>
          <w:spacing w:val="-11"/>
          <w:sz w:val="21"/>
        </w:rPr>
        <w:t>调整、政策性调整等因素造成增加金额在内的建安工程费结算总金额不得超过总概算中对应的建安工程费</w:t>
      </w:r>
      <w:r>
        <w:rPr>
          <w:b/>
          <w:sz w:val="21"/>
        </w:rPr>
        <w:t>用（</w:t>
      </w:r>
      <w:r>
        <w:rPr>
          <w:b/>
          <w:spacing w:val="-2"/>
          <w:sz w:val="21"/>
        </w:rPr>
        <w:t>最终以发包人发出的书面通知为准</w:t>
      </w:r>
      <w:r>
        <w:rPr>
          <w:b/>
          <w:spacing w:val="-106"/>
          <w:sz w:val="21"/>
        </w:rPr>
        <w:t>）</w:t>
      </w:r>
      <w:r>
        <w:rPr>
          <w:b/>
          <w:sz w:val="21"/>
        </w:rPr>
        <w:t>。</w:t>
      </w:r>
    </w:p>
    <w:p>
      <w:pPr>
        <w:spacing w:before="1" w:line="374" w:lineRule="auto"/>
        <w:ind w:left="212" w:right="552" w:firstLine="422"/>
        <w:rPr>
          <w:b/>
          <w:sz w:val="21"/>
        </w:rPr>
      </w:pPr>
      <w:r>
        <w:rPr>
          <w:b/>
          <w:spacing w:val="-6"/>
          <w:sz w:val="21"/>
        </w:rPr>
        <w:t>下述问题牵涉费用承包人在投标报价时已经作充分考虑并已包含在投标报价中，发包人对下述费用不</w:t>
      </w:r>
      <w:r>
        <w:rPr>
          <w:b/>
          <w:sz w:val="21"/>
        </w:rPr>
        <w:t>做另外结算支付：</w:t>
      </w:r>
    </w:p>
    <w:p>
      <w:pPr>
        <w:pStyle w:val="35"/>
        <w:numPr>
          <w:ilvl w:val="0"/>
          <w:numId w:val="95"/>
        </w:numPr>
        <w:tabs>
          <w:tab w:val="left" w:pos="1168"/>
        </w:tabs>
        <w:spacing w:line="374" w:lineRule="auto"/>
        <w:ind w:right="553" w:firstLine="422"/>
        <w:rPr>
          <w:b/>
          <w:sz w:val="21"/>
        </w:rPr>
      </w:pPr>
      <w:r>
        <w:rPr>
          <w:b/>
          <w:spacing w:val="-1"/>
          <w:sz w:val="21"/>
        </w:rPr>
        <w:t>承包人负责施工场地内用水用电管线费用，承包人在实施前应将方案报监理、建设单位批准， 之后按审批方案安装</w:t>
      </w:r>
      <w:r>
        <w:rPr>
          <w:b/>
          <w:sz w:val="21"/>
        </w:rPr>
        <w:t>（</w:t>
      </w:r>
      <w:r>
        <w:rPr>
          <w:b/>
          <w:spacing w:val="-2"/>
          <w:sz w:val="21"/>
        </w:rPr>
        <w:t>发包人可提供协助</w:t>
      </w:r>
      <w:r>
        <w:rPr>
          <w:b/>
          <w:spacing w:val="-106"/>
          <w:sz w:val="21"/>
        </w:rPr>
        <w:t>）</w:t>
      </w:r>
      <w:r>
        <w:rPr>
          <w:b/>
          <w:sz w:val="21"/>
        </w:rPr>
        <w:t>。</w:t>
      </w:r>
    </w:p>
    <w:p>
      <w:pPr>
        <w:pStyle w:val="35"/>
        <w:numPr>
          <w:ilvl w:val="0"/>
          <w:numId w:val="95"/>
        </w:numPr>
        <w:tabs>
          <w:tab w:val="left" w:pos="1168"/>
        </w:tabs>
        <w:spacing w:before="1" w:line="374" w:lineRule="auto"/>
        <w:ind w:right="553" w:firstLine="422"/>
        <w:rPr>
          <w:b/>
          <w:sz w:val="21"/>
        </w:rPr>
      </w:pPr>
      <w:r>
        <w:rPr>
          <w:b/>
          <w:spacing w:val="-1"/>
          <w:sz w:val="21"/>
        </w:rPr>
        <w:t>发包人提供现有的地下管线资料，承包人必须对施工场地内的各种地下管线进行探测调查，保</w:t>
      </w:r>
      <w:r>
        <w:rPr>
          <w:b/>
          <w:spacing w:val="-3"/>
          <w:sz w:val="21"/>
        </w:rPr>
        <w:t>证原有的地下管线的安全，如有损坏，承包人须承担全部的责任。</w:t>
      </w:r>
    </w:p>
    <w:p>
      <w:pPr>
        <w:pStyle w:val="35"/>
        <w:numPr>
          <w:ilvl w:val="0"/>
          <w:numId w:val="95"/>
        </w:numPr>
        <w:tabs>
          <w:tab w:val="left" w:pos="1165"/>
        </w:tabs>
        <w:ind w:left="1164" w:hanging="530"/>
        <w:rPr>
          <w:b/>
          <w:sz w:val="21"/>
        </w:rPr>
      </w:pPr>
      <w:r>
        <w:rPr>
          <w:b/>
          <w:spacing w:val="-3"/>
          <w:sz w:val="21"/>
        </w:rPr>
        <w:t>承包人应考虑在夜间施工可能不能得到有关部门批准的因素；</w:t>
      </w:r>
    </w:p>
    <w:p>
      <w:pPr>
        <w:pStyle w:val="35"/>
        <w:numPr>
          <w:ilvl w:val="0"/>
          <w:numId w:val="95"/>
        </w:numPr>
        <w:tabs>
          <w:tab w:val="left" w:pos="1165"/>
        </w:tabs>
        <w:spacing w:before="152"/>
        <w:ind w:left="1164" w:hanging="530"/>
        <w:rPr>
          <w:b/>
          <w:sz w:val="21"/>
        </w:rPr>
      </w:pPr>
      <w:r>
        <w:rPr>
          <w:b/>
          <w:spacing w:val="-3"/>
          <w:sz w:val="21"/>
        </w:rPr>
        <w:t>施工期间必须保证不影响周边居民正常生活；</w:t>
      </w:r>
    </w:p>
    <w:p>
      <w:pPr>
        <w:pStyle w:val="35"/>
        <w:numPr>
          <w:ilvl w:val="0"/>
          <w:numId w:val="95"/>
        </w:numPr>
        <w:tabs>
          <w:tab w:val="left" w:pos="1168"/>
        </w:tabs>
        <w:spacing w:before="151" w:line="374" w:lineRule="auto"/>
        <w:ind w:right="553" w:firstLine="422"/>
        <w:rPr>
          <w:b/>
          <w:sz w:val="21"/>
        </w:rPr>
      </w:pPr>
      <w:r>
        <w:rPr>
          <w:b/>
          <w:spacing w:val="-1"/>
          <w:sz w:val="21"/>
        </w:rPr>
        <w:t>投标报价中应充分考虑以下的措施项目及其它费用，工程结算时不予增加该部分的费用：施工</w:t>
      </w:r>
      <w:r>
        <w:rPr>
          <w:b/>
          <w:spacing w:val="-2"/>
          <w:sz w:val="21"/>
        </w:rPr>
        <w:t>场地内的临时道路；工程施工降排水费。</w:t>
      </w:r>
    </w:p>
    <w:p>
      <w:pPr>
        <w:ind w:left="635"/>
        <w:rPr>
          <w:b/>
          <w:sz w:val="21"/>
        </w:rPr>
      </w:pPr>
      <w:r>
        <w:rPr>
          <w:b/>
          <w:sz w:val="21"/>
        </w:rPr>
        <w:t>31、设计质量控制</w:t>
      </w:r>
    </w:p>
    <w:p>
      <w:pPr>
        <w:spacing w:before="151" w:line="374" w:lineRule="auto"/>
        <w:ind w:left="212" w:right="492" w:firstLine="422"/>
        <w:jc w:val="both"/>
        <w:rPr>
          <w:b/>
          <w:sz w:val="21"/>
        </w:rPr>
      </w:pPr>
      <w:r>
        <w:rPr>
          <w:b/>
          <w:spacing w:val="-4"/>
          <w:sz w:val="21"/>
        </w:rPr>
        <w:t xml:space="preserve">承包人应当在设计过程中考虑工程实施时的实际可操作性，对方案的实施工序提出相应的技术要求， </w:t>
      </w:r>
      <w:r>
        <w:rPr>
          <w:b/>
          <w:spacing w:val="-7"/>
          <w:sz w:val="21"/>
        </w:rPr>
        <w:t>特别是关键工序，应明确提出工艺要求、质量控制要求。设计应能够预见工程行为，规范工程行为，并提出工程质量控制指标。</w:t>
      </w:r>
    </w:p>
    <w:p>
      <w:pPr>
        <w:spacing w:before="1" w:line="374" w:lineRule="auto"/>
        <w:ind w:left="212" w:right="549" w:firstLine="422"/>
        <w:rPr>
          <w:b/>
          <w:sz w:val="21"/>
        </w:rPr>
      </w:pPr>
      <w:r>
        <w:rPr>
          <w:b/>
          <w:spacing w:val="-5"/>
          <w:sz w:val="21"/>
        </w:rPr>
        <w:t>发包人的批准并不能免除承包人在设计或施工上存在缺陷的责任，承包人在自行设计时，应确保自己的设计人员所设计的成果符合法律法规、技术标准和合同约定。</w:t>
      </w:r>
    </w:p>
    <w:p>
      <w:pPr>
        <w:spacing w:before="1" w:line="374" w:lineRule="auto"/>
        <w:ind w:left="212" w:right="443" w:firstLine="422"/>
        <w:rPr>
          <w:b/>
          <w:sz w:val="21"/>
        </w:rPr>
      </w:pPr>
      <w:r>
        <w:rPr>
          <w:b/>
          <w:spacing w:val="-8"/>
          <w:sz w:val="21"/>
        </w:rPr>
        <w:t>如果在承包人在相关文件中发现发包人有错误、遗漏、含糊、不一致、不适当或其他缺陷，承包人应</w:t>
      </w:r>
      <w:r>
        <w:rPr>
          <w:b/>
          <w:spacing w:val="-16"/>
          <w:sz w:val="21"/>
        </w:rPr>
        <w:t>及时指出，尽管发包人做出了任何同意或批准，承包人仍应自费对这些缺陷和其带来的工程问题进行改正。</w:t>
      </w:r>
    </w:p>
    <w:p>
      <w:pPr>
        <w:spacing w:before="1"/>
        <w:ind w:left="635"/>
        <w:rPr>
          <w:b/>
          <w:sz w:val="21"/>
        </w:rPr>
      </w:pPr>
      <w:r>
        <w:rPr>
          <w:b/>
          <w:sz w:val="21"/>
        </w:rPr>
        <w:t>32、设计评审、工程试验规定</w:t>
      </w:r>
    </w:p>
    <w:p>
      <w:pPr>
        <w:spacing w:before="151" w:line="374" w:lineRule="auto"/>
        <w:ind w:left="212" w:right="550" w:firstLine="422"/>
        <w:jc w:val="both"/>
        <w:rPr>
          <w:b/>
          <w:sz w:val="21"/>
        </w:rPr>
      </w:pPr>
      <w:r>
        <w:rPr>
          <w:b/>
          <w:spacing w:val="-7"/>
          <w:sz w:val="21"/>
        </w:rPr>
        <w:t>所有本项目开展的评审费用，专家差旅费用以及会务工作和费用，本条款相关费用视为已全部包含在</w:t>
      </w:r>
      <w:r>
        <w:rPr>
          <w:b/>
          <w:spacing w:val="-6"/>
          <w:sz w:val="21"/>
        </w:rPr>
        <w:t>本工程实体项目综合单价报价中，由承包人支付，投标人在投标报价时应充分考虑相关费用在实体清单综合单价中，招标人不另行单列结算。</w:t>
      </w:r>
    </w:p>
    <w:p>
      <w:pPr>
        <w:ind w:left="635"/>
        <w:rPr>
          <w:b/>
          <w:sz w:val="21"/>
        </w:rPr>
      </w:pPr>
      <w:r>
        <w:rPr>
          <w:b/>
          <w:sz w:val="21"/>
        </w:rPr>
        <w:t>33、其他</w:t>
      </w:r>
    </w:p>
    <w:p>
      <w:pPr>
        <w:spacing w:before="151" w:line="374" w:lineRule="auto"/>
        <w:ind w:left="212" w:right="549" w:firstLine="422"/>
        <w:rPr>
          <w:b/>
          <w:sz w:val="21"/>
        </w:rPr>
      </w:pPr>
      <w:r>
        <w:rPr>
          <w:b/>
          <w:spacing w:val="-6"/>
          <w:sz w:val="21"/>
        </w:rPr>
        <w:t>合同另有约定外，承包人应视为已取得工程有关风险、意外事件和其他情况的全部必要资料，并预见工程所有困难和费用。承包人遇到不可预见的困难和费用时，合同价格不予调整。</w:t>
      </w:r>
    </w:p>
    <w:p>
      <w:pPr>
        <w:spacing w:line="374" w:lineRule="auto"/>
        <w:rPr>
          <w:sz w:val="21"/>
        </w:rPr>
        <w:sectPr>
          <w:pgSz w:w="11910" w:h="16840"/>
          <w:pgMar w:top="1480" w:right="580" w:bottom="1220" w:left="920" w:header="0" w:footer="950" w:gutter="0"/>
          <w:cols w:space="720" w:num="1"/>
        </w:sectPr>
      </w:pPr>
    </w:p>
    <w:p>
      <w:pPr>
        <w:pStyle w:val="10"/>
        <w:rPr>
          <w:b/>
          <w:sz w:val="20"/>
        </w:rPr>
      </w:pPr>
    </w:p>
    <w:p>
      <w:pPr>
        <w:pStyle w:val="10"/>
        <w:spacing w:before="8"/>
        <w:rPr>
          <w:b/>
          <w:sz w:val="14"/>
        </w:rPr>
      </w:pPr>
    </w:p>
    <w:p>
      <w:pPr>
        <w:spacing w:before="55"/>
        <w:ind w:right="341"/>
        <w:jc w:val="center"/>
        <w:rPr>
          <w:rFonts w:ascii="黑体" w:eastAsia="黑体"/>
          <w:b/>
          <w:sz w:val="32"/>
        </w:rPr>
      </w:pPr>
      <w:bookmarkStart w:id="367" w:name="_bookmark278"/>
      <w:bookmarkEnd w:id="367"/>
      <w:r>
        <w:rPr>
          <w:rFonts w:hint="eastAsia" w:ascii="黑体" w:eastAsia="黑体"/>
          <w:b/>
          <w:sz w:val="32"/>
        </w:rPr>
        <w:t>第三节 合同附件格式</w:t>
      </w:r>
    </w:p>
    <w:p>
      <w:pPr>
        <w:jc w:val="center"/>
        <w:rPr>
          <w:rFonts w:ascii="黑体" w:eastAsia="黑体"/>
          <w:sz w:val="32"/>
        </w:rPr>
        <w:sectPr>
          <w:pgSz w:w="11910" w:h="16840"/>
          <w:pgMar w:top="1580" w:right="580" w:bottom="1220" w:left="920" w:header="0" w:footer="950" w:gutter="0"/>
          <w:cols w:space="720" w:num="1"/>
        </w:sectPr>
      </w:pPr>
    </w:p>
    <w:p>
      <w:pPr>
        <w:spacing w:before="37"/>
        <w:ind w:left="349"/>
        <w:rPr>
          <w:rFonts w:ascii="黑体" w:eastAsia="黑体"/>
          <w:sz w:val="28"/>
        </w:rPr>
      </w:pPr>
      <w:bookmarkStart w:id="368" w:name="_bookmark279"/>
      <w:bookmarkEnd w:id="368"/>
      <w:r>
        <w:rPr>
          <w:rFonts w:hint="eastAsia" w:ascii="黑体" w:eastAsia="黑体"/>
          <w:sz w:val="28"/>
        </w:rPr>
        <w:t>附件一：履约担保格式</w:t>
      </w:r>
    </w:p>
    <w:p>
      <w:pPr>
        <w:pStyle w:val="10"/>
        <w:rPr>
          <w:rFonts w:ascii="黑体"/>
          <w:sz w:val="20"/>
        </w:rPr>
      </w:pPr>
    </w:p>
    <w:p>
      <w:pPr>
        <w:pStyle w:val="10"/>
        <w:rPr>
          <w:rFonts w:ascii="黑体"/>
          <w:sz w:val="20"/>
        </w:rPr>
      </w:pPr>
    </w:p>
    <w:p>
      <w:pPr>
        <w:pStyle w:val="10"/>
        <w:spacing w:before="7"/>
        <w:rPr>
          <w:rFonts w:ascii="黑体"/>
          <w:sz w:val="22"/>
        </w:rPr>
      </w:pPr>
    </w:p>
    <w:p>
      <w:pPr>
        <w:spacing w:before="61"/>
        <w:ind w:right="338"/>
        <w:jc w:val="center"/>
        <w:rPr>
          <w:rFonts w:ascii="黑体" w:eastAsia="黑体"/>
          <w:sz w:val="28"/>
        </w:rPr>
      </w:pPr>
      <w:r>
        <w:rPr>
          <w:rFonts w:hint="eastAsia" w:ascii="黑体" w:eastAsia="黑体"/>
          <w:sz w:val="28"/>
        </w:rPr>
        <w:t>履约担保</w:t>
      </w:r>
    </w:p>
    <w:p>
      <w:pPr>
        <w:pStyle w:val="10"/>
        <w:rPr>
          <w:rFonts w:ascii="黑体"/>
          <w:sz w:val="20"/>
        </w:rPr>
      </w:pPr>
    </w:p>
    <w:p>
      <w:pPr>
        <w:pStyle w:val="10"/>
        <w:spacing w:before="2"/>
        <w:rPr>
          <w:rFonts w:ascii="黑体"/>
          <w:sz w:val="20"/>
        </w:rPr>
      </w:pPr>
    </w:p>
    <w:p>
      <w:pPr>
        <w:pStyle w:val="10"/>
        <w:tabs>
          <w:tab w:val="left" w:pos="2418"/>
        </w:tabs>
        <w:spacing w:before="78"/>
        <w:ind w:left="212"/>
      </w:pPr>
      <w:r>
        <w:rPr>
          <w:rFonts w:ascii="Times New Roman" w:eastAsia="Times New Roman"/>
          <w:u w:val="single"/>
        </w:rPr>
        <w:t xml:space="preserve"> </w:t>
      </w:r>
      <w:r>
        <w:rPr>
          <w:rFonts w:ascii="Times New Roman" w:eastAsia="Times New Roman"/>
          <w:u w:val="single"/>
        </w:rPr>
        <w:tab/>
      </w:r>
      <w:r>
        <w:t>（</w:t>
      </w:r>
      <w:r>
        <w:rPr>
          <w:spacing w:val="-3"/>
        </w:rPr>
        <w:t>发包人名称</w:t>
      </w:r>
      <w:r>
        <w:rPr>
          <w:spacing w:val="-108"/>
        </w:rPr>
        <w:t>）</w:t>
      </w:r>
      <w:r>
        <w:t>：</w:t>
      </w:r>
    </w:p>
    <w:p>
      <w:pPr>
        <w:pStyle w:val="10"/>
        <w:rPr>
          <w:sz w:val="20"/>
        </w:rPr>
      </w:pPr>
    </w:p>
    <w:p>
      <w:pPr>
        <w:pStyle w:val="10"/>
        <w:spacing w:before="6"/>
      </w:pPr>
    </w:p>
    <w:p>
      <w:pPr>
        <w:pStyle w:val="10"/>
        <w:tabs>
          <w:tab w:val="left" w:pos="1329"/>
          <w:tab w:val="left" w:pos="1854"/>
          <w:tab w:val="left" w:pos="2377"/>
          <w:tab w:val="left" w:pos="2737"/>
          <w:tab w:val="left" w:pos="3924"/>
          <w:tab w:val="left" w:pos="7238"/>
        </w:tabs>
        <w:spacing w:before="78" w:line="393" w:lineRule="auto"/>
        <w:ind w:left="212" w:right="443" w:firstLine="420"/>
      </w:pPr>
      <w:r>
        <w:t>鉴于</w:t>
      </w:r>
      <w:r>
        <w:rPr>
          <w:u w:val="single"/>
        </w:rPr>
        <w:t xml:space="preserve"> </w:t>
      </w:r>
      <w:r>
        <w:rPr>
          <w:u w:val="single"/>
        </w:rPr>
        <w:tab/>
      </w:r>
      <w:r>
        <w:rPr>
          <w:u w:val="single"/>
        </w:rPr>
        <w:tab/>
      </w:r>
      <w:r>
        <w:rPr>
          <w:u w:val="single"/>
        </w:rPr>
        <w:tab/>
      </w:r>
      <w:r>
        <w:rPr>
          <w:u w:val="single"/>
        </w:rPr>
        <w:tab/>
      </w:r>
      <w:r>
        <w:rPr>
          <w:spacing w:val="-3"/>
        </w:rPr>
        <w:t>（</w:t>
      </w:r>
      <w:r>
        <w:t>发包</w:t>
      </w:r>
      <w:r>
        <w:rPr>
          <w:spacing w:val="-3"/>
        </w:rPr>
        <w:t>人</w:t>
      </w:r>
      <w:r>
        <w:t>名称</w:t>
      </w:r>
      <w:r>
        <w:rPr>
          <w:spacing w:val="-3"/>
        </w:rPr>
        <w:t>，</w:t>
      </w:r>
      <w:r>
        <w:t>以</w:t>
      </w:r>
      <w:r>
        <w:rPr>
          <w:spacing w:val="-3"/>
        </w:rPr>
        <w:t>下</w:t>
      </w:r>
      <w:r>
        <w:t>简称</w:t>
      </w:r>
      <w:r>
        <w:rPr>
          <w:rFonts w:ascii="Times New Roman" w:hAnsi="Times New Roman" w:eastAsia="Times New Roman"/>
        </w:rPr>
        <w:t>“</w:t>
      </w:r>
      <w:r>
        <w:rPr>
          <w:spacing w:val="-3"/>
        </w:rPr>
        <w:t>发</w:t>
      </w:r>
      <w:r>
        <w:t>包人</w:t>
      </w:r>
      <w:r>
        <w:rPr>
          <w:rFonts w:ascii="Times New Roman" w:hAnsi="Times New Roman" w:eastAsia="Times New Roman"/>
        </w:rPr>
        <w:t>”</w:t>
      </w:r>
      <w:r>
        <w:t>）接受</w:t>
      </w:r>
      <w:r>
        <w:rPr>
          <w:u w:val="single"/>
        </w:rPr>
        <w:t xml:space="preserve"> </w:t>
      </w:r>
      <w:r>
        <w:rPr>
          <w:u w:val="single"/>
        </w:rPr>
        <w:tab/>
      </w:r>
      <w:r>
        <w:rPr>
          <w:spacing w:val="-3"/>
        </w:rPr>
        <w:t>（承</w:t>
      </w:r>
      <w:r>
        <w:t>包人</w:t>
      </w:r>
      <w:r>
        <w:rPr>
          <w:spacing w:val="-3"/>
        </w:rPr>
        <w:t>名</w:t>
      </w:r>
      <w:r>
        <w:t>称，</w:t>
      </w:r>
      <w:r>
        <w:rPr>
          <w:spacing w:val="-3"/>
        </w:rPr>
        <w:t>以</w:t>
      </w:r>
      <w:r>
        <w:t>下称</w:t>
      </w:r>
      <w:r>
        <w:rPr>
          <w:rFonts w:ascii="Times New Roman" w:hAnsi="Times New Roman" w:eastAsia="Times New Roman"/>
          <w:spacing w:val="-3"/>
        </w:rPr>
        <w:t>“</w:t>
      </w:r>
      <w:r>
        <w:t>承包人</w:t>
      </w:r>
      <w:r>
        <w:rPr>
          <w:rFonts w:ascii="Times New Roman" w:hAnsi="Times New Roman" w:eastAsia="Times New Roman"/>
          <w:spacing w:val="-17"/>
        </w:rPr>
        <w:t>”</w:t>
      </w:r>
      <w:r>
        <w:rPr>
          <w:spacing w:val="-17"/>
        </w:rPr>
        <w:t>）</w:t>
      </w:r>
      <w:r>
        <w:t>于</w:t>
      </w:r>
      <w:r>
        <w:rPr>
          <w:u w:val="single"/>
        </w:rPr>
        <w:t xml:space="preserve"> </w:t>
      </w:r>
      <w:r>
        <w:rPr>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rPr>
          <w:spacing w:val="-3"/>
        </w:rPr>
        <w:t>日</w:t>
      </w:r>
      <w:r>
        <w:t>参加</w:t>
      </w:r>
      <w:r>
        <w:rPr>
          <w:u w:val="single"/>
        </w:rPr>
        <w:t xml:space="preserve"> </w:t>
      </w:r>
      <w:r>
        <w:rPr>
          <w:u w:val="single"/>
        </w:rPr>
        <w:tab/>
      </w:r>
      <w:r>
        <w:t>（</w:t>
      </w:r>
      <w:r>
        <w:rPr>
          <w:spacing w:val="-3"/>
        </w:rPr>
        <w:t>项</w:t>
      </w:r>
      <w:r>
        <w:t>目</w:t>
      </w:r>
      <w:r>
        <w:rPr>
          <w:spacing w:val="-3"/>
        </w:rPr>
        <w:t>名称</w:t>
      </w:r>
      <w:r>
        <w:rPr>
          <w:spacing w:val="-29"/>
        </w:rPr>
        <w:t>）</w:t>
      </w:r>
      <w:r>
        <w:t>的</w:t>
      </w:r>
      <w:r>
        <w:rPr>
          <w:spacing w:val="-3"/>
        </w:rPr>
        <w:t>投</w:t>
      </w:r>
      <w:r>
        <w:t>标</w:t>
      </w:r>
      <w:r>
        <w:rPr>
          <w:spacing w:val="-32"/>
        </w:rPr>
        <w:t>。</w:t>
      </w:r>
      <w:r>
        <w:t>我</w:t>
      </w:r>
      <w:r>
        <w:rPr>
          <w:spacing w:val="-3"/>
        </w:rPr>
        <w:t>方</w:t>
      </w:r>
      <w:r>
        <w:t>愿</w:t>
      </w:r>
      <w:r>
        <w:rPr>
          <w:spacing w:val="-3"/>
        </w:rPr>
        <w:t>意</w:t>
      </w:r>
      <w:r>
        <w:t>就</w:t>
      </w:r>
      <w:r>
        <w:rPr>
          <w:spacing w:val="-3"/>
        </w:rPr>
        <w:t>承</w:t>
      </w:r>
      <w:r>
        <w:t>包人</w:t>
      </w:r>
      <w:r>
        <w:rPr>
          <w:spacing w:val="-3"/>
        </w:rPr>
        <w:t>履</w:t>
      </w:r>
      <w:r>
        <w:t>行</w:t>
      </w:r>
      <w:r>
        <w:rPr>
          <w:spacing w:val="-3"/>
        </w:rPr>
        <w:t>与</w:t>
      </w:r>
      <w:r>
        <w:t>你</w:t>
      </w:r>
      <w:r>
        <w:rPr>
          <w:spacing w:val="-3"/>
        </w:rPr>
        <w:t>方</w:t>
      </w:r>
      <w:r>
        <w:t>订</w:t>
      </w:r>
      <w:r>
        <w:rPr>
          <w:spacing w:val="-3"/>
        </w:rPr>
        <w:t>立</w:t>
      </w:r>
      <w:r>
        <w:t>的</w:t>
      </w:r>
      <w:r>
        <w:rPr>
          <w:spacing w:val="-3"/>
        </w:rPr>
        <w:t>合</w:t>
      </w:r>
      <w:r>
        <w:t>同，</w:t>
      </w:r>
    </w:p>
    <w:p>
      <w:pPr>
        <w:pStyle w:val="10"/>
        <w:spacing w:line="268" w:lineRule="exact"/>
        <w:ind w:left="212"/>
      </w:pPr>
      <w:r>
        <w:t>向你方提供担保。</w:t>
      </w:r>
    </w:p>
    <w:p>
      <w:pPr>
        <w:pStyle w:val="35"/>
        <w:numPr>
          <w:ilvl w:val="0"/>
          <w:numId w:val="96"/>
        </w:numPr>
        <w:tabs>
          <w:tab w:val="left" w:pos="898"/>
          <w:tab w:val="left" w:pos="4992"/>
          <w:tab w:val="left" w:pos="6672"/>
        </w:tabs>
        <w:spacing w:before="170"/>
        <w:ind w:hanging="265"/>
        <w:rPr>
          <w:sz w:val="21"/>
        </w:rPr>
      </w:pPr>
      <w:r>
        <w:rPr>
          <w:spacing w:val="-3"/>
          <w:sz w:val="21"/>
        </w:rPr>
        <w:t>担</w:t>
      </w:r>
      <w:r>
        <w:rPr>
          <w:sz w:val="21"/>
        </w:rPr>
        <w:t>保</w:t>
      </w:r>
      <w:r>
        <w:rPr>
          <w:spacing w:val="-3"/>
          <w:sz w:val="21"/>
        </w:rPr>
        <w:t>金</w:t>
      </w:r>
      <w:r>
        <w:rPr>
          <w:sz w:val="21"/>
        </w:rPr>
        <w:t>额</w:t>
      </w:r>
      <w:r>
        <w:rPr>
          <w:spacing w:val="-3"/>
          <w:sz w:val="21"/>
        </w:rPr>
        <w:t>人</w:t>
      </w:r>
      <w:r>
        <w:rPr>
          <w:sz w:val="21"/>
        </w:rPr>
        <w:t>民</w:t>
      </w:r>
      <w:r>
        <w:rPr>
          <w:spacing w:val="-3"/>
          <w:sz w:val="21"/>
        </w:rPr>
        <w:t>币</w:t>
      </w:r>
      <w:r>
        <w:rPr>
          <w:sz w:val="21"/>
        </w:rPr>
        <w:t>（</w:t>
      </w:r>
      <w:r>
        <w:rPr>
          <w:spacing w:val="-3"/>
          <w:sz w:val="21"/>
        </w:rPr>
        <w:t>大写</w:t>
      </w:r>
      <w:r>
        <w:rPr>
          <w:sz w:val="21"/>
        </w:rPr>
        <w:t>）</w:t>
      </w:r>
      <w:r>
        <w:rPr>
          <w:sz w:val="21"/>
          <w:u w:val="single"/>
        </w:rPr>
        <w:t xml:space="preserve"> </w:t>
      </w:r>
      <w:r>
        <w:rPr>
          <w:sz w:val="21"/>
          <w:u w:val="single"/>
        </w:rPr>
        <w:tab/>
      </w:r>
      <w:r>
        <w:rPr>
          <w:sz w:val="21"/>
        </w:rPr>
        <w:t>（</w:t>
      </w:r>
      <w:r>
        <w:rPr>
          <w:rFonts w:ascii="Times New Roman" w:hAnsi="Times New Roman" w:eastAsia="Times New Roman"/>
          <w:sz w:val="21"/>
        </w:rPr>
        <w:t>¥</w:t>
      </w:r>
      <w:r>
        <w:rPr>
          <w:rFonts w:ascii="Times New Roman" w:hAnsi="Times New Roman" w:eastAsia="Times New Roman"/>
          <w:sz w:val="21"/>
          <w:u w:val="single"/>
        </w:rPr>
        <w:t xml:space="preserve"> </w:t>
      </w:r>
      <w:r>
        <w:rPr>
          <w:rFonts w:ascii="Times New Roman" w:hAnsi="Times New Roman" w:eastAsia="Times New Roman"/>
          <w:sz w:val="21"/>
          <w:u w:val="single"/>
        </w:rPr>
        <w:tab/>
      </w:r>
      <w:r>
        <w:rPr>
          <w:spacing w:val="-108"/>
          <w:sz w:val="21"/>
        </w:rPr>
        <w:t>）。</w:t>
      </w:r>
    </w:p>
    <w:p>
      <w:pPr>
        <w:pStyle w:val="35"/>
        <w:numPr>
          <w:ilvl w:val="0"/>
          <w:numId w:val="96"/>
        </w:numPr>
        <w:tabs>
          <w:tab w:val="left" w:pos="900"/>
        </w:tabs>
        <w:spacing w:before="172" w:line="391" w:lineRule="auto"/>
        <w:ind w:left="212" w:right="551" w:firstLine="420"/>
        <w:rPr>
          <w:sz w:val="21"/>
        </w:rPr>
      </w:pPr>
      <w:r>
        <w:rPr>
          <w:sz w:val="21"/>
        </w:rPr>
        <w:t>担保有效期自发包人与承包人签订的合同生效之日起至承包人通过竣工后试验及发包人收到承包</w:t>
      </w:r>
      <w:r>
        <w:rPr>
          <w:spacing w:val="-3"/>
          <w:sz w:val="21"/>
        </w:rPr>
        <w:t>人的质量保证金之日止。</w:t>
      </w:r>
    </w:p>
    <w:p>
      <w:pPr>
        <w:pStyle w:val="35"/>
        <w:numPr>
          <w:ilvl w:val="0"/>
          <w:numId w:val="96"/>
        </w:numPr>
        <w:tabs>
          <w:tab w:val="left" w:pos="898"/>
        </w:tabs>
        <w:spacing w:before="2" w:line="393" w:lineRule="auto"/>
        <w:ind w:left="212" w:right="546" w:firstLine="420"/>
        <w:rPr>
          <w:sz w:val="21"/>
        </w:rPr>
      </w:pPr>
      <w:r>
        <w:rPr>
          <w:spacing w:val="-8"/>
          <w:sz w:val="21"/>
        </w:rPr>
        <w:t xml:space="preserve">在本担保有效期内，因承包人违反合同约定的义务给你方造成经济损失时，我方在收到你方以书面形式提出的在担保金额内的赔偿要求后，在 </w:t>
      </w:r>
      <w:r>
        <w:rPr>
          <w:rFonts w:ascii="Times New Roman" w:eastAsia="Times New Roman"/>
          <w:sz w:val="21"/>
        </w:rPr>
        <w:t>7</w:t>
      </w:r>
      <w:r>
        <w:rPr>
          <w:rFonts w:ascii="Times New Roman" w:eastAsia="Times New Roman"/>
          <w:spacing w:val="-3"/>
          <w:sz w:val="21"/>
        </w:rPr>
        <w:t xml:space="preserve"> </w:t>
      </w:r>
      <w:r>
        <w:rPr>
          <w:spacing w:val="-2"/>
          <w:sz w:val="21"/>
        </w:rPr>
        <w:t>天内支付。</w:t>
      </w:r>
    </w:p>
    <w:p>
      <w:pPr>
        <w:pStyle w:val="35"/>
        <w:numPr>
          <w:ilvl w:val="0"/>
          <w:numId w:val="96"/>
        </w:numPr>
        <w:tabs>
          <w:tab w:val="left" w:pos="898"/>
        </w:tabs>
        <w:spacing w:line="267" w:lineRule="exact"/>
        <w:ind w:hanging="265"/>
        <w:rPr>
          <w:sz w:val="21"/>
        </w:rPr>
      </w:pPr>
      <w:r>
        <w:rPr>
          <w:spacing w:val="-6"/>
          <w:sz w:val="21"/>
        </w:rPr>
        <w:t xml:space="preserve">发包人和承包人按《通用合同条款》第 </w:t>
      </w:r>
      <w:r>
        <w:rPr>
          <w:rFonts w:ascii="Times New Roman" w:eastAsia="Times New Roman"/>
          <w:sz w:val="21"/>
        </w:rPr>
        <w:t>15</w:t>
      </w:r>
      <w:r>
        <w:rPr>
          <w:rFonts w:ascii="Times New Roman" w:eastAsia="Times New Roman"/>
          <w:spacing w:val="-1"/>
          <w:sz w:val="21"/>
        </w:rPr>
        <w:t xml:space="preserve"> </w:t>
      </w:r>
      <w:r>
        <w:rPr>
          <w:spacing w:val="-3"/>
          <w:sz w:val="21"/>
        </w:rPr>
        <w:t>条变更合同时，我方承担本担保规定的义务不变。</w:t>
      </w:r>
    </w:p>
    <w:p>
      <w:pPr>
        <w:pStyle w:val="10"/>
        <w:rPr>
          <w:sz w:val="22"/>
        </w:rPr>
      </w:pPr>
    </w:p>
    <w:p>
      <w:pPr>
        <w:pStyle w:val="10"/>
        <w:rPr>
          <w:sz w:val="22"/>
        </w:rPr>
      </w:pPr>
    </w:p>
    <w:p>
      <w:pPr>
        <w:pStyle w:val="10"/>
        <w:tabs>
          <w:tab w:val="left" w:pos="7205"/>
        </w:tabs>
        <w:spacing w:before="175"/>
        <w:ind w:left="3633"/>
      </w:pPr>
      <w:r>
        <w:t>担 保 人</w:t>
      </w:r>
      <w:r>
        <w:rPr>
          <w:spacing w:val="-3"/>
        </w:rPr>
        <w:t>：</w:t>
      </w:r>
      <w:r>
        <w:rPr>
          <w:spacing w:val="-3"/>
          <w:u w:val="single"/>
        </w:rPr>
        <w:t xml:space="preserve"> </w:t>
      </w:r>
      <w:r>
        <w:rPr>
          <w:spacing w:val="-3"/>
          <w:u w:val="single"/>
        </w:rPr>
        <w:tab/>
      </w:r>
      <w:r>
        <w:rPr>
          <w:spacing w:val="-3"/>
        </w:rPr>
        <w:t>（</w:t>
      </w:r>
      <w:r>
        <w:t>盖</w:t>
      </w:r>
      <w:r>
        <w:rPr>
          <w:spacing w:val="-3"/>
        </w:rPr>
        <w:t>单</w:t>
      </w:r>
      <w:r>
        <w:t>位</w:t>
      </w:r>
      <w:r>
        <w:rPr>
          <w:spacing w:val="-3"/>
        </w:rPr>
        <w:t>章</w:t>
      </w:r>
      <w:r>
        <w:t>）</w:t>
      </w:r>
    </w:p>
    <w:p>
      <w:pPr>
        <w:pStyle w:val="10"/>
        <w:spacing w:before="9"/>
        <w:rPr>
          <w:sz w:val="19"/>
        </w:rPr>
      </w:pPr>
    </w:p>
    <w:p>
      <w:pPr>
        <w:pStyle w:val="10"/>
        <w:tabs>
          <w:tab w:val="left" w:pos="7627"/>
        </w:tabs>
        <w:spacing w:before="79"/>
        <w:ind w:left="3633"/>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 xml:space="preserve"> </w:t>
      </w:r>
      <w:r>
        <w:rPr>
          <w:u w:val="single"/>
        </w:rPr>
        <w:tab/>
      </w:r>
      <w:r>
        <w:rPr>
          <w:spacing w:val="-3"/>
        </w:rPr>
        <w:t>（</w:t>
      </w:r>
      <w:r>
        <w:t>签</w:t>
      </w:r>
      <w:r>
        <w:rPr>
          <w:spacing w:val="-3"/>
        </w:rPr>
        <w:t>字</w:t>
      </w:r>
      <w:r>
        <w:t>）</w:t>
      </w:r>
    </w:p>
    <w:p>
      <w:pPr>
        <w:pStyle w:val="10"/>
        <w:spacing w:before="9"/>
        <w:rPr>
          <w:sz w:val="19"/>
        </w:rPr>
      </w:pPr>
    </w:p>
    <w:p>
      <w:pPr>
        <w:pStyle w:val="10"/>
        <w:tabs>
          <w:tab w:val="left" w:pos="4264"/>
          <w:tab w:val="left" w:pos="8511"/>
        </w:tabs>
        <w:spacing w:before="78"/>
        <w:ind w:left="3633"/>
        <w:rPr>
          <w:rFonts w:ascii="Times New Roman" w:eastAsia="Times New Roman"/>
        </w:rPr>
      </w:pPr>
      <w:r>
        <w:t>地</w:t>
      </w:r>
      <w:r>
        <w:tab/>
      </w:r>
      <w:r>
        <w:t>址</w:t>
      </w:r>
      <w:r>
        <w:rPr>
          <w:spacing w:val="-3"/>
        </w:rPr>
        <w:t>：</w:t>
      </w:r>
      <w:r>
        <w:rPr>
          <w:rFonts w:ascii="Times New Roman" w:eastAsia="Times New Roman"/>
          <w:u w:val="single"/>
        </w:rPr>
        <w:t xml:space="preserve"> </w:t>
      </w:r>
      <w:r>
        <w:rPr>
          <w:rFonts w:ascii="Times New Roman" w:eastAsia="Times New Roman"/>
          <w:u w:val="single"/>
        </w:rPr>
        <w:tab/>
      </w:r>
    </w:p>
    <w:p>
      <w:pPr>
        <w:pStyle w:val="10"/>
        <w:rPr>
          <w:rFonts w:ascii="Times New Roman"/>
          <w:sz w:val="22"/>
        </w:rPr>
      </w:pPr>
    </w:p>
    <w:p>
      <w:pPr>
        <w:pStyle w:val="10"/>
        <w:tabs>
          <w:tab w:val="left" w:pos="8453"/>
        </w:tabs>
        <w:spacing w:before="78"/>
        <w:ind w:left="3633"/>
        <w:rPr>
          <w:rFonts w:ascii="Times New Roman" w:eastAsia="Times New Roman"/>
        </w:rPr>
      </w:pPr>
      <w:r>
        <w:t>邮政</w:t>
      </w:r>
      <w:r>
        <w:rPr>
          <w:spacing w:val="-3"/>
        </w:rPr>
        <w:t>编</w:t>
      </w:r>
      <w:r>
        <w:t>码</w:t>
      </w:r>
      <w:r>
        <w:rPr>
          <w:spacing w:val="-3"/>
        </w:rPr>
        <w:t>：</w:t>
      </w:r>
      <w:r>
        <w:rPr>
          <w:rFonts w:ascii="Times New Roman" w:eastAsia="Times New Roman"/>
          <w:u w:val="single"/>
        </w:rPr>
        <w:t xml:space="preserve"> </w:t>
      </w:r>
      <w:r>
        <w:rPr>
          <w:rFonts w:ascii="Times New Roman" w:eastAsia="Times New Roman"/>
          <w:u w:val="single"/>
        </w:rPr>
        <w:tab/>
      </w:r>
    </w:p>
    <w:p>
      <w:pPr>
        <w:pStyle w:val="10"/>
        <w:rPr>
          <w:rFonts w:ascii="Times New Roman"/>
          <w:sz w:val="22"/>
        </w:rPr>
      </w:pPr>
    </w:p>
    <w:p>
      <w:pPr>
        <w:pStyle w:val="10"/>
        <w:tabs>
          <w:tab w:val="left" w:pos="4264"/>
          <w:tab w:val="left" w:pos="8407"/>
        </w:tabs>
        <w:spacing w:before="78"/>
        <w:ind w:left="3633"/>
        <w:rPr>
          <w:rFonts w:ascii="Times New Roman" w:eastAsia="Times New Roman"/>
        </w:rPr>
      </w:pPr>
      <w:r>
        <w:t>电</w:t>
      </w:r>
      <w:r>
        <w:tab/>
      </w:r>
      <w:r>
        <w:t>话</w:t>
      </w:r>
      <w:r>
        <w:rPr>
          <w:spacing w:val="-3"/>
        </w:rPr>
        <w:t>：</w:t>
      </w:r>
      <w:r>
        <w:rPr>
          <w:rFonts w:ascii="Times New Roman" w:eastAsia="Times New Roman"/>
          <w:u w:val="single"/>
        </w:rPr>
        <w:t xml:space="preserve"> </w:t>
      </w:r>
      <w:r>
        <w:rPr>
          <w:rFonts w:ascii="Times New Roman" w:eastAsia="Times New Roman"/>
          <w:u w:val="single"/>
        </w:rPr>
        <w:tab/>
      </w:r>
    </w:p>
    <w:p>
      <w:pPr>
        <w:pStyle w:val="10"/>
        <w:spacing w:before="6"/>
        <w:rPr>
          <w:rFonts w:ascii="Times New Roman"/>
          <w:sz w:val="22"/>
        </w:rPr>
      </w:pPr>
    </w:p>
    <w:p>
      <w:pPr>
        <w:pStyle w:val="10"/>
        <w:tabs>
          <w:tab w:val="left" w:pos="5630"/>
          <w:tab w:val="left" w:pos="6679"/>
          <w:tab w:val="left" w:pos="7730"/>
        </w:tabs>
        <w:spacing w:before="72"/>
        <w:ind w:left="457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ectPr>
          <w:pgSz w:w="11910" w:h="16840"/>
          <w:pgMar w:top="1520" w:right="580" w:bottom="1180" w:left="920" w:header="0" w:footer="950" w:gutter="0"/>
          <w:cols w:space="720" w:num="1"/>
        </w:sect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2"/>
        <w:rPr>
          <w:sz w:val="27"/>
        </w:rPr>
      </w:pPr>
    </w:p>
    <w:p>
      <w:pPr>
        <w:pStyle w:val="2"/>
      </w:pPr>
      <w:bookmarkStart w:id="369" w:name="_bookmark281"/>
      <w:bookmarkEnd w:id="369"/>
      <w:bookmarkStart w:id="370" w:name="_Toc37926094"/>
      <w:r>
        <w:t>第二卷</w:t>
      </w:r>
      <w:bookmarkEnd w:id="370"/>
    </w:p>
    <w:p>
      <w:pPr>
        <w:sectPr>
          <w:pgSz w:w="11910" w:h="16840"/>
          <w:pgMar w:top="1580" w:right="580" w:bottom="1180" w:left="920" w:header="0" w:footer="950" w:gutter="0"/>
          <w:cols w:space="720" w:num="1"/>
        </w:sect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spacing w:before="6"/>
        <w:rPr>
          <w:b/>
          <w:sz w:val="25"/>
        </w:rPr>
      </w:pPr>
    </w:p>
    <w:p>
      <w:pPr>
        <w:pStyle w:val="2"/>
        <w:tabs>
          <w:tab w:val="left" w:pos="1766"/>
        </w:tabs>
        <w:ind w:right="339"/>
      </w:pPr>
      <w:bookmarkStart w:id="371" w:name="_bookmark282"/>
      <w:bookmarkEnd w:id="371"/>
      <w:bookmarkStart w:id="372" w:name="_Toc37926095"/>
      <w:r>
        <w:t>第五章</w:t>
      </w:r>
      <w:r>
        <w:tab/>
      </w:r>
      <w:r>
        <w:t>发包人要求</w:t>
      </w:r>
      <w:bookmarkEnd w:id="372"/>
    </w:p>
    <w:p>
      <w:pPr>
        <w:sectPr>
          <w:pgSz w:w="11910" w:h="16840"/>
          <w:pgMar w:top="1580" w:right="580" w:bottom="1180" w:left="920" w:header="0" w:footer="950" w:gutter="0"/>
          <w:cols w:space="720" w:num="1"/>
        </w:sectPr>
      </w:pPr>
    </w:p>
    <w:p>
      <w:pPr>
        <w:pStyle w:val="6"/>
        <w:spacing w:before="61"/>
      </w:pPr>
      <w:r>
        <w:t>1、项目建设基本情况</w:t>
      </w:r>
    </w:p>
    <w:p>
      <w:pPr>
        <w:pStyle w:val="10"/>
        <w:spacing w:before="7"/>
        <w:rPr>
          <w:b/>
          <w:sz w:val="15"/>
        </w:rPr>
      </w:pPr>
    </w:p>
    <w:p>
      <w:pPr>
        <w:pStyle w:val="35"/>
        <w:numPr>
          <w:ilvl w:val="1"/>
          <w:numId w:val="97"/>
        </w:numPr>
        <w:tabs>
          <w:tab w:val="left" w:pos="952"/>
        </w:tabs>
        <w:ind w:hanging="319"/>
        <w:rPr>
          <w:sz w:val="21"/>
        </w:rPr>
      </w:pPr>
      <w:r>
        <w:rPr>
          <w:spacing w:val="-3"/>
          <w:sz w:val="21"/>
        </w:rPr>
        <w:t>、工程名称：广东省江门市气象局上川岛国家天气雷达项目设计施工总承包。</w:t>
      </w:r>
    </w:p>
    <w:p>
      <w:pPr>
        <w:pStyle w:val="10"/>
        <w:spacing w:before="7"/>
        <w:rPr>
          <w:sz w:val="15"/>
        </w:rPr>
      </w:pPr>
    </w:p>
    <w:p>
      <w:pPr>
        <w:pStyle w:val="35"/>
        <w:numPr>
          <w:ilvl w:val="1"/>
          <w:numId w:val="97"/>
        </w:numPr>
        <w:tabs>
          <w:tab w:val="left" w:pos="952"/>
        </w:tabs>
        <w:ind w:hanging="319"/>
        <w:rPr>
          <w:sz w:val="21"/>
        </w:rPr>
      </w:pPr>
      <w:r>
        <w:rPr>
          <w:spacing w:val="-3"/>
          <w:sz w:val="21"/>
        </w:rPr>
        <w:t>、建设地点：</w:t>
      </w:r>
      <w:r>
        <w:rPr>
          <w:sz w:val="21"/>
        </w:rPr>
        <w:t xml:space="preserve"> </w:t>
      </w:r>
      <w:r>
        <w:rPr>
          <w:rFonts w:hint="eastAsia"/>
        </w:rPr>
        <w:t>①本项目雷达塔楼及值班用房配套设施建设地点在江门台山市上川岛；</w:t>
      </w:r>
    </w:p>
    <w:p>
      <w:pPr>
        <w:pStyle w:val="35"/>
      </w:pPr>
      <w:r>
        <w:rPr>
          <w:rFonts w:hint="eastAsia"/>
          <w:sz w:val="21"/>
        </w:rPr>
        <w:t xml:space="preserve">                </w:t>
      </w:r>
      <w:r>
        <w:rPr>
          <w:rFonts w:hint="eastAsia"/>
        </w:rPr>
        <w:t>②本项目雷达信息接收处理中心及配套设施建设地点在江门市蓬江区；</w:t>
      </w:r>
    </w:p>
    <w:p>
      <w:pPr>
        <w:tabs>
          <w:tab w:val="left" w:pos="952"/>
        </w:tabs>
        <w:rPr>
          <w:sz w:val="15"/>
        </w:rPr>
      </w:pPr>
      <w:r>
        <w:rPr>
          <w:rFonts w:hint="eastAsia"/>
          <w:sz w:val="21"/>
        </w:rPr>
        <w:t xml:space="preserve">            </w:t>
      </w:r>
    </w:p>
    <w:p>
      <w:pPr>
        <w:pStyle w:val="35"/>
        <w:numPr>
          <w:ilvl w:val="1"/>
          <w:numId w:val="97"/>
        </w:numPr>
        <w:tabs>
          <w:tab w:val="left" w:pos="952"/>
        </w:tabs>
        <w:spacing w:before="1"/>
        <w:jc w:val="both"/>
        <w:rPr>
          <w:spacing w:val="-5"/>
        </w:rPr>
      </w:pPr>
      <w:r>
        <w:rPr>
          <w:spacing w:val="-10"/>
          <w:sz w:val="21"/>
        </w:rPr>
        <w:t>、</w:t>
      </w:r>
      <w:r>
        <w:rPr>
          <w:color w:val="FF0000"/>
          <w:spacing w:val="-3"/>
          <w:sz w:val="21"/>
        </w:rPr>
        <w:t>项目建设内容：</w:t>
      </w:r>
      <w:r>
        <w:rPr>
          <w:rFonts w:hint="eastAsia"/>
          <w:color w:val="FF0000"/>
        </w:rPr>
        <w:t>①</w:t>
      </w:r>
      <w:r>
        <w:rPr>
          <w:rFonts w:hint="eastAsia"/>
          <w:color w:val="FF0000"/>
          <w:spacing w:val="-3"/>
          <w:sz w:val="21"/>
        </w:rPr>
        <w:t>雷达塔楼及配套的基础设施主要包括：新建雷达塔楼、值班用房、道路、</w:t>
      </w:r>
      <w:r>
        <w:rPr>
          <w:rFonts w:hint="eastAsia"/>
          <w:color w:val="FF0000"/>
          <w:spacing w:val="-3"/>
          <w:sz w:val="21"/>
          <w:highlight w:val="yellow"/>
        </w:rPr>
        <w:t>土墙、护坡、大门、</w:t>
      </w:r>
      <w:r>
        <w:rPr>
          <w:rFonts w:hint="eastAsia"/>
          <w:color w:val="FF0000"/>
          <w:spacing w:val="-3"/>
          <w:sz w:val="21"/>
        </w:rPr>
        <w:t>电梯、等配套基础设施（土建工程总建筑面积约</w:t>
      </w:r>
      <w:r>
        <w:rPr>
          <w:color w:val="FF0000"/>
          <w:spacing w:val="-3"/>
          <w:sz w:val="21"/>
        </w:rPr>
        <w:t>1600平方米），重点按照雷达探测环境和气象观测探测环境保护要求的规定，对雷达站所在园区进行整体规划和布局，</w:t>
      </w:r>
      <w:r>
        <w:rPr>
          <w:color w:val="FF0000"/>
          <w:spacing w:val="-3"/>
          <w:sz w:val="21"/>
          <w:highlight w:val="yellow"/>
        </w:rPr>
        <w:t>完成相应的供水接入（上水）</w:t>
      </w:r>
      <w:r>
        <w:rPr>
          <w:color w:val="FF0000"/>
          <w:spacing w:val="-3"/>
          <w:sz w:val="21"/>
        </w:rPr>
        <w:t>、污水排放（下水）、供电、照明（雷达站上山道路至雷达塔楼）、道路建设、通信光缆接入、庭院场地平整与“三化”（硬化、美化、绿化）等建设，为雷达运行提供基础保障</w:t>
      </w:r>
      <w:r>
        <w:rPr>
          <w:rFonts w:hint="eastAsia"/>
          <w:color w:val="FF0000"/>
        </w:rPr>
        <w:t>；</w:t>
      </w:r>
      <w:r>
        <w:rPr>
          <w:color w:val="FF0000"/>
          <w:spacing w:val="-3"/>
          <w:sz w:val="21"/>
        </w:rPr>
        <w:cr/>
      </w:r>
      <w:r>
        <w:rPr>
          <w:color w:val="FF0000"/>
          <w:spacing w:val="-3"/>
          <w:sz w:val="21"/>
        </w:rPr>
        <w:t>②</w:t>
      </w:r>
      <w:r>
        <w:rPr>
          <w:rFonts w:hint="eastAsia"/>
          <w:color w:val="FF0000"/>
          <w:spacing w:val="-3"/>
          <w:sz w:val="21"/>
        </w:rPr>
        <w:t>雷达信息接收处理中心配套设施建设：处理中心外墙翻新、玻璃窗更换、门口改造、大堂改造、</w:t>
      </w:r>
      <w:r>
        <w:rPr>
          <w:rFonts w:hint="eastAsia"/>
          <w:color w:val="FF0000"/>
          <w:spacing w:val="-3"/>
          <w:sz w:val="21"/>
          <w:highlight w:val="yellow"/>
        </w:rPr>
        <w:t>新业务用房门口广场改造</w:t>
      </w:r>
      <w:r>
        <w:rPr>
          <w:rFonts w:hint="eastAsia"/>
          <w:color w:val="FF0000"/>
          <w:spacing w:val="-3"/>
          <w:sz w:val="21"/>
        </w:rPr>
        <w:t>、机房场地环境改造、电梯和配置雷达数据存储资源池，配套道路、供水、供电、通信、防雷及绿化等基础设施</w:t>
      </w:r>
      <w:r>
        <w:rPr>
          <w:rFonts w:hint="eastAsia"/>
          <w:color w:val="FF0000"/>
        </w:rPr>
        <w:t>。</w:t>
      </w:r>
    </w:p>
    <w:p>
      <w:pPr>
        <w:pStyle w:val="35"/>
        <w:tabs>
          <w:tab w:val="left" w:pos="952"/>
        </w:tabs>
        <w:spacing w:before="1"/>
        <w:ind w:left="951" w:firstLine="0"/>
        <w:jc w:val="both"/>
        <w:rPr>
          <w:spacing w:val="-5"/>
        </w:rPr>
      </w:pPr>
    </w:p>
    <w:p>
      <w:pPr>
        <w:pStyle w:val="6"/>
        <w:spacing w:line="269" w:lineRule="exact"/>
      </w:pPr>
      <w:r>
        <w:t>2、项目投资规模</w:t>
      </w:r>
      <w:r>
        <w:rPr>
          <w:rFonts w:hint="eastAsia"/>
        </w:rPr>
        <w:t>及</w:t>
      </w:r>
      <w:r>
        <w:t>设计要求</w:t>
      </w:r>
    </w:p>
    <w:p/>
    <w:p>
      <w:pPr>
        <w:spacing w:line="360" w:lineRule="auto"/>
        <w:ind w:firstLine="440" w:firstLineChars="200"/>
      </w:pPr>
      <w:r>
        <w:rPr>
          <w:rFonts w:hint="eastAsia"/>
        </w:rPr>
        <w:t>项目估算总投资：总投资概算约 2100万元。</w:t>
      </w:r>
    </w:p>
    <w:p>
      <w:pPr>
        <w:spacing w:line="360" w:lineRule="auto"/>
        <w:ind w:firstLine="440" w:firstLineChars="200"/>
      </w:pPr>
      <w:r>
        <w:rPr>
          <w:rFonts w:hint="eastAsia"/>
        </w:rPr>
        <w:t xml:space="preserve">2.1 </w:t>
      </w:r>
      <w:r>
        <w:t>雷达塔楼</w:t>
      </w:r>
      <w:r>
        <w:rPr>
          <w:rFonts w:hint="eastAsia"/>
        </w:rPr>
        <w:t>设计建设要求：</w:t>
      </w:r>
    </w:p>
    <w:p>
      <w:pPr>
        <w:pStyle w:val="10"/>
        <w:spacing w:line="417" w:lineRule="auto"/>
        <w:ind w:right="546" w:firstLine="315" w:firstLineChars="150"/>
        <w:jc w:val="both"/>
      </w:pPr>
      <w:r>
        <w:t>（1）雷达天线塔楼的布局在主体建筑建设</w:t>
      </w:r>
      <w:r>
        <w:rPr>
          <w:rFonts w:hint="eastAsia"/>
          <w:snapToGrid w:val="0"/>
          <w:color w:val="FF0000"/>
        </w:rPr>
        <w:t>约3层</w:t>
      </w:r>
      <w:r>
        <w:rPr>
          <w:color w:val="FF0000"/>
        </w:rPr>
        <w:t>的塔楼</w:t>
      </w:r>
      <w:r>
        <w:t>，建筑面积</w:t>
      </w:r>
      <w:r>
        <w:rPr>
          <w:highlight w:val="yellow"/>
        </w:rPr>
        <w:t>约</w:t>
      </w:r>
      <w:r>
        <w:rPr>
          <w:rFonts w:hint="eastAsia"/>
          <w:color w:val="FF0000"/>
          <w:highlight w:val="yellow"/>
        </w:rPr>
        <w:t>1000㎡</w:t>
      </w:r>
      <w:r>
        <w:t>，该塔楼顶部主要用于放置雷达天线。天线塔楼顶架设雷达天线、天线座、天线罩，安装避雷针等。</w:t>
      </w:r>
    </w:p>
    <w:p>
      <w:pPr>
        <w:pStyle w:val="10"/>
        <w:spacing w:line="417" w:lineRule="auto"/>
        <w:ind w:right="546" w:firstLine="315" w:firstLineChars="150"/>
        <w:jc w:val="both"/>
      </w:pPr>
      <w:r>
        <w:t>根据国家建筑设计标准，综合考虑雷达业务楼的基础抗震、</w:t>
      </w:r>
      <w:r>
        <w:rPr>
          <w:highlight w:val="yellow"/>
        </w:rPr>
        <w:t>抗</w:t>
      </w:r>
      <w:r>
        <w:rPr>
          <w:rFonts w:hint="eastAsia"/>
          <w:highlight w:val="yellow"/>
        </w:rPr>
        <w:t>17级</w:t>
      </w:r>
      <w:r>
        <w:rPr>
          <w:highlight w:val="yellow"/>
        </w:rPr>
        <w:t>风</w:t>
      </w:r>
      <w:r>
        <w:t>以及雷达吊装等因素，采用全钢筋混凝土框架结构。同时建设雷达站辅助设施（包括</w:t>
      </w:r>
      <w:r>
        <w:rPr>
          <w:rFonts w:hint="eastAsia"/>
        </w:rPr>
        <w:t>土墙、护坡</w:t>
      </w:r>
      <w:r>
        <w:t>、场地、道路、水、电、暖和通信</w:t>
      </w:r>
      <w:r>
        <w:rPr>
          <w:rFonts w:hint="eastAsia"/>
        </w:rPr>
        <w:t>等</w:t>
      </w:r>
      <w:r>
        <w:t xml:space="preserve">）。同时要求天线塔设计需满足CINRAD雷达站的建设要求（详见《中国新一代天气雷达CINRAD用户手册》）。为避免产生谐振，要求建筑物及天线平台结构的固有频率不同于雷达的固有频率。本雷达的固有频率约为12 Hz。天线塔承载力、动态荷载等严格遵循《雷达安装规范》要求，楼面（含顶面）的承载能力不低于600 </w:t>
      </w:r>
      <w:r>
        <w:rPr>
          <w:rFonts w:hint="eastAsia"/>
        </w:rPr>
        <w:t>k</w:t>
      </w:r>
      <w:r>
        <w:t>g/m</w:t>
      </w:r>
      <w:r>
        <w:rPr>
          <w:vertAlign w:val="superscript"/>
        </w:rPr>
        <w:t>2</w:t>
      </w:r>
      <w:r>
        <w:t xml:space="preserve">，整体采用钢筋混凝土浇筑。天线塔顶层梁设计要考虑吊装时使用的预埋件位置，届时将临时配备相应高度的重物提升机构，该机构最大提升重量不低于2500 </w:t>
      </w:r>
      <w:r>
        <w:rPr>
          <w:rFonts w:hint="eastAsia"/>
        </w:rPr>
        <w:t>k</w:t>
      </w:r>
      <w:r>
        <w:t>g/m</w:t>
      </w:r>
      <w:r>
        <w:rPr>
          <w:vertAlign w:val="superscript"/>
        </w:rPr>
        <w:t>2</w:t>
      </w:r>
      <w:r>
        <w:t>。同时应考虑供电线路、通信线路、防雷接地线等有利于维护的布线通道。</w:t>
      </w:r>
    </w:p>
    <w:p>
      <w:pPr>
        <w:pStyle w:val="41"/>
        <w:ind w:firstLine="420"/>
        <w:rPr>
          <w:rFonts w:ascii="宋体" w:hAnsi="宋体" w:cs="宋体"/>
          <w:sz w:val="21"/>
          <w:szCs w:val="21"/>
          <w:lang w:val="zh-CN" w:bidi="zh-CN"/>
        </w:rPr>
      </w:pPr>
      <w:r>
        <w:rPr>
          <w:rFonts w:ascii="宋体" w:hAnsi="宋体" w:cs="宋体"/>
          <w:sz w:val="21"/>
          <w:szCs w:val="21"/>
          <w:lang w:val="zh-CN" w:bidi="zh-CN"/>
        </w:rPr>
        <w:t>（2）</w:t>
      </w:r>
      <w:r>
        <w:rPr>
          <w:rFonts w:hint="eastAsia" w:ascii="宋体" w:hAnsi="宋体" w:cs="宋体"/>
          <w:sz w:val="21"/>
          <w:szCs w:val="21"/>
          <w:lang w:val="zh-CN" w:bidi="zh-CN"/>
        </w:rPr>
        <w:t>雷达机房位于塔楼次顶层，有效使用面积设计为122 平方米，使用高度设计为5.3 米，用来放置雷达发射机、接收机、信号处理器及通信等设备。工作室应安装空调设备（制冷量不小于100 kcal/m3），保证室内温度不高于22 ℃，不低于18 ℃。并铺设抗静电地板，四壁（含门窗）应具有屏蔽功能。配电房位于天线塔一层，放置配电柜、大功率自备电站等设备，为新一代天气雷达提供电力保障。</w:t>
      </w:r>
    </w:p>
    <w:p>
      <w:pPr>
        <w:pStyle w:val="41"/>
        <w:ind w:firstLine="420"/>
        <w:rPr>
          <w:rFonts w:ascii="宋体" w:hAnsi="宋体" w:cs="宋体"/>
          <w:sz w:val="21"/>
          <w:szCs w:val="21"/>
          <w:lang w:val="zh-CN" w:bidi="zh-CN"/>
        </w:rPr>
      </w:pPr>
      <w:r>
        <w:rPr>
          <w:rFonts w:hint="eastAsia" w:ascii="宋体" w:hAnsi="宋体" w:cs="宋体"/>
          <w:sz w:val="21"/>
          <w:szCs w:val="21"/>
          <w:lang w:val="zh-CN" w:bidi="zh-CN"/>
        </w:rPr>
        <w:t>（3）</w:t>
      </w:r>
      <w:r>
        <w:rPr>
          <w:rFonts w:ascii="宋体" w:hAnsi="宋体" w:cs="宋体"/>
          <w:sz w:val="21"/>
          <w:szCs w:val="21"/>
          <w:lang w:val="zh-CN" w:bidi="zh-CN"/>
        </w:rPr>
        <w:t>雷达站的</w:t>
      </w:r>
      <w:r>
        <w:rPr>
          <w:rFonts w:hint="eastAsia" w:ascii="宋体" w:hAnsi="宋体" w:cs="宋体"/>
          <w:sz w:val="21"/>
          <w:szCs w:val="21"/>
          <w:lang w:val="zh-CN" w:bidi="zh-CN"/>
        </w:rPr>
        <w:t>环境</w:t>
      </w:r>
      <w:r>
        <w:rPr>
          <w:rFonts w:ascii="宋体" w:hAnsi="宋体" w:cs="宋体"/>
          <w:sz w:val="21"/>
          <w:szCs w:val="21"/>
          <w:lang w:val="zh-CN" w:bidi="zh-CN"/>
        </w:rPr>
        <w:t>将尽量保留周边原有生态环境，将项目建设对周边生态环境的影响降低到最低程度。</w:t>
      </w:r>
    </w:p>
    <w:p>
      <w:pPr>
        <w:pStyle w:val="10"/>
        <w:spacing w:line="417" w:lineRule="auto"/>
        <w:ind w:right="546" w:firstLine="315" w:firstLineChars="150"/>
        <w:jc w:val="both"/>
      </w:pPr>
    </w:p>
    <w:p>
      <w:pPr>
        <w:pStyle w:val="10"/>
        <w:spacing w:line="417" w:lineRule="auto"/>
        <w:ind w:right="546" w:firstLine="315" w:firstLineChars="150"/>
        <w:jc w:val="both"/>
      </w:pPr>
      <w:r>
        <w:rPr>
          <w:rFonts w:hint="eastAsia"/>
        </w:rPr>
        <w:t>2.2 值班用房设计建设要求：</w:t>
      </w:r>
    </w:p>
    <w:p>
      <w:pPr>
        <w:pStyle w:val="10"/>
        <w:spacing w:line="417" w:lineRule="auto"/>
        <w:ind w:right="546"/>
        <w:jc w:val="both"/>
      </w:pPr>
      <w:r>
        <w:rPr>
          <w:rFonts w:hint="eastAsia"/>
        </w:rPr>
        <w:t>（</w:t>
      </w:r>
      <w:r>
        <w:t>1）规模：</w:t>
      </w:r>
      <w:r>
        <w:rPr>
          <w:rFonts w:hint="eastAsia"/>
        </w:rPr>
        <w:t>拟新</w:t>
      </w:r>
      <w:r>
        <w:t>建</w:t>
      </w:r>
      <w:r>
        <w:rPr>
          <w:rFonts w:hint="eastAsia"/>
        </w:rPr>
        <w:t>建筑</w:t>
      </w:r>
      <w:r>
        <w:t>面积为</w:t>
      </w:r>
      <w:r>
        <w:rPr>
          <w:rFonts w:hint="eastAsia"/>
          <w:highlight w:val="yellow"/>
        </w:rPr>
        <w:t>约600㎡</w:t>
      </w:r>
      <w:r>
        <w:rPr>
          <w:highlight w:val="yellow"/>
        </w:rPr>
        <w:t>左右</w:t>
      </w:r>
      <w:r>
        <w:t>，</w:t>
      </w:r>
      <w:r>
        <w:rPr>
          <w:rFonts w:hint="eastAsia"/>
        </w:rPr>
        <w:t>共2层，</w:t>
      </w:r>
      <w:r>
        <w:t>每层应设公用的盥洗室、厕所</w:t>
      </w:r>
      <w:r>
        <w:rPr>
          <w:rFonts w:hint="eastAsia"/>
        </w:rPr>
        <w:t>；</w:t>
      </w:r>
    </w:p>
    <w:p>
      <w:pPr>
        <w:pStyle w:val="10"/>
        <w:spacing w:line="417" w:lineRule="auto"/>
        <w:ind w:right="546"/>
        <w:jc w:val="both"/>
        <w:rPr>
          <w:spacing w:val="-5"/>
        </w:rPr>
      </w:pPr>
      <w:r>
        <w:t>（2）平面功能合理，并应充分考虑房间的日照、通风、采光、节能灯</w:t>
      </w:r>
      <w:r>
        <w:rPr>
          <w:rFonts w:hint="eastAsia"/>
        </w:rPr>
        <w:t>等</w:t>
      </w:r>
      <w:r>
        <w:t>问题</w:t>
      </w:r>
      <w:r>
        <w:rPr>
          <w:rFonts w:hint="eastAsia"/>
        </w:rPr>
        <w:t>，；</w:t>
      </w:r>
      <w:r>
        <w:cr/>
      </w:r>
      <w:r>
        <w:t>（3）</w:t>
      </w:r>
      <w:r>
        <w:rPr>
          <w:rFonts w:hint="eastAsia"/>
        </w:rPr>
        <w:t>值班用房</w:t>
      </w:r>
      <w:r>
        <w:t>间</w:t>
      </w:r>
      <w:r>
        <w:rPr>
          <w:rFonts w:hint="eastAsia"/>
        </w:rPr>
        <w:t>数合理</w:t>
      </w:r>
      <w:r>
        <w:t>，开间、进深尺寸，走廊轴线尺寸由设计人自行考虑</w:t>
      </w:r>
      <w:r>
        <w:rPr>
          <w:rFonts w:hint="eastAsia"/>
        </w:rPr>
        <w:t>；</w:t>
      </w:r>
      <w:r>
        <w:cr/>
      </w:r>
      <w:r>
        <w:t>（4）立面设计应符合建筑的功能，体现建筑的特征，并具有地域性、时代性</w:t>
      </w:r>
      <w:r>
        <w:rPr>
          <w:rFonts w:hint="eastAsia"/>
        </w:rPr>
        <w:t>；</w:t>
      </w:r>
      <w:r>
        <w:cr/>
      </w:r>
      <w:r>
        <w:t>（5）砌体或框架且结构抗震按7度设防设计</w:t>
      </w:r>
      <w:r>
        <w:rPr>
          <w:rFonts w:hint="eastAsia"/>
        </w:rPr>
        <w:t>；</w:t>
      </w:r>
      <w:r>
        <w:cr/>
      </w:r>
      <w:r>
        <w:t>（6）结合《房屋建筑学》所学内容进行</w:t>
      </w:r>
      <w:r>
        <w:rPr>
          <w:rFonts w:hint="eastAsia"/>
        </w:rPr>
        <w:t>值班用房</w:t>
      </w:r>
      <w:r>
        <w:t>设计</w:t>
      </w:r>
      <w:r>
        <w:rPr>
          <w:rFonts w:hint="eastAsia"/>
        </w:rPr>
        <w:t>。</w:t>
      </w:r>
    </w:p>
    <w:p>
      <w:pPr>
        <w:pStyle w:val="41"/>
      </w:pPr>
    </w:p>
    <w:p>
      <w:pPr>
        <w:pStyle w:val="43"/>
      </w:pPr>
      <w:r>
        <w:rPr>
          <w:rFonts w:hint="eastAsia"/>
        </w:rPr>
        <w:t>雷达站主要技术经济指标表</w:t>
      </w:r>
    </w:p>
    <w:tbl>
      <w:tblPr>
        <w:tblStyle w:val="24"/>
        <w:tblW w:w="6803" w:type="dxa"/>
        <w:jc w:val="center"/>
        <w:tblInd w:w="0" w:type="dxa"/>
        <w:tblLayout w:type="fixed"/>
        <w:tblCellMar>
          <w:top w:w="0" w:type="dxa"/>
          <w:left w:w="108" w:type="dxa"/>
          <w:bottom w:w="0" w:type="dxa"/>
          <w:right w:w="108" w:type="dxa"/>
        </w:tblCellMar>
      </w:tblPr>
      <w:tblGrid>
        <w:gridCol w:w="851"/>
        <w:gridCol w:w="797"/>
        <w:gridCol w:w="2463"/>
        <w:gridCol w:w="1134"/>
        <w:gridCol w:w="1558"/>
      </w:tblGrid>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序号</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45"/>
            </w:pPr>
            <w:r>
              <w:rPr>
                <w:rFonts w:hint="eastAsia"/>
              </w:rPr>
              <w:t>项目</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单位</w:t>
            </w: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数  量</w:t>
            </w:r>
          </w:p>
        </w:tc>
      </w:tr>
      <w:tr>
        <w:tblPrEx>
          <w:tblLayout w:type="fixed"/>
          <w:tblCellMar>
            <w:top w:w="0" w:type="dxa"/>
            <w:left w:w="108" w:type="dxa"/>
            <w:bottom w:w="0" w:type="dxa"/>
            <w:right w:w="108" w:type="dxa"/>
          </w:tblCellMar>
        </w:tblPrEx>
        <w:trPr>
          <w:trHeight w:val="567" w:hRule="atLeast"/>
          <w:jc w:val="center"/>
        </w:trPr>
        <w:tc>
          <w:tcPr>
            <w:tcW w:w="851" w:type="dxa"/>
            <w:vMerge w:val="restart"/>
            <w:tcBorders>
              <w:top w:val="single" w:color="auto" w:sz="4" w:space="0"/>
              <w:left w:val="single" w:color="auto" w:sz="4" w:space="0"/>
              <w:right w:val="single" w:color="auto" w:sz="4" w:space="0"/>
            </w:tcBorders>
            <w:vAlign w:val="center"/>
          </w:tcPr>
          <w:p>
            <w:pPr>
              <w:pStyle w:val="45"/>
            </w:pPr>
            <w:r>
              <w:rPr>
                <w:rFonts w:hint="eastAsia"/>
              </w:rPr>
              <w:t>1</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45"/>
            </w:pPr>
            <w:r>
              <w:rPr>
                <w:rFonts w:hint="eastAsia"/>
              </w:rPr>
              <w:t>规划总用地面积</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亩</w:t>
            </w: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10</w:t>
            </w:r>
          </w:p>
        </w:tc>
      </w:tr>
      <w:tr>
        <w:tblPrEx>
          <w:tblLayout w:type="fixed"/>
          <w:tblCellMar>
            <w:top w:w="0" w:type="dxa"/>
            <w:left w:w="108" w:type="dxa"/>
            <w:bottom w:w="0" w:type="dxa"/>
            <w:right w:w="108" w:type="dxa"/>
          </w:tblCellMar>
        </w:tblPrEx>
        <w:trPr>
          <w:trHeight w:val="567" w:hRule="atLeast"/>
          <w:jc w:val="center"/>
        </w:trPr>
        <w:tc>
          <w:tcPr>
            <w:tcW w:w="851" w:type="dxa"/>
            <w:vMerge w:val="continue"/>
            <w:tcBorders>
              <w:left w:val="single" w:color="auto" w:sz="4" w:space="0"/>
              <w:right w:val="single" w:color="auto" w:sz="4" w:space="0"/>
            </w:tcBorders>
            <w:vAlign w:val="center"/>
          </w:tcPr>
          <w:p>
            <w:pPr>
              <w:pStyle w:val="45"/>
            </w:pPr>
          </w:p>
        </w:tc>
        <w:tc>
          <w:tcPr>
            <w:tcW w:w="797" w:type="dxa"/>
            <w:vMerge w:val="restart"/>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其中</w:t>
            </w:r>
          </w:p>
        </w:tc>
        <w:tc>
          <w:tcPr>
            <w:tcW w:w="2463"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雷达站址规划用地</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亩</w:t>
            </w: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4.9819</w:t>
            </w:r>
          </w:p>
        </w:tc>
      </w:tr>
      <w:tr>
        <w:tblPrEx>
          <w:tblLayout w:type="fixed"/>
          <w:tblCellMar>
            <w:top w:w="0" w:type="dxa"/>
            <w:left w:w="108" w:type="dxa"/>
            <w:bottom w:w="0" w:type="dxa"/>
            <w:right w:w="108" w:type="dxa"/>
          </w:tblCellMar>
        </w:tblPrEx>
        <w:trPr>
          <w:trHeight w:val="567" w:hRule="atLeast"/>
          <w:jc w:val="center"/>
        </w:trPr>
        <w:tc>
          <w:tcPr>
            <w:tcW w:w="851" w:type="dxa"/>
            <w:vMerge w:val="continue"/>
            <w:tcBorders>
              <w:left w:val="single" w:color="auto" w:sz="4" w:space="0"/>
              <w:bottom w:val="single" w:color="auto" w:sz="4" w:space="0"/>
              <w:right w:val="single" w:color="auto" w:sz="4" w:space="0"/>
            </w:tcBorders>
            <w:vAlign w:val="center"/>
          </w:tcPr>
          <w:p>
            <w:pPr>
              <w:pStyle w:val="45"/>
            </w:pPr>
          </w:p>
        </w:tc>
        <w:tc>
          <w:tcPr>
            <w:tcW w:w="797" w:type="dxa"/>
            <w:vMerge w:val="continue"/>
            <w:tcBorders>
              <w:top w:val="single" w:color="auto" w:sz="4" w:space="0"/>
              <w:left w:val="single" w:color="auto" w:sz="4" w:space="0"/>
              <w:bottom w:val="single" w:color="auto" w:sz="4" w:space="0"/>
              <w:right w:val="single" w:color="auto" w:sz="4" w:space="0"/>
            </w:tcBorders>
            <w:vAlign w:val="center"/>
          </w:tcPr>
          <w:p>
            <w:pPr>
              <w:pStyle w:val="45"/>
            </w:pPr>
          </w:p>
        </w:tc>
        <w:tc>
          <w:tcPr>
            <w:tcW w:w="2463"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上山道路规划用地</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亩</w:t>
            </w: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5.0181</w:t>
            </w:r>
          </w:p>
        </w:tc>
      </w:tr>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2</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建筑首层面积</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平方米</w:t>
            </w: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300</w:t>
            </w:r>
          </w:p>
        </w:tc>
      </w:tr>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3</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45"/>
              <w:rPr>
                <w:color w:val="FF0000"/>
              </w:rPr>
            </w:pPr>
            <w:r>
              <w:rPr>
                <w:rFonts w:hint="eastAsia"/>
                <w:color w:val="FF0000"/>
              </w:rPr>
              <w:t>总建筑面积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5"/>
              <w:rPr>
                <w:color w:val="FF0000"/>
              </w:rPr>
            </w:pPr>
            <w:r>
              <w:rPr>
                <w:rFonts w:hint="eastAsia"/>
                <w:color w:val="FF0000"/>
              </w:rPr>
              <w:t>平方米</w:t>
            </w:r>
          </w:p>
        </w:tc>
        <w:tc>
          <w:tcPr>
            <w:tcW w:w="15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5"/>
              <w:rPr>
                <w:color w:val="FF0000"/>
              </w:rPr>
            </w:pPr>
            <w:r>
              <w:rPr>
                <w:rFonts w:hint="eastAsia"/>
                <w:color w:val="FF0000"/>
                <w:highlight w:val="yellow"/>
              </w:rPr>
              <w:t>约1600</w:t>
            </w:r>
          </w:p>
        </w:tc>
      </w:tr>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4</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建筑密度</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w:t>
            </w: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9.03</w:t>
            </w:r>
          </w:p>
        </w:tc>
      </w:tr>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5</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45"/>
            </w:pPr>
            <w:r>
              <w:rPr>
                <w:rFonts w:hint="eastAsia"/>
              </w:rPr>
              <w:t>容积率</w:t>
            </w:r>
          </w:p>
        </w:tc>
        <w:tc>
          <w:tcPr>
            <w:tcW w:w="1134" w:type="dxa"/>
            <w:tcBorders>
              <w:top w:val="single" w:color="auto" w:sz="4" w:space="0"/>
              <w:left w:val="single" w:color="auto" w:sz="4" w:space="0"/>
              <w:bottom w:val="single" w:color="auto" w:sz="4" w:space="0"/>
              <w:right w:val="single" w:color="auto" w:sz="4" w:space="0"/>
            </w:tcBorders>
            <w:vAlign w:val="center"/>
          </w:tcPr>
          <w:p>
            <w:pPr>
              <w:pStyle w:val="45"/>
            </w:pPr>
          </w:p>
        </w:tc>
        <w:tc>
          <w:tcPr>
            <w:tcW w:w="1558" w:type="dxa"/>
            <w:tcBorders>
              <w:top w:val="single" w:color="auto" w:sz="4" w:space="0"/>
              <w:left w:val="single" w:color="auto" w:sz="4" w:space="0"/>
              <w:bottom w:val="single" w:color="auto" w:sz="4" w:space="0"/>
              <w:right w:val="single" w:color="auto" w:sz="4" w:space="0"/>
            </w:tcBorders>
            <w:vAlign w:val="center"/>
          </w:tcPr>
          <w:p>
            <w:pPr>
              <w:pStyle w:val="45"/>
            </w:pPr>
            <w:r>
              <w:rPr>
                <w:rFonts w:hint="eastAsia"/>
              </w:rPr>
              <w:t>0.4817</w:t>
            </w:r>
          </w:p>
        </w:tc>
      </w:tr>
    </w:tbl>
    <w:p>
      <w:pPr>
        <w:pStyle w:val="10"/>
        <w:spacing w:line="417" w:lineRule="auto"/>
        <w:ind w:right="546" w:firstLine="300" w:firstLineChars="150"/>
        <w:jc w:val="both"/>
        <w:rPr>
          <w:spacing w:val="-5"/>
        </w:rPr>
      </w:pPr>
    </w:p>
    <w:p>
      <w:pPr>
        <w:pStyle w:val="10"/>
        <w:spacing w:line="417" w:lineRule="auto"/>
        <w:ind w:right="546" w:firstLine="400" w:firstLineChars="200"/>
        <w:jc w:val="both"/>
      </w:pPr>
      <w:r>
        <w:rPr>
          <w:rFonts w:hint="eastAsia"/>
          <w:spacing w:val="-5"/>
        </w:rPr>
        <w:t xml:space="preserve">2.3 </w:t>
      </w:r>
      <w:r>
        <w:rPr>
          <w:rFonts w:hint="eastAsia"/>
        </w:rPr>
        <w:t>雷达信息接收处理中心设计建设要求：</w:t>
      </w:r>
    </w:p>
    <w:p>
      <w:pPr>
        <w:pStyle w:val="41"/>
        <w:ind w:firstLine="420"/>
        <w:rPr>
          <w:rFonts w:ascii="宋体" w:hAnsi="宋体" w:cs="宋体"/>
          <w:sz w:val="21"/>
          <w:szCs w:val="21"/>
          <w:lang w:val="zh-CN" w:bidi="zh-CN"/>
        </w:rPr>
      </w:pPr>
      <w:r>
        <w:rPr>
          <w:rFonts w:hint="eastAsia" w:ascii="宋体" w:hAnsi="宋体" w:cs="宋体"/>
          <w:sz w:val="21"/>
          <w:szCs w:val="21"/>
          <w:lang w:val="zh-CN" w:bidi="zh-CN"/>
        </w:rPr>
        <w:t>（1）数据处理中心装修工程：</w:t>
      </w:r>
      <w:r>
        <w:rPr>
          <w:rFonts w:hint="eastAsia" w:ascii="宋体" w:hAnsi="宋体" w:cs="宋体"/>
          <w:color w:val="FF0000"/>
          <w:sz w:val="21"/>
          <w:szCs w:val="21"/>
          <w:lang w:val="zh-CN" w:bidi="zh-CN"/>
        </w:rPr>
        <w:t>层高6层</w:t>
      </w:r>
      <w:r>
        <w:rPr>
          <w:rFonts w:hint="eastAsia" w:ascii="宋体" w:hAnsi="宋体" w:cs="宋体"/>
          <w:sz w:val="21"/>
          <w:szCs w:val="21"/>
          <w:lang w:val="zh-CN" w:bidi="zh-CN"/>
        </w:rPr>
        <w:t>，外墙翻新防漏、外墙砖安装、铝窗安装工程等；</w:t>
      </w:r>
    </w:p>
    <w:p>
      <w:pPr>
        <w:pStyle w:val="41"/>
        <w:ind w:firstLine="420"/>
        <w:rPr>
          <w:rFonts w:ascii="宋体" w:hAnsi="宋体" w:cs="宋体"/>
          <w:sz w:val="21"/>
          <w:szCs w:val="21"/>
          <w:lang w:val="zh-CN" w:bidi="zh-CN"/>
        </w:rPr>
      </w:pPr>
      <w:r>
        <w:rPr>
          <w:rFonts w:hint="eastAsia" w:ascii="宋体" w:hAnsi="宋体" w:cs="宋体"/>
          <w:sz w:val="21"/>
          <w:szCs w:val="21"/>
          <w:lang w:val="zh-CN" w:bidi="zh-CN"/>
        </w:rPr>
        <w:t>（2）室内数据处理中心装修工程：雷达数据存储资源池、室内装修工程和配套基础设施建设等。</w:t>
      </w:r>
    </w:p>
    <w:p>
      <w:pPr>
        <w:pStyle w:val="43"/>
        <w:rPr>
          <w:rFonts w:ascii="宋体" w:hAnsi="宋体" w:cs="宋体"/>
          <w:b w:val="0"/>
          <w:lang w:val="zh-CN" w:bidi="zh-CN"/>
        </w:rPr>
      </w:pPr>
      <w:r>
        <w:rPr>
          <w:rFonts w:hint="eastAsia" w:ascii="宋体" w:hAnsi="宋体" w:cs="宋体"/>
          <w:b w:val="0"/>
          <w:lang w:val="zh-CN" w:bidi="zh-CN"/>
        </w:rPr>
        <w:t>雷达信息接收处理中心建设内容</w:t>
      </w:r>
    </w:p>
    <w:tbl>
      <w:tblPr>
        <w:tblStyle w:val="24"/>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5392"/>
        <w:gridCol w:w="1565"/>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236" w:type="dxa"/>
            <w:vMerge w:val="restart"/>
            <w:shd w:val="clear" w:color="auto" w:fill="auto"/>
            <w:vAlign w:val="center"/>
          </w:tcPr>
          <w:p>
            <w:pPr>
              <w:widowControl/>
              <w:spacing w:line="360" w:lineRule="auto"/>
              <w:jc w:val="center"/>
              <w:rPr>
                <w:sz w:val="21"/>
                <w:szCs w:val="21"/>
              </w:rPr>
            </w:pPr>
            <w:r>
              <w:rPr>
                <w:rFonts w:hint="eastAsia"/>
                <w:sz w:val="21"/>
                <w:szCs w:val="21"/>
              </w:rPr>
              <w:t>序号</w:t>
            </w:r>
          </w:p>
        </w:tc>
        <w:tc>
          <w:tcPr>
            <w:tcW w:w="5392" w:type="dxa"/>
            <w:vMerge w:val="restart"/>
            <w:shd w:val="clear" w:color="auto" w:fill="auto"/>
            <w:vAlign w:val="center"/>
          </w:tcPr>
          <w:p>
            <w:pPr>
              <w:widowControl/>
              <w:spacing w:line="360" w:lineRule="auto"/>
              <w:jc w:val="center"/>
              <w:rPr>
                <w:sz w:val="21"/>
                <w:szCs w:val="21"/>
              </w:rPr>
            </w:pPr>
            <w:r>
              <w:rPr>
                <w:rFonts w:hint="eastAsia"/>
                <w:sz w:val="21"/>
                <w:szCs w:val="21"/>
              </w:rPr>
              <w:t>建设内容</w:t>
            </w:r>
          </w:p>
        </w:tc>
        <w:tc>
          <w:tcPr>
            <w:tcW w:w="1565" w:type="dxa"/>
            <w:vMerge w:val="restart"/>
            <w:shd w:val="clear" w:color="auto" w:fill="auto"/>
            <w:vAlign w:val="center"/>
          </w:tcPr>
          <w:p>
            <w:pPr>
              <w:widowControl/>
              <w:spacing w:line="360" w:lineRule="auto"/>
              <w:jc w:val="center"/>
              <w:rPr>
                <w:sz w:val="21"/>
                <w:szCs w:val="21"/>
              </w:rPr>
            </w:pPr>
            <w:r>
              <w:rPr>
                <w:rFonts w:hint="eastAsia"/>
                <w:sz w:val="21"/>
                <w:szCs w:val="21"/>
              </w:rPr>
              <w:t>单位</w:t>
            </w:r>
          </w:p>
        </w:tc>
        <w:tc>
          <w:tcPr>
            <w:tcW w:w="1347" w:type="dxa"/>
            <w:vMerge w:val="restart"/>
            <w:shd w:val="clear" w:color="auto" w:fill="auto"/>
            <w:vAlign w:val="center"/>
          </w:tcPr>
          <w:p>
            <w:pPr>
              <w:widowControl/>
              <w:spacing w:line="360" w:lineRule="auto"/>
              <w:jc w:val="center"/>
              <w:rPr>
                <w:sz w:val="21"/>
                <w:szCs w:val="21"/>
              </w:rPr>
            </w:pPr>
            <w:r>
              <w:rPr>
                <w:rFonts w:hint="eastAsia"/>
                <w:sz w:val="21"/>
                <w:szCs w:val="21"/>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236" w:type="dxa"/>
            <w:vMerge w:val="continue"/>
            <w:vAlign w:val="center"/>
          </w:tcPr>
          <w:p>
            <w:pPr>
              <w:widowControl/>
              <w:spacing w:line="360" w:lineRule="auto"/>
              <w:rPr>
                <w:sz w:val="21"/>
                <w:szCs w:val="21"/>
              </w:rPr>
            </w:pPr>
          </w:p>
        </w:tc>
        <w:tc>
          <w:tcPr>
            <w:tcW w:w="5392" w:type="dxa"/>
            <w:vMerge w:val="continue"/>
            <w:vAlign w:val="center"/>
          </w:tcPr>
          <w:p>
            <w:pPr>
              <w:widowControl/>
              <w:spacing w:line="360" w:lineRule="auto"/>
              <w:rPr>
                <w:sz w:val="21"/>
                <w:szCs w:val="21"/>
              </w:rPr>
            </w:pPr>
          </w:p>
        </w:tc>
        <w:tc>
          <w:tcPr>
            <w:tcW w:w="1565" w:type="dxa"/>
            <w:vMerge w:val="continue"/>
            <w:vAlign w:val="center"/>
          </w:tcPr>
          <w:p>
            <w:pPr>
              <w:widowControl/>
              <w:spacing w:line="360" w:lineRule="auto"/>
              <w:rPr>
                <w:sz w:val="21"/>
                <w:szCs w:val="21"/>
              </w:rPr>
            </w:pPr>
          </w:p>
        </w:tc>
        <w:tc>
          <w:tcPr>
            <w:tcW w:w="1347" w:type="dxa"/>
            <w:vMerge w:val="continue"/>
            <w:vAlign w:val="center"/>
          </w:tcPr>
          <w:p>
            <w:pPr>
              <w:widowControl/>
              <w:spacing w:line="360"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36" w:type="dxa"/>
            <w:shd w:val="clear" w:color="auto" w:fill="auto"/>
            <w:vAlign w:val="center"/>
          </w:tcPr>
          <w:p>
            <w:pPr>
              <w:widowControl/>
              <w:spacing w:line="360" w:lineRule="auto"/>
              <w:jc w:val="center"/>
              <w:rPr>
                <w:sz w:val="21"/>
                <w:szCs w:val="21"/>
              </w:rPr>
            </w:pPr>
            <w:r>
              <w:rPr>
                <w:rFonts w:hint="eastAsia"/>
                <w:sz w:val="21"/>
                <w:szCs w:val="21"/>
              </w:rPr>
              <w:t>1</w:t>
            </w:r>
          </w:p>
        </w:tc>
        <w:tc>
          <w:tcPr>
            <w:tcW w:w="5392" w:type="dxa"/>
            <w:shd w:val="clear" w:color="auto" w:fill="auto"/>
            <w:vAlign w:val="center"/>
          </w:tcPr>
          <w:p>
            <w:pPr>
              <w:widowControl/>
              <w:spacing w:line="360" w:lineRule="auto"/>
              <w:jc w:val="center"/>
              <w:rPr>
                <w:sz w:val="21"/>
                <w:szCs w:val="21"/>
              </w:rPr>
            </w:pPr>
            <w:r>
              <w:rPr>
                <w:rFonts w:hint="eastAsia"/>
                <w:sz w:val="21"/>
                <w:szCs w:val="21"/>
              </w:rPr>
              <w:t>外墙翻新防漏</w:t>
            </w:r>
          </w:p>
        </w:tc>
        <w:tc>
          <w:tcPr>
            <w:tcW w:w="1565" w:type="dxa"/>
            <w:shd w:val="clear" w:color="auto" w:fill="auto"/>
            <w:vAlign w:val="center"/>
          </w:tcPr>
          <w:p>
            <w:pPr>
              <w:widowControl/>
              <w:spacing w:line="360" w:lineRule="auto"/>
              <w:jc w:val="center"/>
              <w:rPr>
                <w:sz w:val="21"/>
                <w:szCs w:val="21"/>
              </w:rPr>
            </w:pPr>
            <w:r>
              <w:rPr>
                <w:rFonts w:hint="eastAsia"/>
                <w:sz w:val="21"/>
                <w:szCs w:val="21"/>
              </w:rPr>
              <w:t>项</w:t>
            </w:r>
          </w:p>
        </w:tc>
        <w:tc>
          <w:tcPr>
            <w:tcW w:w="1347" w:type="dxa"/>
            <w:shd w:val="clear" w:color="auto" w:fill="auto"/>
            <w:vAlign w:val="center"/>
          </w:tcPr>
          <w:p>
            <w:pPr>
              <w:widowControl/>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236" w:type="dxa"/>
            <w:shd w:val="clear" w:color="auto" w:fill="auto"/>
            <w:vAlign w:val="center"/>
          </w:tcPr>
          <w:p>
            <w:pPr>
              <w:widowControl/>
              <w:spacing w:line="360" w:lineRule="auto"/>
              <w:jc w:val="center"/>
              <w:rPr>
                <w:sz w:val="21"/>
                <w:szCs w:val="21"/>
              </w:rPr>
            </w:pPr>
            <w:r>
              <w:rPr>
                <w:rFonts w:hint="eastAsia"/>
                <w:sz w:val="21"/>
                <w:szCs w:val="21"/>
              </w:rPr>
              <w:t>2</w:t>
            </w:r>
          </w:p>
        </w:tc>
        <w:tc>
          <w:tcPr>
            <w:tcW w:w="5392" w:type="dxa"/>
            <w:shd w:val="clear" w:color="auto" w:fill="auto"/>
            <w:vAlign w:val="center"/>
          </w:tcPr>
          <w:p>
            <w:pPr>
              <w:widowControl/>
              <w:spacing w:line="360" w:lineRule="auto"/>
              <w:jc w:val="center"/>
              <w:rPr>
                <w:sz w:val="21"/>
                <w:szCs w:val="21"/>
              </w:rPr>
            </w:pPr>
            <w:r>
              <w:rPr>
                <w:rFonts w:hint="eastAsia"/>
                <w:sz w:val="21"/>
                <w:szCs w:val="21"/>
              </w:rPr>
              <w:t>外墙砖安装</w:t>
            </w:r>
          </w:p>
        </w:tc>
        <w:tc>
          <w:tcPr>
            <w:tcW w:w="1565" w:type="dxa"/>
            <w:shd w:val="clear" w:color="auto" w:fill="auto"/>
            <w:vAlign w:val="center"/>
          </w:tcPr>
          <w:p>
            <w:pPr>
              <w:widowControl/>
              <w:spacing w:line="360" w:lineRule="auto"/>
              <w:jc w:val="center"/>
              <w:rPr>
                <w:sz w:val="21"/>
                <w:szCs w:val="21"/>
              </w:rPr>
            </w:pPr>
            <w:r>
              <w:rPr>
                <w:rFonts w:hint="eastAsia"/>
                <w:sz w:val="21"/>
                <w:szCs w:val="21"/>
              </w:rPr>
              <w:t>㎡</w:t>
            </w:r>
          </w:p>
        </w:tc>
        <w:tc>
          <w:tcPr>
            <w:tcW w:w="1347" w:type="dxa"/>
            <w:shd w:val="clear" w:color="auto" w:fill="auto"/>
            <w:vAlign w:val="center"/>
          </w:tcPr>
          <w:p>
            <w:pPr>
              <w:widowControl/>
              <w:spacing w:line="360" w:lineRule="auto"/>
              <w:jc w:val="center"/>
              <w:rPr>
                <w:sz w:val="21"/>
                <w:szCs w:val="21"/>
              </w:rPr>
            </w:pPr>
            <w:r>
              <w:rPr>
                <w:rFonts w:hint="eastAsia"/>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236" w:type="dxa"/>
            <w:shd w:val="clear" w:color="auto" w:fill="auto"/>
            <w:vAlign w:val="center"/>
          </w:tcPr>
          <w:p>
            <w:pPr>
              <w:widowControl/>
              <w:spacing w:line="360" w:lineRule="auto"/>
              <w:jc w:val="center"/>
              <w:rPr>
                <w:sz w:val="21"/>
                <w:szCs w:val="21"/>
              </w:rPr>
            </w:pPr>
            <w:r>
              <w:rPr>
                <w:rFonts w:hint="eastAsia"/>
                <w:sz w:val="21"/>
                <w:szCs w:val="21"/>
              </w:rPr>
              <w:t>3</w:t>
            </w:r>
          </w:p>
        </w:tc>
        <w:tc>
          <w:tcPr>
            <w:tcW w:w="5392" w:type="dxa"/>
            <w:shd w:val="clear" w:color="auto" w:fill="auto"/>
            <w:vAlign w:val="center"/>
          </w:tcPr>
          <w:p>
            <w:pPr>
              <w:widowControl/>
              <w:spacing w:line="360" w:lineRule="auto"/>
              <w:jc w:val="center"/>
              <w:rPr>
                <w:sz w:val="21"/>
                <w:szCs w:val="21"/>
              </w:rPr>
            </w:pPr>
            <w:r>
              <w:rPr>
                <w:rFonts w:hint="eastAsia"/>
                <w:sz w:val="21"/>
                <w:szCs w:val="21"/>
              </w:rPr>
              <w:t>铝窗安装工程</w:t>
            </w:r>
          </w:p>
        </w:tc>
        <w:tc>
          <w:tcPr>
            <w:tcW w:w="1565" w:type="dxa"/>
            <w:shd w:val="clear" w:color="auto" w:fill="auto"/>
            <w:vAlign w:val="center"/>
          </w:tcPr>
          <w:p>
            <w:pPr>
              <w:widowControl/>
              <w:spacing w:line="360" w:lineRule="auto"/>
              <w:jc w:val="center"/>
              <w:rPr>
                <w:sz w:val="21"/>
                <w:szCs w:val="21"/>
              </w:rPr>
            </w:pPr>
            <w:r>
              <w:rPr>
                <w:rFonts w:hint="eastAsia"/>
                <w:sz w:val="21"/>
                <w:szCs w:val="21"/>
              </w:rPr>
              <w:t>㎡</w:t>
            </w:r>
          </w:p>
        </w:tc>
        <w:tc>
          <w:tcPr>
            <w:tcW w:w="1347" w:type="dxa"/>
            <w:shd w:val="clear" w:color="auto" w:fill="auto"/>
            <w:vAlign w:val="center"/>
          </w:tcPr>
          <w:p>
            <w:pPr>
              <w:widowControl/>
              <w:spacing w:line="360" w:lineRule="auto"/>
              <w:jc w:val="center"/>
              <w:rPr>
                <w:sz w:val="21"/>
                <w:szCs w:val="21"/>
              </w:rPr>
            </w:pPr>
            <w:r>
              <w:rPr>
                <w:rFonts w:hint="eastAsia"/>
                <w:sz w:val="21"/>
                <w:szCs w:val="21"/>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236" w:type="dxa"/>
            <w:shd w:val="clear" w:color="auto" w:fill="auto"/>
            <w:vAlign w:val="center"/>
          </w:tcPr>
          <w:p>
            <w:pPr>
              <w:widowControl/>
              <w:spacing w:line="360" w:lineRule="auto"/>
              <w:jc w:val="center"/>
              <w:rPr>
                <w:sz w:val="21"/>
                <w:szCs w:val="21"/>
              </w:rPr>
            </w:pPr>
            <w:r>
              <w:rPr>
                <w:rFonts w:hint="eastAsia"/>
                <w:sz w:val="21"/>
                <w:szCs w:val="21"/>
              </w:rPr>
              <w:t>4</w:t>
            </w:r>
          </w:p>
        </w:tc>
        <w:tc>
          <w:tcPr>
            <w:tcW w:w="5392" w:type="dxa"/>
            <w:shd w:val="clear" w:color="auto" w:fill="auto"/>
            <w:vAlign w:val="center"/>
          </w:tcPr>
          <w:p>
            <w:pPr>
              <w:widowControl/>
              <w:spacing w:line="360" w:lineRule="auto"/>
              <w:jc w:val="center"/>
              <w:rPr>
                <w:sz w:val="21"/>
                <w:szCs w:val="21"/>
              </w:rPr>
            </w:pPr>
            <w:r>
              <w:rPr>
                <w:rFonts w:hint="eastAsia"/>
                <w:sz w:val="21"/>
                <w:szCs w:val="21"/>
              </w:rPr>
              <w:t>数据处理中心装修工程</w:t>
            </w:r>
          </w:p>
        </w:tc>
        <w:tc>
          <w:tcPr>
            <w:tcW w:w="1565" w:type="dxa"/>
            <w:shd w:val="clear" w:color="auto" w:fill="auto"/>
            <w:vAlign w:val="center"/>
          </w:tcPr>
          <w:p>
            <w:pPr>
              <w:widowControl/>
              <w:spacing w:line="360" w:lineRule="auto"/>
              <w:jc w:val="center"/>
              <w:rPr>
                <w:sz w:val="21"/>
                <w:szCs w:val="21"/>
              </w:rPr>
            </w:pPr>
            <w:r>
              <w:rPr>
                <w:rFonts w:hint="eastAsia"/>
                <w:sz w:val="21"/>
                <w:szCs w:val="21"/>
              </w:rPr>
              <w:t>㎡</w:t>
            </w:r>
          </w:p>
        </w:tc>
        <w:tc>
          <w:tcPr>
            <w:tcW w:w="1347" w:type="dxa"/>
            <w:shd w:val="clear" w:color="auto" w:fill="auto"/>
            <w:vAlign w:val="center"/>
          </w:tcPr>
          <w:p>
            <w:pPr>
              <w:widowControl/>
              <w:spacing w:line="360" w:lineRule="auto"/>
              <w:jc w:val="center"/>
              <w:rPr>
                <w:sz w:val="21"/>
                <w:szCs w:val="21"/>
              </w:rPr>
            </w:pPr>
            <w:r>
              <w:rPr>
                <w:rFonts w:hint="eastAsia"/>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236" w:type="dxa"/>
            <w:shd w:val="clear" w:color="auto" w:fill="auto"/>
            <w:vAlign w:val="center"/>
          </w:tcPr>
          <w:p>
            <w:pPr>
              <w:widowControl/>
              <w:spacing w:line="360" w:lineRule="auto"/>
              <w:jc w:val="center"/>
              <w:rPr>
                <w:sz w:val="21"/>
                <w:szCs w:val="21"/>
              </w:rPr>
            </w:pPr>
            <w:r>
              <w:rPr>
                <w:rFonts w:hint="eastAsia"/>
                <w:sz w:val="21"/>
                <w:szCs w:val="21"/>
              </w:rPr>
              <w:t>5</w:t>
            </w:r>
          </w:p>
        </w:tc>
        <w:tc>
          <w:tcPr>
            <w:tcW w:w="5392" w:type="dxa"/>
            <w:shd w:val="clear" w:color="auto" w:fill="auto"/>
            <w:vAlign w:val="center"/>
          </w:tcPr>
          <w:p>
            <w:pPr>
              <w:widowControl/>
              <w:spacing w:line="360" w:lineRule="auto"/>
              <w:jc w:val="center"/>
              <w:rPr>
                <w:sz w:val="21"/>
                <w:szCs w:val="21"/>
              </w:rPr>
            </w:pPr>
            <w:r>
              <w:rPr>
                <w:rFonts w:hint="eastAsia"/>
                <w:sz w:val="21"/>
                <w:szCs w:val="21"/>
              </w:rPr>
              <w:t>配套基础设施建设</w:t>
            </w:r>
          </w:p>
        </w:tc>
        <w:tc>
          <w:tcPr>
            <w:tcW w:w="1565" w:type="dxa"/>
            <w:shd w:val="clear" w:color="auto" w:fill="auto"/>
            <w:vAlign w:val="center"/>
          </w:tcPr>
          <w:p>
            <w:pPr>
              <w:widowControl/>
              <w:spacing w:line="360" w:lineRule="auto"/>
              <w:jc w:val="center"/>
              <w:rPr>
                <w:sz w:val="21"/>
                <w:szCs w:val="21"/>
              </w:rPr>
            </w:pPr>
            <w:r>
              <w:rPr>
                <w:rFonts w:hint="eastAsia"/>
                <w:sz w:val="21"/>
                <w:szCs w:val="21"/>
              </w:rPr>
              <w:t>项</w:t>
            </w:r>
          </w:p>
        </w:tc>
        <w:tc>
          <w:tcPr>
            <w:tcW w:w="1347" w:type="dxa"/>
            <w:shd w:val="clear" w:color="auto" w:fill="auto"/>
            <w:vAlign w:val="center"/>
          </w:tcPr>
          <w:p>
            <w:pPr>
              <w:widowControl/>
              <w:spacing w:line="360" w:lineRule="auto"/>
              <w:jc w:val="center"/>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236" w:type="dxa"/>
            <w:shd w:val="clear" w:color="auto" w:fill="auto"/>
            <w:vAlign w:val="center"/>
          </w:tcPr>
          <w:p>
            <w:pPr>
              <w:widowControl/>
              <w:spacing w:line="360" w:lineRule="auto"/>
              <w:jc w:val="center"/>
              <w:rPr>
                <w:sz w:val="21"/>
                <w:szCs w:val="21"/>
              </w:rPr>
            </w:pPr>
            <w:r>
              <w:rPr>
                <w:rFonts w:hint="eastAsia"/>
                <w:sz w:val="21"/>
                <w:szCs w:val="21"/>
              </w:rPr>
              <w:t>6</w:t>
            </w:r>
          </w:p>
        </w:tc>
        <w:tc>
          <w:tcPr>
            <w:tcW w:w="5392" w:type="dxa"/>
            <w:shd w:val="clear" w:color="auto" w:fill="auto"/>
            <w:vAlign w:val="center"/>
          </w:tcPr>
          <w:p>
            <w:pPr>
              <w:widowControl/>
              <w:spacing w:line="360" w:lineRule="auto"/>
              <w:jc w:val="center"/>
              <w:rPr>
                <w:sz w:val="21"/>
                <w:szCs w:val="21"/>
              </w:rPr>
            </w:pPr>
            <w:r>
              <w:rPr>
                <w:rFonts w:hint="eastAsia"/>
                <w:sz w:val="21"/>
                <w:szCs w:val="21"/>
              </w:rPr>
              <w:t>雷达数据存储资源池</w:t>
            </w:r>
          </w:p>
        </w:tc>
        <w:tc>
          <w:tcPr>
            <w:tcW w:w="1565" w:type="dxa"/>
            <w:shd w:val="clear" w:color="auto" w:fill="auto"/>
            <w:vAlign w:val="center"/>
          </w:tcPr>
          <w:p>
            <w:pPr>
              <w:widowControl/>
              <w:spacing w:line="360" w:lineRule="auto"/>
              <w:jc w:val="center"/>
              <w:rPr>
                <w:sz w:val="21"/>
                <w:szCs w:val="21"/>
              </w:rPr>
            </w:pPr>
            <w:r>
              <w:rPr>
                <w:rFonts w:hint="eastAsia"/>
                <w:sz w:val="21"/>
                <w:szCs w:val="21"/>
              </w:rPr>
              <w:t>套</w:t>
            </w:r>
          </w:p>
        </w:tc>
        <w:tc>
          <w:tcPr>
            <w:tcW w:w="1347" w:type="dxa"/>
            <w:shd w:val="clear" w:color="auto" w:fill="auto"/>
            <w:vAlign w:val="center"/>
          </w:tcPr>
          <w:p>
            <w:pPr>
              <w:widowControl/>
              <w:spacing w:line="360" w:lineRule="auto"/>
              <w:jc w:val="center"/>
              <w:rPr>
                <w:sz w:val="21"/>
                <w:szCs w:val="21"/>
              </w:rPr>
            </w:pPr>
            <w:r>
              <w:rPr>
                <w:rFonts w:hint="eastAsia"/>
                <w:sz w:val="21"/>
                <w:szCs w:val="21"/>
              </w:rPr>
              <w:t>1</w:t>
            </w:r>
          </w:p>
        </w:tc>
      </w:tr>
    </w:tbl>
    <w:p>
      <w:pPr>
        <w:pStyle w:val="10"/>
        <w:spacing w:line="417" w:lineRule="auto"/>
        <w:ind w:right="546" w:firstLine="315" w:firstLineChars="150"/>
        <w:jc w:val="both"/>
      </w:pPr>
    </w:p>
    <w:p>
      <w:pPr>
        <w:pStyle w:val="10"/>
        <w:spacing w:line="417" w:lineRule="auto"/>
        <w:ind w:right="546" w:firstLine="315" w:firstLineChars="150"/>
        <w:jc w:val="both"/>
      </w:pPr>
    </w:p>
    <w:p>
      <w:pPr>
        <w:pStyle w:val="6"/>
        <w:tabs>
          <w:tab w:val="left" w:pos="1006"/>
        </w:tabs>
        <w:spacing w:line="269" w:lineRule="exact"/>
        <w:rPr>
          <w:color w:val="FF0000"/>
        </w:rPr>
      </w:pPr>
      <w:r>
        <w:rPr>
          <w:rFonts w:hint="eastAsia"/>
        </w:rPr>
        <w:t>3、</w:t>
      </w:r>
      <w:r>
        <w:rPr>
          <w:color w:val="FF0000"/>
        </w:rPr>
        <w:t>设计要求</w:t>
      </w:r>
    </w:p>
    <w:p/>
    <w:p>
      <w:pPr>
        <w:spacing w:before="201"/>
        <w:ind w:firstLine="200" w:firstLineChars="100"/>
        <w:rPr>
          <w:spacing w:val="-5"/>
          <w:sz w:val="21"/>
          <w:szCs w:val="21"/>
        </w:rPr>
      </w:pPr>
      <w:r>
        <w:rPr>
          <w:rFonts w:hint="eastAsia"/>
          <w:spacing w:val="-5"/>
          <w:sz w:val="21"/>
          <w:szCs w:val="21"/>
        </w:rPr>
        <w:t>1、建筑设计要求</w:t>
      </w:r>
    </w:p>
    <w:p>
      <w:pPr>
        <w:tabs>
          <w:tab w:val="left" w:pos="1615"/>
        </w:tabs>
        <w:spacing w:before="203" w:line="374" w:lineRule="auto"/>
        <w:ind w:right="463"/>
        <w:rPr>
          <w:spacing w:val="-5"/>
          <w:sz w:val="21"/>
          <w:szCs w:val="21"/>
        </w:rPr>
      </w:pPr>
      <w:r>
        <w:rPr>
          <w:rFonts w:hint="eastAsia"/>
          <w:spacing w:val="-5"/>
          <w:sz w:val="21"/>
          <w:szCs w:val="21"/>
        </w:rPr>
        <w:t>（1）建筑施工图设计应满足现行国家建筑设计规范的要求，同时应配合建筑工程施工质量通病防治工作在施工图设计中明确技术要求和设计相应的施工图大样；</w:t>
      </w:r>
    </w:p>
    <w:p>
      <w:pPr>
        <w:tabs>
          <w:tab w:val="left" w:pos="1615"/>
        </w:tabs>
        <w:spacing w:before="200" w:line="374" w:lineRule="auto"/>
        <w:ind w:right="464" w:firstLine="100" w:firstLineChars="50"/>
        <w:jc w:val="both"/>
        <w:rPr>
          <w:spacing w:val="-5"/>
          <w:sz w:val="21"/>
          <w:szCs w:val="21"/>
        </w:rPr>
      </w:pPr>
      <w:r>
        <w:rPr>
          <w:rFonts w:hint="eastAsia"/>
          <w:spacing w:val="-5"/>
          <w:sz w:val="21"/>
          <w:szCs w:val="21"/>
        </w:rPr>
        <w:t>（2）建筑施工图设计原则上应与建筑初步设计一致，包括平面布局、 立面设计、建筑高度、装饰装修设计等。若设计承包人有更好的优化方案， 可在限额设计的前提下经发包人同意后进行微调和修改。</w:t>
      </w:r>
    </w:p>
    <w:p>
      <w:pPr>
        <w:spacing w:before="1"/>
        <w:rPr>
          <w:spacing w:val="-5"/>
          <w:sz w:val="21"/>
          <w:szCs w:val="21"/>
        </w:rPr>
      </w:pPr>
      <w:r>
        <w:rPr>
          <w:rFonts w:hint="eastAsia"/>
          <w:spacing w:val="-5"/>
          <w:sz w:val="21"/>
          <w:szCs w:val="21"/>
        </w:rPr>
        <w:t>2、结构设计要求</w:t>
      </w:r>
    </w:p>
    <w:p>
      <w:pPr>
        <w:tabs>
          <w:tab w:val="left" w:pos="1615"/>
        </w:tabs>
        <w:spacing w:before="203" w:line="374" w:lineRule="auto"/>
        <w:ind w:right="460"/>
        <w:jc w:val="both"/>
        <w:rPr>
          <w:spacing w:val="-5"/>
          <w:sz w:val="21"/>
          <w:szCs w:val="21"/>
        </w:rPr>
      </w:pPr>
      <w:r>
        <w:rPr>
          <w:rFonts w:hint="eastAsia"/>
          <w:spacing w:val="-5"/>
          <w:sz w:val="21"/>
          <w:szCs w:val="21"/>
        </w:rPr>
        <w:t>（1）结构设计应遵照国家、广东省、江门市现行标准、规范、规程，并结合工程的实践经验及工程具体情况，做到安全适用、经济合理、技术先进和确保质量。</w:t>
      </w:r>
    </w:p>
    <w:p>
      <w:pPr>
        <w:tabs>
          <w:tab w:val="left" w:pos="1615"/>
        </w:tabs>
        <w:spacing w:before="1" w:line="374" w:lineRule="auto"/>
        <w:ind w:right="465"/>
        <w:jc w:val="both"/>
        <w:rPr>
          <w:spacing w:val="-5"/>
          <w:sz w:val="21"/>
          <w:szCs w:val="21"/>
        </w:rPr>
      </w:pPr>
      <w:r>
        <w:rPr>
          <w:rFonts w:hint="eastAsia"/>
          <w:spacing w:val="-5"/>
          <w:sz w:val="21"/>
          <w:szCs w:val="21"/>
        </w:rPr>
        <w:t>（2）结构施工图设计原则上应选择与初步设计一致的结构体系，设计承包人也可结合工程特点，在结构安全及经济的前提下，经发包人同意优化结构设计或结构体系。</w:t>
      </w:r>
    </w:p>
    <w:p>
      <w:pPr>
        <w:tabs>
          <w:tab w:val="left" w:pos="1615"/>
        </w:tabs>
        <w:spacing w:before="1" w:line="374" w:lineRule="auto"/>
        <w:ind w:right="463"/>
        <w:jc w:val="both"/>
        <w:rPr>
          <w:spacing w:val="-5"/>
          <w:sz w:val="21"/>
          <w:szCs w:val="21"/>
        </w:rPr>
      </w:pPr>
      <w:r>
        <w:rPr>
          <w:rFonts w:hint="eastAsia"/>
          <w:spacing w:val="-5"/>
          <w:sz w:val="21"/>
          <w:szCs w:val="21"/>
        </w:rPr>
        <w:t>（3）结构设计采用的活荷载应确保各类设备荷载的准确性，对</w:t>
      </w:r>
      <w:r>
        <w:rPr>
          <w:rFonts w:hint="eastAsia"/>
        </w:rPr>
        <w:t>本项目</w:t>
      </w:r>
      <w:r>
        <w:rPr>
          <w:rFonts w:hint="eastAsia"/>
          <w:spacing w:val="-5"/>
          <w:sz w:val="21"/>
          <w:szCs w:val="21"/>
        </w:rPr>
        <w:t>应适当考虑建筑墙体的灵活分隔的需要，</w:t>
      </w:r>
      <w:r>
        <w:rPr>
          <w:rFonts w:hint="eastAsia"/>
        </w:rPr>
        <w:t>以及是否</w:t>
      </w:r>
      <w:r>
        <w:rPr>
          <w:rFonts w:hint="eastAsia"/>
          <w:spacing w:val="-5"/>
          <w:sz w:val="21"/>
          <w:szCs w:val="21"/>
        </w:rPr>
        <w:t>要预留热水储水罐的设备荷载。</w:t>
      </w:r>
    </w:p>
    <w:p>
      <w:pPr>
        <w:tabs>
          <w:tab w:val="left" w:pos="1615"/>
        </w:tabs>
        <w:spacing w:before="1" w:line="374" w:lineRule="auto"/>
        <w:ind w:right="465"/>
        <w:jc w:val="both"/>
        <w:rPr>
          <w:spacing w:val="-5"/>
          <w:sz w:val="21"/>
          <w:szCs w:val="21"/>
        </w:rPr>
      </w:pPr>
      <w:r>
        <w:rPr>
          <w:rFonts w:hint="eastAsia"/>
          <w:spacing w:val="-5"/>
          <w:sz w:val="21"/>
          <w:szCs w:val="21"/>
        </w:rPr>
        <w:t>（4）结构设计应充分考虑建筑物抗震设防的特点，选择对抗震、抗风 有利的钢筋混凝土结构体系，结构形式力求受力合理、安全可靠、方便施工、使用舒适、经济耐用。</w:t>
      </w:r>
    </w:p>
    <w:p>
      <w:pPr>
        <w:tabs>
          <w:tab w:val="left" w:pos="1615"/>
        </w:tabs>
        <w:spacing w:before="1" w:line="374" w:lineRule="auto"/>
        <w:ind w:right="463"/>
        <w:rPr>
          <w:spacing w:val="-5"/>
          <w:sz w:val="21"/>
          <w:szCs w:val="21"/>
        </w:rPr>
      </w:pPr>
      <w:r>
        <w:rPr>
          <w:rFonts w:hint="eastAsia"/>
          <w:spacing w:val="-5"/>
          <w:sz w:val="21"/>
          <w:szCs w:val="21"/>
        </w:rPr>
        <w:t>（5）基础设计必须根据经审查合格的工程地质详细勘察报告和物探报告进行，保证结构稳定安全、经济适用。</w:t>
      </w:r>
    </w:p>
    <w:p>
      <w:pPr>
        <w:tabs>
          <w:tab w:val="left" w:pos="1615"/>
        </w:tabs>
        <w:spacing w:line="374" w:lineRule="auto"/>
        <w:ind w:right="321"/>
        <w:rPr>
          <w:spacing w:val="-5"/>
          <w:sz w:val="21"/>
          <w:szCs w:val="21"/>
        </w:rPr>
      </w:pPr>
      <w:r>
        <w:rPr>
          <w:rFonts w:hint="eastAsia"/>
          <w:spacing w:val="-5"/>
          <w:sz w:val="21"/>
          <w:szCs w:val="21"/>
        </w:rPr>
        <w:t>（6）基础设计应综合考虑上部结构的类型、地基土质状况、地下水情况、施工条件、基础承载力以及可能的沉降等因素，选择经济合理的基础形式，以保证所支承之建筑物不致发生过量的沉降或由于不均匀沉降导致倾斜， 确保建筑物的正常使用要求。</w:t>
      </w:r>
    </w:p>
    <w:p>
      <w:pPr>
        <w:tabs>
          <w:tab w:val="left" w:pos="1615"/>
        </w:tabs>
        <w:spacing w:before="2" w:line="374" w:lineRule="auto"/>
        <w:ind w:right="463"/>
        <w:rPr>
          <w:spacing w:val="-5"/>
          <w:sz w:val="21"/>
          <w:szCs w:val="21"/>
        </w:rPr>
      </w:pPr>
      <w:r>
        <w:rPr>
          <w:rFonts w:hint="eastAsia"/>
          <w:spacing w:val="-5"/>
          <w:sz w:val="21"/>
          <w:szCs w:val="21"/>
        </w:rPr>
        <w:t>（7）基坑支护应考虑周边建（构）筑物、道路及管理的影响，根据地质勘察报告、地下室周围边情况、地下室开挖深度等合理确定或优化初步设计的基坑支护方案，基坑支护设计方案应从安全可靠、造价经济、施工方便为原则进行综合考虑，采取有效支护及合理止水措施，保证周围建筑、道路、管理设施的安全。</w:t>
      </w:r>
    </w:p>
    <w:p>
      <w:pPr>
        <w:tabs>
          <w:tab w:val="left" w:pos="1615"/>
        </w:tabs>
        <w:spacing w:before="1" w:line="374" w:lineRule="auto"/>
        <w:ind w:right="392"/>
        <w:jc w:val="both"/>
        <w:rPr>
          <w:spacing w:val="-5"/>
          <w:sz w:val="21"/>
          <w:szCs w:val="21"/>
        </w:rPr>
      </w:pPr>
      <w:r>
        <w:rPr>
          <w:rFonts w:hint="eastAsia"/>
          <w:spacing w:val="-5"/>
          <w:sz w:val="21"/>
          <w:szCs w:val="21"/>
        </w:rPr>
        <w:t>（8）建筑结构材料的选择应综合考虑当地的市场供应，施工技术水平、经济性等因素。在确保工程质量与安全，对工期和工程造价影响不大的前提下，结构设计应积极采用和推广成熟的新结构、新技术、新材料和新工艺。</w:t>
      </w:r>
    </w:p>
    <w:p>
      <w:pPr>
        <w:tabs>
          <w:tab w:val="left" w:pos="1615"/>
        </w:tabs>
        <w:spacing w:before="1" w:line="374" w:lineRule="auto"/>
        <w:ind w:right="463"/>
        <w:jc w:val="both"/>
        <w:rPr>
          <w:spacing w:val="-5"/>
          <w:sz w:val="21"/>
          <w:szCs w:val="21"/>
        </w:rPr>
      </w:pPr>
      <w:r>
        <w:rPr>
          <w:rFonts w:hint="eastAsia"/>
          <w:spacing w:val="-5"/>
          <w:sz w:val="21"/>
          <w:szCs w:val="21"/>
        </w:rPr>
        <w:t>（9）要充分考虑施工实际情况，采取有效划分工作面、优先采用装配式构件等技术措施，减少施工噪音、扬尘和缩短施工工期。</w:t>
      </w:r>
    </w:p>
    <w:p>
      <w:pPr>
        <w:spacing w:before="1"/>
        <w:ind w:firstLine="100" w:firstLineChars="50"/>
        <w:rPr>
          <w:spacing w:val="-5"/>
          <w:sz w:val="21"/>
          <w:szCs w:val="21"/>
        </w:rPr>
      </w:pPr>
      <w:r>
        <w:rPr>
          <w:rFonts w:hint="eastAsia"/>
          <w:spacing w:val="-5"/>
          <w:sz w:val="21"/>
          <w:szCs w:val="21"/>
        </w:rPr>
        <w:t>3、强弱电设计要求</w:t>
      </w:r>
    </w:p>
    <w:p>
      <w:pPr>
        <w:tabs>
          <w:tab w:val="left" w:pos="1615"/>
        </w:tabs>
        <w:spacing w:before="200" w:line="376" w:lineRule="auto"/>
        <w:ind w:right="463"/>
        <w:rPr>
          <w:spacing w:val="-5"/>
          <w:sz w:val="21"/>
          <w:szCs w:val="21"/>
        </w:rPr>
      </w:pPr>
      <w:r>
        <w:rPr>
          <w:rFonts w:hint="eastAsia"/>
          <w:spacing w:val="-5"/>
          <w:sz w:val="21"/>
          <w:szCs w:val="21"/>
        </w:rPr>
        <w:t>（1）对于电气安全、节约能源、环境保护等重要问题要采取切实有效 的措施。</w:t>
      </w:r>
    </w:p>
    <w:p>
      <w:pPr>
        <w:tabs>
          <w:tab w:val="left" w:pos="1615"/>
        </w:tabs>
        <w:spacing w:line="353" w:lineRule="exact"/>
        <w:rPr>
          <w:spacing w:val="-5"/>
          <w:sz w:val="21"/>
          <w:szCs w:val="21"/>
        </w:rPr>
      </w:pPr>
      <w:r>
        <w:rPr>
          <w:rFonts w:hint="eastAsia"/>
          <w:spacing w:val="-5"/>
          <w:sz w:val="21"/>
          <w:szCs w:val="21"/>
        </w:rPr>
        <w:t>（2）设备布置要便于施工和维护管理，设备及材料的选择要综合考虑。</w:t>
      </w:r>
    </w:p>
    <w:p>
      <w:pPr>
        <w:tabs>
          <w:tab w:val="left" w:pos="1615"/>
        </w:tabs>
        <w:spacing w:before="201" w:line="376" w:lineRule="auto"/>
        <w:ind w:right="392"/>
        <w:rPr>
          <w:spacing w:val="-5"/>
          <w:sz w:val="21"/>
          <w:szCs w:val="21"/>
        </w:rPr>
      </w:pPr>
      <w:r>
        <w:rPr>
          <w:rFonts w:hint="eastAsia"/>
          <w:spacing w:val="-5"/>
          <w:sz w:val="21"/>
          <w:szCs w:val="21"/>
        </w:rPr>
        <w:t>（3）智能化设计须采用成熟先进技术，以经济实用为原则，总体设计、分布实施、整体调试，整个系统须具有充分的可扩展性。</w:t>
      </w:r>
    </w:p>
    <w:p>
      <w:pPr>
        <w:tabs>
          <w:tab w:val="left" w:pos="1615"/>
        </w:tabs>
        <w:spacing w:line="374" w:lineRule="auto"/>
        <w:ind w:right="323"/>
        <w:rPr>
          <w:spacing w:val="-5"/>
          <w:sz w:val="21"/>
          <w:szCs w:val="21"/>
        </w:rPr>
      </w:pPr>
      <w:r>
        <w:rPr>
          <w:rFonts w:hint="eastAsia"/>
          <w:spacing w:val="-5"/>
          <w:sz w:val="21"/>
          <w:szCs w:val="21"/>
        </w:rPr>
        <w:t>（4）充电桩车位和体育馆综合楼要结合实际使用（二次装修或分步实施）的电气设备用电需求预留足够的负荷。</w:t>
      </w:r>
    </w:p>
    <w:p>
      <w:pPr>
        <w:rPr>
          <w:spacing w:val="-5"/>
          <w:sz w:val="21"/>
          <w:szCs w:val="21"/>
        </w:rPr>
      </w:pPr>
      <w:r>
        <w:rPr>
          <w:rFonts w:hint="eastAsia"/>
          <w:spacing w:val="-5"/>
          <w:sz w:val="21"/>
          <w:szCs w:val="21"/>
        </w:rPr>
        <w:t>4、通风空调设计要求</w:t>
      </w:r>
    </w:p>
    <w:p>
      <w:pPr>
        <w:tabs>
          <w:tab w:val="left" w:pos="1615"/>
        </w:tabs>
        <w:spacing w:before="196"/>
        <w:rPr>
          <w:rFonts w:ascii="仿宋" w:eastAsia="仿宋"/>
          <w:sz w:val="28"/>
        </w:rPr>
      </w:pPr>
      <w:r>
        <w:rPr>
          <w:rFonts w:hint="eastAsia"/>
          <w:spacing w:val="-5"/>
          <w:sz w:val="21"/>
          <w:szCs w:val="21"/>
        </w:rPr>
        <w:t>（1）设计须根据项目实际情况合理选择空调系统。</w:t>
      </w:r>
    </w:p>
    <w:p>
      <w:pPr>
        <w:tabs>
          <w:tab w:val="left" w:pos="1615"/>
        </w:tabs>
        <w:spacing w:before="200" w:line="376" w:lineRule="auto"/>
        <w:ind w:right="465"/>
        <w:rPr>
          <w:spacing w:val="-5"/>
          <w:sz w:val="21"/>
          <w:szCs w:val="21"/>
        </w:rPr>
      </w:pPr>
      <w:r>
        <w:rPr>
          <w:rFonts w:hint="eastAsia"/>
          <w:spacing w:val="-5"/>
          <w:sz w:val="21"/>
          <w:szCs w:val="21"/>
        </w:rPr>
        <w:t>（2）设计必须充分考虑经济实用性，根据建筑功能和舒适性要求确定一个科学合理的系统和设备档次；</w:t>
      </w:r>
    </w:p>
    <w:p>
      <w:pPr>
        <w:tabs>
          <w:tab w:val="left" w:pos="1615"/>
        </w:tabs>
        <w:spacing w:line="353" w:lineRule="exact"/>
        <w:rPr>
          <w:spacing w:val="-5"/>
          <w:sz w:val="21"/>
          <w:szCs w:val="21"/>
        </w:rPr>
      </w:pPr>
      <w:r>
        <w:rPr>
          <w:rFonts w:hint="eastAsia"/>
          <w:spacing w:val="-5"/>
          <w:sz w:val="21"/>
          <w:szCs w:val="21"/>
        </w:rPr>
        <w:t>（3）设计必须考虑使用特性，有利于控制，方便运行管理。</w:t>
      </w:r>
    </w:p>
    <w:p>
      <w:pPr>
        <w:tabs>
          <w:tab w:val="left" w:pos="1615"/>
        </w:tabs>
        <w:spacing w:before="201" w:line="376" w:lineRule="auto"/>
        <w:ind w:right="3751"/>
        <w:rPr>
          <w:spacing w:val="-5"/>
          <w:sz w:val="21"/>
          <w:szCs w:val="21"/>
        </w:rPr>
      </w:pPr>
      <w:r>
        <w:rPr>
          <w:rFonts w:hint="eastAsia"/>
          <w:spacing w:val="-5"/>
          <w:sz w:val="21"/>
          <w:szCs w:val="21"/>
        </w:rPr>
        <w:t>（4）设计必须考虑建筑的绿色、节能要求。</w:t>
      </w:r>
    </w:p>
    <w:p>
      <w:pPr>
        <w:tabs>
          <w:tab w:val="left" w:pos="1615"/>
        </w:tabs>
        <w:spacing w:before="201" w:line="376" w:lineRule="auto"/>
        <w:ind w:right="3751"/>
        <w:rPr>
          <w:spacing w:val="-5"/>
          <w:sz w:val="21"/>
          <w:szCs w:val="21"/>
        </w:rPr>
      </w:pPr>
      <w:r>
        <w:rPr>
          <w:rFonts w:hint="eastAsia"/>
          <w:spacing w:val="-5"/>
          <w:sz w:val="21"/>
          <w:szCs w:val="21"/>
        </w:rPr>
        <w:t>5、给排水、消防设计要求</w:t>
      </w:r>
    </w:p>
    <w:p>
      <w:pPr>
        <w:tabs>
          <w:tab w:val="left" w:pos="1615"/>
        </w:tabs>
        <w:spacing w:line="353" w:lineRule="exact"/>
        <w:rPr>
          <w:spacing w:val="-5"/>
          <w:sz w:val="21"/>
          <w:szCs w:val="21"/>
        </w:rPr>
      </w:pPr>
      <w:r>
        <w:rPr>
          <w:rFonts w:hint="eastAsia"/>
          <w:spacing w:val="-5"/>
          <w:sz w:val="21"/>
          <w:szCs w:val="21"/>
        </w:rPr>
        <w:t>（1）设计必须根据项目实际情况合理选择给排水及消防系统。</w:t>
      </w:r>
    </w:p>
    <w:p>
      <w:pPr>
        <w:tabs>
          <w:tab w:val="left" w:pos="1615"/>
        </w:tabs>
        <w:spacing w:line="353" w:lineRule="exact"/>
        <w:rPr>
          <w:spacing w:val="-5"/>
          <w:sz w:val="21"/>
          <w:szCs w:val="21"/>
        </w:rPr>
      </w:pPr>
      <w:r>
        <w:rPr>
          <w:rFonts w:hint="eastAsia"/>
          <w:spacing w:val="-5"/>
          <w:sz w:val="21"/>
          <w:szCs w:val="21"/>
        </w:rPr>
        <w:t>（2）设计必须充分考虑经济实用性，根据建筑功能和舒适性要求确定一个科学合理的系统和设备档次。</w:t>
      </w:r>
    </w:p>
    <w:p>
      <w:pPr>
        <w:tabs>
          <w:tab w:val="left" w:pos="1615"/>
        </w:tabs>
        <w:spacing w:before="1"/>
        <w:rPr>
          <w:spacing w:val="-5"/>
          <w:sz w:val="21"/>
          <w:szCs w:val="21"/>
        </w:rPr>
      </w:pPr>
      <w:r>
        <w:rPr>
          <w:rFonts w:hint="eastAsia"/>
          <w:spacing w:val="-5"/>
          <w:sz w:val="21"/>
          <w:szCs w:val="21"/>
        </w:rPr>
        <w:t>（3）设计必须考虑使用特性，有利于控制，方便运行管理。</w:t>
      </w:r>
    </w:p>
    <w:p>
      <w:pPr>
        <w:tabs>
          <w:tab w:val="left" w:pos="1615"/>
        </w:tabs>
        <w:spacing w:before="200"/>
        <w:rPr>
          <w:spacing w:val="-5"/>
          <w:sz w:val="21"/>
          <w:szCs w:val="21"/>
        </w:rPr>
      </w:pPr>
      <w:r>
        <w:rPr>
          <w:rFonts w:hint="eastAsia"/>
          <w:spacing w:val="-5"/>
          <w:sz w:val="21"/>
          <w:szCs w:val="21"/>
        </w:rPr>
        <w:t>（4）给排水必须充分考虑雨污分流的有关设计要求。</w:t>
      </w:r>
    </w:p>
    <w:p>
      <w:pPr>
        <w:tabs>
          <w:tab w:val="left" w:pos="1615"/>
        </w:tabs>
        <w:spacing w:before="201" w:line="376" w:lineRule="auto"/>
        <w:ind w:right="3751"/>
        <w:rPr>
          <w:spacing w:val="-5"/>
          <w:sz w:val="21"/>
          <w:szCs w:val="21"/>
        </w:rPr>
      </w:pPr>
      <w:r>
        <w:rPr>
          <w:rFonts w:hint="eastAsia"/>
          <w:spacing w:val="-5"/>
          <w:sz w:val="21"/>
          <w:szCs w:val="21"/>
        </w:rPr>
        <w:t>（5）设计必须考虑建筑的绿色、节能要求。</w:t>
      </w:r>
    </w:p>
    <w:p>
      <w:pPr>
        <w:tabs>
          <w:tab w:val="left" w:pos="1615"/>
        </w:tabs>
        <w:spacing w:before="201" w:line="376" w:lineRule="auto"/>
        <w:ind w:right="3751"/>
        <w:rPr>
          <w:spacing w:val="-5"/>
          <w:sz w:val="21"/>
          <w:szCs w:val="21"/>
        </w:rPr>
      </w:pPr>
      <w:r>
        <w:rPr>
          <w:rFonts w:hint="eastAsia"/>
          <w:spacing w:val="-5"/>
          <w:sz w:val="21"/>
          <w:szCs w:val="21"/>
        </w:rPr>
        <w:t>6、室内装修要求</w:t>
      </w:r>
    </w:p>
    <w:p>
      <w:pPr>
        <w:tabs>
          <w:tab w:val="left" w:pos="1615"/>
        </w:tabs>
        <w:spacing w:line="374" w:lineRule="auto"/>
        <w:ind w:right="392"/>
        <w:rPr>
          <w:spacing w:val="-5"/>
          <w:sz w:val="21"/>
          <w:szCs w:val="21"/>
        </w:rPr>
      </w:pPr>
      <w:r>
        <w:rPr>
          <w:rFonts w:hint="eastAsia"/>
          <w:spacing w:val="-5"/>
          <w:sz w:val="21"/>
          <w:szCs w:val="21"/>
        </w:rPr>
        <w:t>（1）具有造型优美的空间构成和界面处理，宜人的光、色和材质配置， 符合建筑物的环境气氛。</w:t>
      </w:r>
    </w:p>
    <w:p>
      <w:pPr>
        <w:tabs>
          <w:tab w:val="left" w:pos="1615"/>
        </w:tabs>
        <w:spacing w:line="374" w:lineRule="auto"/>
        <w:ind w:right="463"/>
        <w:rPr>
          <w:spacing w:val="-5"/>
          <w:sz w:val="21"/>
          <w:szCs w:val="21"/>
        </w:rPr>
      </w:pPr>
      <w:r>
        <w:rPr>
          <w:rFonts w:hint="eastAsia"/>
          <w:spacing w:val="-5"/>
          <w:sz w:val="21"/>
          <w:szCs w:val="21"/>
        </w:rPr>
        <w:t>（2）采用合理的装修构造和技术措施，选择合适的装饰材料、设施和 设备，使其具有良好的经济效益。</w:t>
      </w:r>
    </w:p>
    <w:p>
      <w:pPr>
        <w:tabs>
          <w:tab w:val="left" w:pos="1615"/>
        </w:tabs>
        <w:spacing w:line="376" w:lineRule="auto"/>
        <w:ind w:right="463"/>
        <w:rPr>
          <w:spacing w:val="-5"/>
          <w:sz w:val="21"/>
          <w:szCs w:val="21"/>
        </w:rPr>
      </w:pPr>
      <w:r>
        <w:rPr>
          <w:rFonts w:hint="eastAsia"/>
          <w:spacing w:val="-5"/>
          <w:sz w:val="21"/>
          <w:szCs w:val="21"/>
        </w:rPr>
        <w:t>（3）符合安全疏散、防火、卫生等设计规范，遵守与设计任务相适应的有关定额标准；</w:t>
      </w:r>
    </w:p>
    <w:p>
      <w:pPr>
        <w:tabs>
          <w:tab w:val="left" w:pos="1615"/>
        </w:tabs>
        <w:spacing w:line="374" w:lineRule="auto"/>
        <w:ind w:right="463"/>
        <w:rPr>
          <w:spacing w:val="-5"/>
          <w:sz w:val="21"/>
          <w:szCs w:val="21"/>
        </w:rPr>
      </w:pPr>
      <w:r>
        <w:rPr>
          <w:rFonts w:hint="eastAsia"/>
          <w:spacing w:val="-5"/>
          <w:sz w:val="21"/>
          <w:szCs w:val="21"/>
        </w:rPr>
        <w:t>（4）室内环境设计应考虑室内环境的节能、节材、防止污染，并注意充分利用和节省室内空间。</w:t>
      </w:r>
    </w:p>
    <w:p>
      <w:pPr>
        <w:rPr>
          <w:spacing w:val="-5"/>
          <w:sz w:val="21"/>
          <w:szCs w:val="21"/>
        </w:rPr>
      </w:pPr>
      <w:r>
        <w:rPr>
          <w:rFonts w:hint="eastAsia"/>
          <w:spacing w:val="-5"/>
          <w:sz w:val="21"/>
          <w:szCs w:val="21"/>
        </w:rPr>
        <w:t>7、各设计专业均需配合施工单位完成竣工图纸的编制。</w:t>
      </w:r>
    </w:p>
    <w:p/>
    <w:p>
      <w:pPr>
        <w:tabs>
          <w:tab w:val="left" w:pos="1265"/>
        </w:tabs>
        <w:spacing w:line="417" w:lineRule="auto"/>
        <w:ind w:right="546"/>
        <w:rPr>
          <w:sz w:val="21"/>
        </w:rPr>
      </w:pPr>
      <w:r>
        <w:rPr>
          <w:rFonts w:hint="eastAsia"/>
        </w:rPr>
        <w:t>8、</w:t>
      </w:r>
      <w:r>
        <w:rPr>
          <w:spacing w:val="-6"/>
          <w:sz w:val="21"/>
        </w:rPr>
        <w:t>投标人技术标设计方案具体内容应根据本章节“技术标设计要求”进行编制，在技术标有效性</w:t>
      </w:r>
      <w:r>
        <w:rPr>
          <w:spacing w:val="-8"/>
          <w:sz w:val="21"/>
        </w:rPr>
        <w:t>评审时，若发现有响应性不符之处，应否决投标；若在技术标有效性评审时未发现而在合同实施后发现响</w:t>
      </w:r>
      <w:r>
        <w:rPr>
          <w:spacing w:val="-5"/>
          <w:sz w:val="21"/>
        </w:rPr>
        <w:t>应性不符之处，中标人应无条件承担修正设计，且修正设计后超过投标报价的建安工程费不得调整。</w:t>
      </w:r>
    </w:p>
    <w:p>
      <w:pPr>
        <w:tabs>
          <w:tab w:val="left" w:pos="1212"/>
        </w:tabs>
        <w:spacing w:line="417" w:lineRule="auto"/>
        <w:ind w:right="548"/>
        <w:jc w:val="both"/>
        <w:rPr>
          <w:sz w:val="21"/>
        </w:rPr>
      </w:pPr>
      <w:r>
        <w:rPr>
          <w:rFonts w:hint="eastAsia"/>
          <w:spacing w:val="-5"/>
          <w:sz w:val="21"/>
        </w:rPr>
        <w:t>9、</w:t>
      </w:r>
      <w:r>
        <w:rPr>
          <w:spacing w:val="-5"/>
          <w:sz w:val="21"/>
        </w:rPr>
        <w:t>安全防范及配套设施设计应符合</w:t>
      </w:r>
      <w:r>
        <w:rPr>
          <w:spacing w:val="-3"/>
          <w:sz w:val="21"/>
        </w:rPr>
        <w:t>有关规定；</w:t>
      </w:r>
    </w:p>
    <w:p>
      <w:pPr>
        <w:tabs>
          <w:tab w:val="left" w:pos="1212"/>
        </w:tabs>
        <w:spacing w:before="1"/>
        <w:ind w:left="-367" w:leftChars="-167" w:firstLine="399" w:firstLineChars="196"/>
        <w:jc w:val="both"/>
        <w:rPr>
          <w:sz w:val="21"/>
        </w:rPr>
      </w:pPr>
      <w:r>
        <w:rPr>
          <w:rFonts w:hint="eastAsia"/>
          <w:spacing w:val="-3"/>
          <w:sz w:val="21"/>
        </w:rPr>
        <w:t>10、</w:t>
      </w:r>
      <w:r>
        <w:rPr>
          <w:spacing w:val="-3"/>
          <w:sz w:val="21"/>
        </w:rPr>
        <w:t>建筑物功能分区及主要经济技术指标表：</w:t>
      </w:r>
    </w:p>
    <w:p>
      <w:pPr>
        <w:jc w:val="both"/>
        <w:rPr>
          <w:sz w:val="21"/>
        </w:rPr>
        <w:sectPr>
          <w:pgSz w:w="11910" w:h="16840"/>
          <w:pgMar w:top="1460" w:right="580" w:bottom="1180" w:left="920" w:header="0" w:footer="950" w:gutter="0"/>
          <w:cols w:space="720" w:num="1"/>
        </w:sectPr>
      </w:pPr>
    </w:p>
    <w:tbl>
      <w:tblPr>
        <w:tblStyle w:val="24"/>
        <w:tblW w:w="9607"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3"/>
        <w:gridCol w:w="3224"/>
        <w:gridCol w:w="2381"/>
        <w:gridCol w:w="2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9607" w:type="dxa"/>
            <w:gridSpan w:val="4"/>
          </w:tcPr>
          <w:p>
            <w:pPr>
              <w:pStyle w:val="36"/>
              <w:spacing w:before="174"/>
              <w:ind w:left="3836" w:right="3822"/>
              <w:jc w:val="center"/>
              <w:rPr>
                <w:b/>
                <w:sz w:val="21"/>
              </w:rPr>
            </w:pPr>
            <w:r>
              <w:rPr>
                <w:rFonts w:hint="eastAsia"/>
                <w:color w:val="FF0000"/>
                <w:sz w:val="21"/>
              </w:rPr>
              <w:t>雷达塔楼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246" w:right="232"/>
              <w:jc w:val="center"/>
              <w:rPr>
                <w:sz w:val="21"/>
              </w:rPr>
            </w:pPr>
            <w:r>
              <w:rPr>
                <w:sz w:val="21"/>
              </w:rPr>
              <w:t>序号</w:t>
            </w:r>
          </w:p>
        </w:tc>
        <w:tc>
          <w:tcPr>
            <w:tcW w:w="3224" w:type="dxa"/>
          </w:tcPr>
          <w:p>
            <w:pPr>
              <w:pStyle w:val="36"/>
              <w:spacing w:before="99"/>
              <w:ind w:left="1170" w:right="1160"/>
              <w:jc w:val="center"/>
              <w:rPr>
                <w:sz w:val="21"/>
              </w:rPr>
            </w:pPr>
            <w:r>
              <w:rPr>
                <w:sz w:val="21"/>
              </w:rPr>
              <w:t>名称</w:t>
            </w:r>
          </w:p>
        </w:tc>
        <w:tc>
          <w:tcPr>
            <w:tcW w:w="2381" w:type="dxa"/>
          </w:tcPr>
          <w:p>
            <w:pPr>
              <w:pStyle w:val="36"/>
              <w:spacing w:before="99"/>
              <w:ind w:left="857" w:right="843"/>
              <w:jc w:val="center"/>
              <w:rPr>
                <w:sz w:val="21"/>
              </w:rPr>
            </w:pPr>
            <w:r>
              <w:rPr>
                <w:sz w:val="21"/>
              </w:rPr>
              <w:t>单位</w:t>
            </w:r>
          </w:p>
        </w:tc>
        <w:tc>
          <w:tcPr>
            <w:tcW w:w="2739" w:type="dxa"/>
          </w:tcPr>
          <w:p>
            <w:pPr>
              <w:pStyle w:val="36"/>
              <w:spacing w:before="99"/>
              <w:ind w:left="931" w:right="918"/>
              <w:jc w:val="center"/>
              <w:rPr>
                <w:sz w:val="21"/>
              </w:rPr>
            </w:pPr>
            <w:r>
              <w:rPr>
                <w:sz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14"/>
              <w:jc w:val="center"/>
              <w:rPr>
                <w:sz w:val="21"/>
              </w:rPr>
            </w:pPr>
            <w:r>
              <w:rPr>
                <w:sz w:val="21"/>
              </w:rPr>
              <w:t>1</w:t>
            </w:r>
          </w:p>
        </w:tc>
        <w:tc>
          <w:tcPr>
            <w:tcW w:w="3224" w:type="dxa"/>
          </w:tcPr>
          <w:p>
            <w:pPr>
              <w:pStyle w:val="36"/>
              <w:spacing w:before="99"/>
              <w:ind w:left="1173" w:right="1160"/>
              <w:jc w:val="center"/>
              <w:rPr>
                <w:sz w:val="21"/>
              </w:rPr>
            </w:pPr>
            <w:r>
              <w:rPr>
                <w:sz w:val="21"/>
              </w:rPr>
              <w:t>占地面积</w:t>
            </w:r>
          </w:p>
        </w:tc>
        <w:tc>
          <w:tcPr>
            <w:tcW w:w="2381" w:type="dxa"/>
          </w:tcPr>
          <w:p>
            <w:pPr>
              <w:pStyle w:val="36"/>
              <w:spacing w:before="99"/>
              <w:ind w:left="856" w:right="843"/>
              <w:jc w:val="center"/>
              <w:rPr>
                <w:sz w:val="21"/>
              </w:rPr>
            </w:pPr>
            <w:r>
              <w:rPr>
                <w:sz w:val="21"/>
              </w:rPr>
              <w:t>平方米</w:t>
            </w:r>
          </w:p>
        </w:tc>
        <w:tc>
          <w:tcPr>
            <w:tcW w:w="2739" w:type="dxa"/>
          </w:tcPr>
          <w:p>
            <w:pPr>
              <w:pStyle w:val="36"/>
              <w:spacing w:before="99"/>
              <w:ind w:left="931" w:right="917"/>
              <w:jc w:val="center"/>
              <w:rPr>
                <w:color w:val="FF0000"/>
                <w:sz w:val="21"/>
              </w:rPr>
            </w:pPr>
            <w:r>
              <w:rPr>
                <w:rFonts w:hint="eastAsia"/>
                <w:color w:val="FF0000"/>
                <w:sz w:val="21"/>
              </w:rPr>
              <w:t>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14"/>
              <w:jc w:val="center"/>
              <w:rPr>
                <w:sz w:val="21"/>
              </w:rPr>
            </w:pPr>
            <w:r>
              <w:rPr>
                <w:sz w:val="21"/>
              </w:rPr>
              <w:t>2</w:t>
            </w:r>
          </w:p>
        </w:tc>
        <w:tc>
          <w:tcPr>
            <w:tcW w:w="3224" w:type="dxa"/>
          </w:tcPr>
          <w:p>
            <w:pPr>
              <w:pStyle w:val="36"/>
              <w:spacing w:before="99"/>
              <w:ind w:left="1173" w:right="1160"/>
              <w:jc w:val="center"/>
              <w:rPr>
                <w:sz w:val="21"/>
              </w:rPr>
            </w:pPr>
            <w:r>
              <w:rPr>
                <w:sz w:val="21"/>
              </w:rPr>
              <w:t>建筑面积</w:t>
            </w:r>
          </w:p>
        </w:tc>
        <w:tc>
          <w:tcPr>
            <w:tcW w:w="2381" w:type="dxa"/>
          </w:tcPr>
          <w:p>
            <w:pPr>
              <w:pStyle w:val="36"/>
              <w:spacing w:before="99"/>
              <w:ind w:left="856" w:right="843"/>
              <w:jc w:val="center"/>
              <w:rPr>
                <w:sz w:val="21"/>
              </w:rPr>
            </w:pPr>
            <w:r>
              <w:rPr>
                <w:sz w:val="21"/>
              </w:rPr>
              <w:t>平方米</w:t>
            </w:r>
          </w:p>
        </w:tc>
        <w:tc>
          <w:tcPr>
            <w:tcW w:w="2739" w:type="dxa"/>
          </w:tcPr>
          <w:p>
            <w:pPr>
              <w:pStyle w:val="36"/>
              <w:spacing w:before="99"/>
              <w:ind w:left="931" w:right="917"/>
              <w:jc w:val="center"/>
              <w:rPr>
                <w:color w:val="FF0000"/>
                <w:sz w:val="21"/>
              </w:rPr>
            </w:pPr>
            <w:r>
              <w:rPr>
                <w:rFonts w:hint="eastAsia"/>
                <w:color w:val="FF0000"/>
                <w:sz w:val="21"/>
                <w:highlight w:val="yellow"/>
              </w:rPr>
              <w:t>约1000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63" w:type="dxa"/>
          </w:tcPr>
          <w:p>
            <w:pPr>
              <w:pStyle w:val="36"/>
              <w:spacing w:before="102"/>
              <w:ind w:left="14"/>
              <w:jc w:val="center"/>
              <w:rPr>
                <w:sz w:val="21"/>
              </w:rPr>
            </w:pPr>
            <w:r>
              <w:rPr>
                <w:sz w:val="21"/>
              </w:rPr>
              <w:t>3</w:t>
            </w:r>
          </w:p>
        </w:tc>
        <w:tc>
          <w:tcPr>
            <w:tcW w:w="3224" w:type="dxa"/>
          </w:tcPr>
          <w:p>
            <w:pPr>
              <w:pStyle w:val="36"/>
              <w:spacing w:before="102"/>
              <w:ind w:left="1173" w:right="1160"/>
              <w:jc w:val="center"/>
              <w:rPr>
                <w:sz w:val="21"/>
              </w:rPr>
            </w:pPr>
            <w:r>
              <w:rPr>
                <w:sz w:val="21"/>
              </w:rPr>
              <w:t>建筑层数</w:t>
            </w:r>
          </w:p>
        </w:tc>
        <w:tc>
          <w:tcPr>
            <w:tcW w:w="2381" w:type="dxa"/>
          </w:tcPr>
          <w:p>
            <w:pPr>
              <w:pStyle w:val="36"/>
              <w:spacing w:before="102"/>
              <w:ind w:left="857" w:right="843"/>
              <w:jc w:val="center"/>
              <w:rPr>
                <w:sz w:val="21"/>
              </w:rPr>
            </w:pPr>
            <w:r>
              <w:rPr>
                <w:sz w:val="21"/>
              </w:rPr>
              <w:t>层数</w:t>
            </w:r>
          </w:p>
        </w:tc>
        <w:tc>
          <w:tcPr>
            <w:tcW w:w="2739" w:type="dxa"/>
          </w:tcPr>
          <w:p>
            <w:pPr>
              <w:pStyle w:val="36"/>
              <w:spacing w:before="102"/>
              <w:ind w:left="12"/>
              <w:jc w:val="center"/>
              <w:rPr>
                <w:color w:val="FF0000"/>
                <w:sz w:val="21"/>
              </w:rPr>
            </w:pPr>
            <w:r>
              <w:rPr>
                <w:rFonts w:hint="eastAsia"/>
                <w:color w:val="FF0000"/>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rPr>
                <w:rFonts w:ascii="Times New Roman"/>
                <w:sz w:val="20"/>
              </w:rPr>
            </w:pPr>
          </w:p>
        </w:tc>
        <w:tc>
          <w:tcPr>
            <w:tcW w:w="8344" w:type="dxa"/>
            <w:gridSpan w:val="3"/>
          </w:tcPr>
          <w:p>
            <w:pPr>
              <w:pStyle w:val="36"/>
              <w:spacing w:before="99"/>
              <w:ind w:left="3523" w:right="3510"/>
              <w:jc w:val="center"/>
              <w:rPr>
                <w:sz w:val="21"/>
              </w:rPr>
            </w:pPr>
            <w:r>
              <w:rPr>
                <w:sz w:val="21"/>
              </w:rPr>
              <w:t>楼层功能设置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246" w:right="232"/>
              <w:jc w:val="center"/>
              <w:rPr>
                <w:sz w:val="21"/>
              </w:rPr>
            </w:pPr>
            <w:r>
              <w:rPr>
                <w:sz w:val="21"/>
              </w:rPr>
              <w:t>一层</w:t>
            </w:r>
          </w:p>
        </w:tc>
        <w:tc>
          <w:tcPr>
            <w:tcW w:w="8344" w:type="dxa"/>
            <w:gridSpan w:val="3"/>
            <w:vAlign w:val="center"/>
          </w:tcPr>
          <w:p>
            <w:pPr>
              <w:pStyle w:val="36"/>
              <w:spacing w:before="99"/>
              <w:ind w:left="110"/>
              <w:jc w:val="center"/>
              <w:rPr>
                <w:sz w:val="21"/>
              </w:rPr>
            </w:pPr>
            <w:r>
              <w:rPr>
                <w:rFonts w:hint="eastAsia"/>
                <w:sz w:val="21"/>
              </w:rPr>
              <w:t>大堂及工作室等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246" w:right="232"/>
              <w:jc w:val="center"/>
              <w:rPr>
                <w:sz w:val="21"/>
              </w:rPr>
            </w:pPr>
            <w:r>
              <w:rPr>
                <w:sz w:val="21"/>
              </w:rPr>
              <w:t>二层</w:t>
            </w:r>
          </w:p>
        </w:tc>
        <w:tc>
          <w:tcPr>
            <w:tcW w:w="8344" w:type="dxa"/>
            <w:gridSpan w:val="3"/>
            <w:vAlign w:val="center"/>
          </w:tcPr>
          <w:p>
            <w:pPr>
              <w:pStyle w:val="36"/>
              <w:spacing w:before="99"/>
              <w:ind w:left="110"/>
              <w:jc w:val="center"/>
              <w:rPr>
                <w:sz w:val="21"/>
              </w:rPr>
            </w:pPr>
            <w:r>
              <w:rPr>
                <w:rFonts w:hint="eastAsia"/>
                <w:sz w:val="21"/>
              </w:rPr>
              <w:t>会议室及工作室等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1263" w:type="dxa"/>
          </w:tcPr>
          <w:p>
            <w:pPr>
              <w:pStyle w:val="36"/>
              <w:spacing w:before="99"/>
              <w:ind w:left="246" w:right="232"/>
              <w:jc w:val="center"/>
              <w:rPr>
                <w:sz w:val="21"/>
              </w:rPr>
            </w:pPr>
            <w:r>
              <w:rPr>
                <w:sz w:val="21"/>
              </w:rPr>
              <w:t>三层</w:t>
            </w:r>
          </w:p>
        </w:tc>
        <w:tc>
          <w:tcPr>
            <w:tcW w:w="8344" w:type="dxa"/>
            <w:gridSpan w:val="3"/>
            <w:vAlign w:val="center"/>
          </w:tcPr>
          <w:p>
            <w:pPr>
              <w:pStyle w:val="36"/>
              <w:ind w:left="110"/>
              <w:jc w:val="center"/>
              <w:rPr>
                <w:sz w:val="21"/>
              </w:rPr>
            </w:pPr>
            <w:r>
              <w:rPr>
                <w:rFonts w:hint="eastAsia"/>
                <w:sz w:val="21"/>
              </w:rPr>
              <w:t>机房等配套设施</w:t>
            </w:r>
          </w:p>
        </w:tc>
      </w:tr>
    </w:tbl>
    <w:p>
      <w:pPr>
        <w:pStyle w:val="10"/>
        <w:rPr>
          <w:sz w:val="20"/>
        </w:rPr>
      </w:pPr>
    </w:p>
    <w:p>
      <w:pPr>
        <w:pStyle w:val="10"/>
        <w:rPr>
          <w:sz w:val="13"/>
        </w:rPr>
      </w:pPr>
    </w:p>
    <w:tbl>
      <w:tblPr>
        <w:tblStyle w:val="24"/>
        <w:tblW w:w="9607"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3"/>
        <w:gridCol w:w="3224"/>
        <w:gridCol w:w="2381"/>
        <w:gridCol w:w="27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trPr>
        <w:tc>
          <w:tcPr>
            <w:tcW w:w="9607" w:type="dxa"/>
            <w:gridSpan w:val="4"/>
          </w:tcPr>
          <w:p>
            <w:pPr>
              <w:pStyle w:val="36"/>
              <w:spacing w:before="3"/>
              <w:rPr>
                <w:sz w:val="18"/>
              </w:rPr>
            </w:pPr>
          </w:p>
          <w:p>
            <w:pPr>
              <w:pStyle w:val="36"/>
              <w:ind w:left="3836" w:right="3822"/>
              <w:jc w:val="center"/>
              <w:rPr>
                <w:b/>
                <w:sz w:val="21"/>
              </w:rPr>
            </w:pPr>
            <w:r>
              <w:rPr>
                <w:rFonts w:hint="eastAsia"/>
              </w:rPr>
              <w:t>值班用房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63" w:type="dxa"/>
          </w:tcPr>
          <w:p>
            <w:pPr>
              <w:pStyle w:val="36"/>
              <w:spacing w:before="99"/>
              <w:ind w:left="246" w:right="232"/>
              <w:jc w:val="center"/>
              <w:rPr>
                <w:sz w:val="21"/>
              </w:rPr>
            </w:pPr>
            <w:r>
              <w:rPr>
                <w:sz w:val="21"/>
              </w:rPr>
              <w:t>序号</w:t>
            </w:r>
          </w:p>
        </w:tc>
        <w:tc>
          <w:tcPr>
            <w:tcW w:w="3224" w:type="dxa"/>
          </w:tcPr>
          <w:p>
            <w:pPr>
              <w:pStyle w:val="36"/>
              <w:spacing w:before="99"/>
              <w:ind w:left="1170" w:right="1160"/>
              <w:jc w:val="center"/>
              <w:rPr>
                <w:sz w:val="21"/>
              </w:rPr>
            </w:pPr>
            <w:r>
              <w:rPr>
                <w:sz w:val="21"/>
              </w:rPr>
              <w:t>名称</w:t>
            </w:r>
          </w:p>
        </w:tc>
        <w:tc>
          <w:tcPr>
            <w:tcW w:w="2381" w:type="dxa"/>
          </w:tcPr>
          <w:p>
            <w:pPr>
              <w:pStyle w:val="36"/>
              <w:spacing w:before="99"/>
              <w:ind w:left="857" w:right="843"/>
              <w:jc w:val="center"/>
              <w:rPr>
                <w:sz w:val="21"/>
              </w:rPr>
            </w:pPr>
            <w:r>
              <w:rPr>
                <w:sz w:val="21"/>
              </w:rPr>
              <w:t>单位</w:t>
            </w:r>
          </w:p>
        </w:tc>
        <w:tc>
          <w:tcPr>
            <w:tcW w:w="2739" w:type="dxa"/>
          </w:tcPr>
          <w:p>
            <w:pPr>
              <w:pStyle w:val="36"/>
              <w:spacing w:before="99"/>
              <w:ind w:left="931" w:right="918"/>
              <w:jc w:val="center"/>
              <w:rPr>
                <w:sz w:val="21"/>
              </w:rPr>
            </w:pPr>
            <w:r>
              <w:rPr>
                <w:sz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14"/>
              <w:jc w:val="center"/>
              <w:rPr>
                <w:sz w:val="21"/>
              </w:rPr>
            </w:pPr>
            <w:r>
              <w:rPr>
                <w:sz w:val="21"/>
              </w:rPr>
              <w:t>1</w:t>
            </w:r>
          </w:p>
        </w:tc>
        <w:tc>
          <w:tcPr>
            <w:tcW w:w="3224" w:type="dxa"/>
          </w:tcPr>
          <w:p>
            <w:pPr>
              <w:pStyle w:val="36"/>
              <w:spacing w:before="99"/>
              <w:ind w:left="1173" w:right="1160"/>
              <w:jc w:val="center"/>
              <w:rPr>
                <w:sz w:val="21"/>
              </w:rPr>
            </w:pPr>
            <w:r>
              <w:rPr>
                <w:sz w:val="21"/>
              </w:rPr>
              <w:t>占地面积</w:t>
            </w:r>
          </w:p>
        </w:tc>
        <w:tc>
          <w:tcPr>
            <w:tcW w:w="2381" w:type="dxa"/>
          </w:tcPr>
          <w:p>
            <w:pPr>
              <w:pStyle w:val="36"/>
              <w:spacing w:before="99"/>
              <w:ind w:left="856" w:right="843"/>
              <w:jc w:val="center"/>
              <w:rPr>
                <w:sz w:val="21"/>
              </w:rPr>
            </w:pPr>
            <w:r>
              <w:rPr>
                <w:sz w:val="21"/>
              </w:rPr>
              <w:t>平方米</w:t>
            </w:r>
          </w:p>
        </w:tc>
        <w:tc>
          <w:tcPr>
            <w:tcW w:w="2739" w:type="dxa"/>
          </w:tcPr>
          <w:p>
            <w:pPr>
              <w:pStyle w:val="36"/>
              <w:spacing w:before="99"/>
              <w:ind w:left="931" w:right="917"/>
              <w:jc w:val="center"/>
              <w:rPr>
                <w:color w:val="FF0000"/>
                <w:sz w:val="21"/>
              </w:rPr>
            </w:pPr>
            <w:r>
              <w:rPr>
                <w:rFonts w:hint="eastAsia"/>
                <w:color w:val="FF0000"/>
                <w:sz w:val="21"/>
              </w:rPr>
              <w:t>310.4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14"/>
              <w:jc w:val="center"/>
              <w:rPr>
                <w:sz w:val="21"/>
              </w:rPr>
            </w:pPr>
            <w:r>
              <w:rPr>
                <w:sz w:val="21"/>
              </w:rPr>
              <w:t>2</w:t>
            </w:r>
          </w:p>
        </w:tc>
        <w:tc>
          <w:tcPr>
            <w:tcW w:w="3224" w:type="dxa"/>
          </w:tcPr>
          <w:p>
            <w:pPr>
              <w:pStyle w:val="36"/>
              <w:spacing w:before="99"/>
              <w:ind w:left="1173" w:right="1160"/>
              <w:jc w:val="center"/>
              <w:rPr>
                <w:sz w:val="21"/>
              </w:rPr>
            </w:pPr>
            <w:r>
              <w:rPr>
                <w:sz w:val="21"/>
              </w:rPr>
              <w:t>建筑面积</w:t>
            </w:r>
          </w:p>
        </w:tc>
        <w:tc>
          <w:tcPr>
            <w:tcW w:w="2381" w:type="dxa"/>
          </w:tcPr>
          <w:p>
            <w:pPr>
              <w:pStyle w:val="36"/>
              <w:spacing w:before="99"/>
              <w:ind w:left="856" w:right="843"/>
              <w:jc w:val="center"/>
              <w:rPr>
                <w:sz w:val="21"/>
              </w:rPr>
            </w:pPr>
            <w:r>
              <w:rPr>
                <w:sz w:val="21"/>
              </w:rPr>
              <w:t>平方米</w:t>
            </w:r>
          </w:p>
        </w:tc>
        <w:tc>
          <w:tcPr>
            <w:tcW w:w="2739" w:type="dxa"/>
          </w:tcPr>
          <w:p>
            <w:pPr>
              <w:pStyle w:val="36"/>
              <w:spacing w:before="99"/>
              <w:ind w:left="931" w:right="917"/>
              <w:jc w:val="center"/>
              <w:rPr>
                <w:color w:val="FF0000"/>
                <w:sz w:val="21"/>
              </w:rPr>
            </w:pPr>
            <w:r>
              <w:rPr>
                <w:rFonts w:hint="eastAsia"/>
                <w:color w:val="FF0000"/>
                <w:sz w:val="21"/>
                <w:highlight w:val="yellow"/>
              </w:rPr>
              <w:t>约600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63" w:type="dxa"/>
          </w:tcPr>
          <w:p>
            <w:pPr>
              <w:pStyle w:val="36"/>
              <w:spacing w:before="102"/>
              <w:ind w:left="14"/>
              <w:jc w:val="center"/>
              <w:rPr>
                <w:sz w:val="21"/>
              </w:rPr>
            </w:pPr>
            <w:r>
              <w:rPr>
                <w:sz w:val="21"/>
              </w:rPr>
              <w:t>3</w:t>
            </w:r>
          </w:p>
        </w:tc>
        <w:tc>
          <w:tcPr>
            <w:tcW w:w="3224" w:type="dxa"/>
          </w:tcPr>
          <w:p>
            <w:pPr>
              <w:pStyle w:val="36"/>
              <w:spacing w:before="102"/>
              <w:ind w:left="1173" w:right="1160"/>
              <w:jc w:val="center"/>
              <w:rPr>
                <w:sz w:val="21"/>
              </w:rPr>
            </w:pPr>
            <w:r>
              <w:rPr>
                <w:sz w:val="21"/>
              </w:rPr>
              <w:t>建筑层数</w:t>
            </w:r>
          </w:p>
        </w:tc>
        <w:tc>
          <w:tcPr>
            <w:tcW w:w="2381" w:type="dxa"/>
          </w:tcPr>
          <w:p>
            <w:pPr>
              <w:pStyle w:val="36"/>
              <w:spacing w:before="102"/>
              <w:ind w:left="857" w:right="843"/>
              <w:jc w:val="center"/>
              <w:rPr>
                <w:sz w:val="21"/>
              </w:rPr>
            </w:pPr>
            <w:r>
              <w:rPr>
                <w:sz w:val="21"/>
              </w:rPr>
              <w:t>层数</w:t>
            </w:r>
          </w:p>
        </w:tc>
        <w:tc>
          <w:tcPr>
            <w:tcW w:w="2739" w:type="dxa"/>
          </w:tcPr>
          <w:p>
            <w:pPr>
              <w:pStyle w:val="36"/>
              <w:spacing w:before="102"/>
              <w:ind w:left="12"/>
              <w:jc w:val="center"/>
              <w:rPr>
                <w:color w:val="FF0000"/>
                <w:sz w:val="21"/>
              </w:rPr>
            </w:pPr>
            <w:r>
              <w:rPr>
                <w:rFonts w:hint="eastAsia"/>
                <w:color w:val="FF00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rPr>
                <w:rFonts w:ascii="Times New Roman"/>
                <w:sz w:val="20"/>
              </w:rPr>
            </w:pPr>
          </w:p>
        </w:tc>
        <w:tc>
          <w:tcPr>
            <w:tcW w:w="8344" w:type="dxa"/>
            <w:gridSpan w:val="3"/>
          </w:tcPr>
          <w:p>
            <w:pPr>
              <w:pStyle w:val="36"/>
              <w:spacing w:before="99"/>
              <w:ind w:left="3523" w:right="3510"/>
              <w:jc w:val="center"/>
              <w:rPr>
                <w:sz w:val="21"/>
              </w:rPr>
            </w:pPr>
            <w:r>
              <w:rPr>
                <w:sz w:val="21"/>
              </w:rPr>
              <w:t>楼层功能设置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63" w:type="dxa"/>
          </w:tcPr>
          <w:p>
            <w:pPr>
              <w:pStyle w:val="36"/>
              <w:spacing w:before="99"/>
              <w:ind w:left="246" w:right="232"/>
              <w:jc w:val="center"/>
              <w:rPr>
                <w:sz w:val="21"/>
              </w:rPr>
            </w:pPr>
            <w:r>
              <w:rPr>
                <w:rFonts w:hint="eastAsia"/>
                <w:sz w:val="21"/>
              </w:rPr>
              <w:t>一</w:t>
            </w:r>
            <w:r>
              <w:rPr>
                <w:sz w:val="21"/>
              </w:rPr>
              <w:t>层</w:t>
            </w:r>
          </w:p>
        </w:tc>
        <w:tc>
          <w:tcPr>
            <w:tcW w:w="8344" w:type="dxa"/>
            <w:gridSpan w:val="3"/>
          </w:tcPr>
          <w:p>
            <w:pPr>
              <w:pStyle w:val="36"/>
              <w:spacing w:before="99"/>
              <w:ind w:left="110"/>
              <w:jc w:val="center"/>
              <w:rPr>
                <w:sz w:val="21"/>
              </w:rPr>
            </w:pPr>
            <w:r>
              <w:rPr>
                <w:rFonts w:hint="eastAsia"/>
                <w:sz w:val="21"/>
              </w:rPr>
              <w:t>多功能室、公寓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3" w:type="dxa"/>
          </w:tcPr>
          <w:p>
            <w:pPr>
              <w:pStyle w:val="36"/>
              <w:spacing w:before="99"/>
              <w:ind w:left="246" w:right="232"/>
              <w:jc w:val="center"/>
              <w:rPr>
                <w:sz w:val="21"/>
              </w:rPr>
            </w:pPr>
            <w:r>
              <w:rPr>
                <w:sz w:val="21"/>
              </w:rPr>
              <w:t>二层</w:t>
            </w:r>
          </w:p>
        </w:tc>
        <w:tc>
          <w:tcPr>
            <w:tcW w:w="8344" w:type="dxa"/>
            <w:gridSpan w:val="3"/>
          </w:tcPr>
          <w:p>
            <w:pPr>
              <w:pStyle w:val="36"/>
              <w:spacing w:before="99"/>
              <w:ind w:left="110"/>
              <w:jc w:val="center"/>
              <w:rPr>
                <w:sz w:val="21"/>
              </w:rPr>
            </w:pPr>
            <w:r>
              <w:rPr>
                <w:rFonts w:hint="eastAsia"/>
                <w:sz w:val="21"/>
              </w:rPr>
              <w:t>公寓</w:t>
            </w:r>
          </w:p>
        </w:tc>
      </w:tr>
    </w:tbl>
    <w:p>
      <w:pPr>
        <w:pStyle w:val="10"/>
        <w:rPr>
          <w:sz w:val="20"/>
        </w:rPr>
      </w:pPr>
    </w:p>
    <w:tbl>
      <w:tblPr>
        <w:tblStyle w:val="24"/>
        <w:tblW w:w="9606"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3219"/>
        <w:gridCol w:w="2381"/>
        <w:gridCol w:w="2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9606" w:type="dxa"/>
            <w:gridSpan w:val="4"/>
          </w:tcPr>
          <w:p>
            <w:pPr>
              <w:ind w:right="4565"/>
              <w:jc w:val="center"/>
              <w:rPr>
                <w:sz w:val="21"/>
              </w:rPr>
            </w:pPr>
            <w:r>
              <w:rPr>
                <w:rFonts w:hint="eastAsia"/>
                <w:sz w:val="21"/>
              </w:rPr>
              <w:t xml:space="preserve">                                   </w:t>
            </w:r>
            <w:r>
              <w:rPr>
                <w:rFonts w:hint="eastAsia"/>
                <w:b/>
                <w:sz w:val="21"/>
              </w:rPr>
              <w:t>信息处理</w:t>
            </w:r>
            <w:r>
              <w:rPr>
                <w:b/>
                <w:sz w:val="21"/>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65" w:type="dxa"/>
          </w:tcPr>
          <w:p>
            <w:pPr>
              <w:pStyle w:val="36"/>
              <w:spacing w:before="99"/>
              <w:ind w:left="301" w:right="284"/>
              <w:jc w:val="center"/>
              <w:rPr>
                <w:sz w:val="21"/>
              </w:rPr>
            </w:pPr>
            <w:r>
              <w:rPr>
                <w:sz w:val="21"/>
              </w:rPr>
              <w:t>序号</w:t>
            </w:r>
          </w:p>
        </w:tc>
        <w:tc>
          <w:tcPr>
            <w:tcW w:w="3219" w:type="dxa"/>
          </w:tcPr>
          <w:p>
            <w:pPr>
              <w:pStyle w:val="36"/>
              <w:spacing w:before="99"/>
              <w:ind w:left="1169" w:right="1158"/>
              <w:jc w:val="center"/>
              <w:rPr>
                <w:sz w:val="21"/>
              </w:rPr>
            </w:pPr>
            <w:r>
              <w:rPr>
                <w:sz w:val="21"/>
              </w:rPr>
              <w:t>名称</w:t>
            </w:r>
          </w:p>
        </w:tc>
        <w:tc>
          <w:tcPr>
            <w:tcW w:w="2381" w:type="dxa"/>
          </w:tcPr>
          <w:p>
            <w:pPr>
              <w:pStyle w:val="36"/>
              <w:spacing w:before="99"/>
              <w:ind w:left="857" w:right="842"/>
              <w:jc w:val="center"/>
              <w:rPr>
                <w:sz w:val="21"/>
              </w:rPr>
            </w:pPr>
            <w:r>
              <w:rPr>
                <w:sz w:val="21"/>
              </w:rPr>
              <w:t>单位</w:t>
            </w:r>
          </w:p>
        </w:tc>
        <w:tc>
          <w:tcPr>
            <w:tcW w:w="2741" w:type="dxa"/>
          </w:tcPr>
          <w:p>
            <w:pPr>
              <w:pStyle w:val="36"/>
              <w:spacing w:before="99"/>
              <w:ind w:left="933" w:right="916"/>
              <w:jc w:val="center"/>
              <w:rPr>
                <w:sz w:val="21"/>
              </w:rPr>
            </w:pPr>
            <w:r>
              <w:rPr>
                <w:sz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5" w:type="dxa"/>
          </w:tcPr>
          <w:p>
            <w:pPr>
              <w:pStyle w:val="36"/>
              <w:spacing w:before="99"/>
              <w:ind w:left="12"/>
              <w:jc w:val="center"/>
              <w:rPr>
                <w:sz w:val="21"/>
              </w:rPr>
            </w:pPr>
            <w:r>
              <w:rPr>
                <w:sz w:val="21"/>
              </w:rPr>
              <w:t>1</w:t>
            </w:r>
          </w:p>
        </w:tc>
        <w:tc>
          <w:tcPr>
            <w:tcW w:w="3219" w:type="dxa"/>
          </w:tcPr>
          <w:p>
            <w:pPr>
              <w:pStyle w:val="36"/>
              <w:spacing w:before="99"/>
              <w:ind w:left="1169" w:right="1160"/>
              <w:jc w:val="center"/>
              <w:rPr>
                <w:sz w:val="21"/>
              </w:rPr>
            </w:pPr>
            <w:r>
              <w:rPr>
                <w:sz w:val="21"/>
              </w:rPr>
              <w:t>占地面积</w:t>
            </w:r>
          </w:p>
        </w:tc>
        <w:tc>
          <w:tcPr>
            <w:tcW w:w="2381" w:type="dxa"/>
          </w:tcPr>
          <w:p>
            <w:pPr>
              <w:pStyle w:val="36"/>
              <w:spacing w:before="99"/>
              <w:ind w:left="857" w:right="843"/>
              <w:jc w:val="center"/>
              <w:rPr>
                <w:sz w:val="21"/>
              </w:rPr>
            </w:pPr>
            <w:r>
              <w:rPr>
                <w:sz w:val="21"/>
              </w:rPr>
              <w:t>平方米</w:t>
            </w:r>
          </w:p>
        </w:tc>
        <w:tc>
          <w:tcPr>
            <w:tcW w:w="2741" w:type="dxa"/>
          </w:tcPr>
          <w:p>
            <w:pPr>
              <w:pStyle w:val="36"/>
              <w:spacing w:before="99"/>
              <w:ind w:left="934" w:right="916"/>
              <w:jc w:val="center"/>
              <w:rPr>
                <w:color w:val="FF0000"/>
                <w:sz w:val="21"/>
              </w:rPr>
            </w:pPr>
            <w:r>
              <w:rPr>
                <w:rFonts w:hint="eastAsia"/>
                <w:color w:val="FF0000"/>
                <w:sz w:val="21"/>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5" w:type="dxa"/>
          </w:tcPr>
          <w:p>
            <w:pPr>
              <w:pStyle w:val="36"/>
              <w:spacing w:before="99"/>
              <w:ind w:left="12"/>
              <w:jc w:val="center"/>
              <w:rPr>
                <w:sz w:val="21"/>
              </w:rPr>
            </w:pPr>
            <w:r>
              <w:rPr>
                <w:sz w:val="21"/>
              </w:rPr>
              <w:t>2</w:t>
            </w:r>
          </w:p>
        </w:tc>
        <w:tc>
          <w:tcPr>
            <w:tcW w:w="3219" w:type="dxa"/>
          </w:tcPr>
          <w:p>
            <w:pPr>
              <w:pStyle w:val="36"/>
              <w:spacing w:before="99"/>
              <w:ind w:left="1169" w:right="1160"/>
              <w:jc w:val="center"/>
              <w:rPr>
                <w:sz w:val="21"/>
              </w:rPr>
            </w:pPr>
            <w:r>
              <w:rPr>
                <w:sz w:val="21"/>
              </w:rPr>
              <w:t>建筑面积</w:t>
            </w:r>
          </w:p>
        </w:tc>
        <w:tc>
          <w:tcPr>
            <w:tcW w:w="2381" w:type="dxa"/>
          </w:tcPr>
          <w:p>
            <w:pPr>
              <w:pStyle w:val="36"/>
              <w:spacing w:before="99"/>
              <w:ind w:left="857" w:right="843"/>
              <w:jc w:val="center"/>
              <w:rPr>
                <w:sz w:val="21"/>
              </w:rPr>
            </w:pPr>
            <w:r>
              <w:rPr>
                <w:sz w:val="21"/>
              </w:rPr>
              <w:t>平方米</w:t>
            </w:r>
          </w:p>
        </w:tc>
        <w:tc>
          <w:tcPr>
            <w:tcW w:w="2741" w:type="dxa"/>
          </w:tcPr>
          <w:p>
            <w:pPr>
              <w:pStyle w:val="36"/>
              <w:spacing w:before="99"/>
              <w:ind w:left="934" w:right="916"/>
              <w:jc w:val="center"/>
              <w:rPr>
                <w:color w:val="FF0000"/>
                <w:sz w:val="21"/>
              </w:rPr>
            </w:pPr>
            <w:r>
              <w:rPr>
                <w:rFonts w:hint="eastAsia"/>
                <w:color w:val="FF0000"/>
                <w:sz w:val="21"/>
              </w:rPr>
              <w:t>约3200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1265" w:type="dxa"/>
          </w:tcPr>
          <w:p>
            <w:pPr>
              <w:pStyle w:val="36"/>
              <w:spacing w:before="99"/>
              <w:ind w:left="12"/>
              <w:jc w:val="center"/>
              <w:rPr>
                <w:sz w:val="21"/>
              </w:rPr>
            </w:pPr>
            <w:r>
              <w:rPr>
                <w:sz w:val="21"/>
              </w:rPr>
              <w:t>3</w:t>
            </w:r>
          </w:p>
        </w:tc>
        <w:tc>
          <w:tcPr>
            <w:tcW w:w="3219" w:type="dxa"/>
          </w:tcPr>
          <w:p>
            <w:pPr>
              <w:pStyle w:val="36"/>
              <w:spacing w:before="99"/>
              <w:ind w:left="1169" w:right="1160"/>
              <w:jc w:val="center"/>
              <w:rPr>
                <w:sz w:val="21"/>
              </w:rPr>
            </w:pPr>
            <w:r>
              <w:rPr>
                <w:sz w:val="21"/>
              </w:rPr>
              <w:t>建筑层数</w:t>
            </w:r>
          </w:p>
        </w:tc>
        <w:tc>
          <w:tcPr>
            <w:tcW w:w="2381" w:type="dxa"/>
          </w:tcPr>
          <w:p>
            <w:pPr>
              <w:pStyle w:val="36"/>
              <w:spacing w:before="99"/>
              <w:ind w:left="857" w:right="842"/>
              <w:jc w:val="center"/>
              <w:rPr>
                <w:sz w:val="21"/>
              </w:rPr>
            </w:pPr>
            <w:r>
              <w:rPr>
                <w:sz w:val="21"/>
              </w:rPr>
              <w:t>层数</w:t>
            </w:r>
          </w:p>
        </w:tc>
        <w:tc>
          <w:tcPr>
            <w:tcW w:w="2741" w:type="dxa"/>
          </w:tcPr>
          <w:p>
            <w:pPr>
              <w:pStyle w:val="36"/>
              <w:ind w:left="110"/>
              <w:rPr>
                <w:color w:val="FF0000"/>
                <w:sz w:val="21"/>
              </w:rPr>
            </w:pPr>
            <w:r>
              <w:rPr>
                <w:rFonts w:hint="eastAsia"/>
                <w:color w:val="FF0000"/>
                <w:sz w:val="21"/>
              </w:rPr>
              <w:t xml:space="preserve">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5" w:type="dxa"/>
          </w:tcPr>
          <w:p>
            <w:pPr>
              <w:pStyle w:val="36"/>
              <w:rPr>
                <w:rFonts w:ascii="Times New Roman"/>
                <w:sz w:val="20"/>
              </w:rPr>
            </w:pPr>
          </w:p>
        </w:tc>
        <w:tc>
          <w:tcPr>
            <w:tcW w:w="8341" w:type="dxa"/>
            <w:gridSpan w:val="3"/>
          </w:tcPr>
          <w:p>
            <w:pPr>
              <w:pStyle w:val="36"/>
              <w:spacing w:before="99"/>
              <w:ind w:left="3521" w:right="3509"/>
              <w:jc w:val="center"/>
              <w:rPr>
                <w:sz w:val="21"/>
              </w:rPr>
            </w:pPr>
            <w:r>
              <w:rPr>
                <w:sz w:val="21"/>
              </w:rPr>
              <w:t>楼层功能设置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5" w:type="dxa"/>
          </w:tcPr>
          <w:p>
            <w:pPr>
              <w:pStyle w:val="36"/>
              <w:jc w:val="center"/>
              <w:rPr>
                <w:rFonts w:ascii="Times New Roman"/>
                <w:sz w:val="20"/>
              </w:rPr>
            </w:pPr>
            <w:r>
              <w:rPr>
                <w:rFonts w:hint="eastAsia"/>
                <w:sz w:val="21"/>
              </w:rPr>
              <w:t>一</w:t>
            </w:r>
            <w:r>
              <w:rPr>
                <w:sz w:val="21"/>
              </w:rPr>
              <w:t>层</w:t>
            </w:r>
          </w:p>
        </w:tc>
        <w:tc>
          <w:tcPr>
            <w:tcW w:w="8341" w:type="dxa"/>
            <w:gridSpan w:val="3"/>
          </w:tcPr>
          <w:p>
            <w:pPr>
              <w:pStyle w:val="36"/>
              <w:spacing w:before="99"/>
              <w:ind w:left="3521" w:right="3509"/>
              <w:jc w:val="center"/>
              <w:rPr>
                <w:sz w:val="21"/>
              </w:rPr>
            </w:pPr>
            <w:r>
              <w:rPr>
                <w:rFonts w:hint="eastAsia"/>
                <w:sz w:val="21"/>
              </w:rPr>
              <w:t>大堂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65" w:type="dxa"/>
          </w:tcPr>
          <w:p>
            <w:pPr>
              <w:pStyle w:val="36"/>
              <w:jc w:val="center"/>
              <w:rPr>
                <w:rFonts w:ascii="Times New Roman"/>
                <w:sz w:val="20"/>
              </w:rPr>
            </w:pPr>
            <w:r>
              <w:rPr>
                <w:sz w:val="21"/>
              </w:rPr>
              <w:t>二层</w:t>
            </w:r>
            <w:r>
              <w:rPr>
                <w:rFonts w:hint="eastAsia"/>
                <w:sz w:val="21"/>
              </w:rPr>
              <w:t>至六层</w:t>
            </w:r>
          </w:p>
        </w:tc>
        <w:tc>
          <w:tcPr>
            <w:tcW w:w="8341" w:type="dxa"/>
            <w:gridSpan w:val="3"/>
          </w:tcPr>
          <w:p>
            <w:pPr>
              <w:pStyle w:val="36"/>
              <w:spacing w:before="99"/>
              <w:ind w:right="604"/>
              <w:jc w:val="center"/>
              <w:rPr>
                <w:sz w:val="21"/>
              </w:rPr>
            </w:pPr>
            <w:r>
              <w:rPr>
                <w:rFonts w:hint="eastAsia"/>
                <w:sz w:val="21"/>
              </w:rPr>
              <w:t xml:space="preserve">       办公室等配套设施</w:t>
            </w:r>
          </w:p>
        </w:tc>
      </w:tr>
    </w:tbl>
    <w:p>
      <w:pPr>
        <w:pStyle w:val="10"/>
        <w:rPr>
          <w:sz w:val="20"/>
        </w:rPr>
      </w:pPr>
    </w:p>
    <w:p>
      <w:pPr>
        <w:pStyle w:val="10"/>
        <w:rPr>
          <w:sz w:val="20"/>
        </w:rPr>
      </w:pPr>
    </w:p>
    <w:p>
      <w:pPr>
        <w:pStyle w:val="10"/>
        <w:rPr>
          <w:sz w:val="20"/>
        </w:rPr>
      </w:pPr>
    </w:p>
    <w:p>
      <w:pPr>
        <w:pStyle w:val="10"/>
        <w:rPr>
          <w:sz w:val="20"/>
        </w:rPr>
      </w:pPr>
    </w:p>
    <w:p>
      <w:pPr>
        <w:pStyle w:val="10"/>
        <w:rPr>
          <w:sz w:val="20"/>
        </w:rPr>
      </w:pPr>
    </w:p>
    <w:p>
      <w:pPr>
        <w:tabs>
          <w:tab w:val="left" w:pos="952"/>
        </w:tabs>
        <w:spacing w:before="71"/>
        <w:ind w:firstLine="199" w:firstLineChars="98"/>
        <w:rPr>
          <w:sz w:val="19"/>
        </w:rPr>
      </w:pPr>
      <w:r>
        <w:rPr>
          <w:rFonts w:hint="eastAsia"/>
          <w:spacing w:val="-3"/>
          <w:sz w:val="21"/>
        </w:rPr>
        <w:t>12</w:t>
      </w:r>
      <w:r>
        <w:rPr>
          <w:spacing w:val="-3"/>
          <w:sz w:val="21"/>
        </w:rPr>
        <w:t>、建筑内外观设计意向：</w:t>
      </w:r>
    </w:p>
    <w:p>
      <w:pPr>
        <w:pStyle w:val="10"/>
        <w:spacing w:before="7"/>
        <w:rPr>
          <w:sz w:val="15"/>
        </w:rPr>
      </w:pPr>
    </w:p>
    <w:p>
      <w:pPr>
        <w:pStyle w:val="10"/>
        <w:spacing w:line="417" w:lineRule="auto"/>
        <w:ind w:left="212" w:right="546" w:firstLine="420"/>
        <w:jc w:val="both"/>
      </w:pPr>
      <w:r>
        <w:rPr>
          <w:spacing w:val="-16"/>
        </w:rPr>
        <w:t>外观设计以简洁、清晰的现代形象表达其内涵，形成富于标志性的形象特色，并且符合国家</w:t>
      </w:r>
      <w:r>
        <w:rPr>
          <w:spacing w:val="-6"/>
        </w:rPr>
        <w:t>评审标准的要求</w:t>
      </w:r>
      <w:r>
        <w:rPr>
          <w:spacing w:val="-5"/>
        </w:rPr>
        <w:t>。</w:t>
      </w:r>
    </w:p>
    <w:p>
      <w:pPr>
        <w:pStyle w:val="35"/>
        <w:numPr>
          <w:ilvl w:val="1"/>
          <w:numId w:val="98"/>
        </w:numPr>
        <w:tabs>
          <w:tab w:val="left" w:pos="952"/>
        </w:tabs>
        <w:spacing w:line="268" w:lineRule="exact"/>
        <w:rPr>
          <w:sz w:val="19"/>
        </w:rPr>
      </w:pPr>
      <w:r>
        <w:rPr>
          <w:spacing w:val="-3"/>
          <w:sz w:val="21"/>
        </w:rPr>
        <w:t>合理选择建筑材料，满足功能使用要求。</w:t>
      </w:r>
    </w:p>
    <w:p>
      <w:pPr>
        <w:pStyle w:val="10"/>
        <w:spacing w:before="7"/>
        <w:rPr>
          <w:sz w:val="15"/>
        </w:rPr>
      </w:pPr>
    </w:p>
    <w:p>
      <w:pPr>
        <w:tabs>
          <w:tab w:val="left" w:pos="952"/>
        </w:tabs>
        <w:spacing w:before="1"/>
        <w:ind w:firstLine="199" w:firstLineChars="98"/>
        <w:rPr>
          <w:sz w:val="19"/>
        </w:rPr>
      </w:pPr>
      <w:r>
        <w:rPr>
          <w:rFonts w:hint="eastAsia"/>
          <w:spacing w:val="-3"/>
          <w:sz w:val="21"/>
        </w:rPr>
        <w:t xml:space="preserve">12.2 </w:t>
      </w:r>
      <w:r>
        <w:rPr>
          <w:spacing w:val="-3"/>
          <w:sz w:val="21"/>
        </w:rPr>
        <w:t>根据现行行业规范合理设计，满足安全、适用、耐久、美观等技术要求。</w:t>
      </w:r>
    </w:p>
    <w:p>
      <w:pPr>
        <w:pStyle w:val="10"/>
        <w:spacing w:before="6"/>
        <w:rPr>
          <w:sz w:val="15"/>
        </w:rPr>
      </w:pPr>
    </w:p>
    <w:p>
      <w:pPr>
        <w:pStyle w:val="35"/>
        <w:numPr>
          <w:ilvl w:val="1"/>
          <w:numId w:val="98"/>
        </w:numPr>
        <w:tabs>
          <w:tab w:val="left" w:pos="952"/>
        </w:tabs>
        <w:rPr>
          <w:sz w:val="19"/>
        </w:rPr>
      </w:pPr>
      <w:r>
        <w:rPr>
          <w:spacing w:val="-3"/>
          <w:sz w:val="21"/>
        </w:rPr>
        <w:t>除根据相关规范外，需结合建设单位实际功能用途作出相应响应。</w:t>
      </w:r>
    </w:p>
    <w:p>
      <w:pPr>
        <w:pStyle w:val="10"/>
        <w:spacing w:before="7"/>
        <w:rPr>
          <w:sz w:val="15"/>
        </w:rPr>
      </w:pPr>
    </w:p>
    <w:p>
      <w:pPr>
        <w:tabs>
          <w:tab w:val="left" w:pos="952"/>
        </w:tabs>
        <w:ind w:firstLine="199" w:firstLineChars="98"/>
        <w:rPr>
          <w:sz w:val="19"/>
        </w:rPr>
      </w:pPr>
      <w:r>
        <w:rPr>
          <w:rFonts w:hint="eastAsia"/>
          <w:spacing w:val="-3"/>
          <w:sz w:val="21"/>
        </w:rPr>
        <w:t>12.4</w:t>
      </w:r>
      <w:r>
        <w:rPr>
          <w:spacing w:val="-3"/>
          <w:sz w:val="21"/>
        </w:rPr>
        <w:t>、设计依据</w:t>
      </w:r>
    </w:p>
    <w:p>
      <w:pPr>
        <w:pStyle w:val="10"/>
        <w:spacing w:before="7"/>
        <w:rPr>
          <w:sz w:val="15"/>
        </w:rPr>
      </w:pPr>
    </w:p>
    <w:p>
      <w:pPr>
        <w:pStyle w:val="10"/>
        <w:ind w:left="1053"/>
      </w:pPr>
      <w:r>
        <w:t>《房屋建筑制图统一标准》GB/50001—2010</w:t>
      </w:r>
    </w:p>
    <w:p>
      <w:pPr>
        <w:pStyle w:val="10"/>
        <w:ind w:left="1053"/>
      </w:pPr>
      <w:r>
        <w:t>《建筑制图标准》GB/T50104—2010</w:t>
      </w:r>
    </w:p>
    <w:p>
      <w:pPr>
        <w:pStyle w:val="10"/>
        <w:spacing w:before="7"/>
        <w:rPr>
          <w:sz w:val="15"/>
        </w:rPr>
      </w:pPr>
    </w:p>
    <w:p>
      <w:pPr>
        <w:pStyle w:val="10"/>
        <w:ind w:left="1053"/>
      </w:pPr>
      <w:r>
        <w:rPr>
          <w:spacing w:val="-3"/>
        </w:rPr>
        <w:t>《建筑设计防火规范》</w:t>
      </w:r>
      <w:r>
        <w:rPr>
          <w:spacing w:val="-1"/>
        </w:rPr>
        <w:t>GB50016-2018</w:t>
      </w:r>
    </w:p>
    <w:p>
      <w:pPr>
        <w:pStyle w:val="10"/>
        <w:spacing w:before="7"/>
        <w:rPr>
          <w:sz w:val="15"/>
        </w:rPr>
      </w:pPr>
    </w:p>
    <w:p>
      <w:pPr>
        <w:pStyle w:val="10"/>
        <w:ind w:left="1053"/>
      </w:pPr>
      <w:r>
        <w:rPr>
          <w:spacing w:val="-3"/>
        </w:rPr>
        <w:t>《民用建筑设计通则》</w:t>
      </w:r>
      <w:r>
        <w:rPr>
          <w:spacing w:val="-1"/>
        </w:rPr>
        <w:t>GB50352-2019</w:t>
      </w:r>
    </w:p>
    <w:p>
      <w:pPr>
        <w:pStyle w:val="10"/>
        <w:spacing w:before="6"/>
        <w:rPr>
          <w:sz w:val="15"/>
        </w:rPr>
      </w:pPr>
    </w:p>
    <w:p>
      <w:pPr>
        <w:pStyle w:val="10"/>
        <w:spacing w:before="1"/>
        <w:ind w:left="1053"/>
      </w:pPr>
      <w:r>
        <w:t>《建筑工程建筑面积计算规范》GB/T50353-2013</w:t>
      </w:r>
    </w:p>
    <w:p>
      <w:pPr>
        <w:pStyle w:val="10"/>
        <w:spacing w:before="6"/>
        <w:rPr>
          <w:sz w:val="15"/>
        </w:rPr>
      </w:pPr>
    </w:p>
    <w:p>
      <w:pPr>
        <w:pStyle w:val="10"/>
        <w:ind w:left="1053"/>
      </w:pPr>
      <w:r>
        <w:t>《公共建筑节能设计标准》GB50189-2015</w:t>
      </w:r>
    </w:p>
    <w:p>
      <w:pPr>
        <w:pStyle w:val="10"/>
        <w:ind w:left="1053"/>
      </w:pPr>
      <w:r>
        <w:rPr>
          <w:rFonts w:hint="eastAsia"/>
        </w:rPr>
        <w:t>建筑工程现行各专业相关设计规范及行政主管部门的相关要求（包括法律、法规、条例和技术管理要求等</w:t>
      </w:r>
      <w:r>
        <w:t>现行国家相关规范标准</w:t>
      </w:r>
      <w:r>
        <w:rPr>
          <w:rFonts w:hint="eastAsia"/>
        </w:rPr>
        <w:t>。</w:t>
      </w:r>
    </w:p>
    <w:p>
      <w:pPr>
        <w:pStyle w:val="10"/>
        <w:spacing w:before="7"/>
        <w:rPr>
          <w:sz w:val="15"/>
        </w:rPr>
      </w:pPr>
    </w:p>
    <w:p>
      <w:pPr>
        <w:pStyle w:val="10"/>
        <w:spacing w:before="7"/>
        <w:rPr>
          <w:sz w:val="15"/>
        </w:rPr>
      </w:pPr>
    </w:p>
    <w:p>
      <w:pPr>
        <w:pStyle w:val="6"/>
        <w:spacing w:line="269" w:lineRule="exact"/>
        <w:ind w:left="635"/>
      </w:pPr>
      <w:r>
        <w:t>4、工期要求</w:t>
      </w:r>
    </w:p>
    <w:p>
      <w:pPr>
        <w:pStyle w:val="10"/>
        <w:spacing w:before="7"/>
        <w:rPr>
          <w:b/>
          <w:sz w:val="15"/>
        </w:rPr>
      </w:pPr>
    </w:p>
    <w:p>
      <w:pPr>
        <w:pStyle w:val="10"/>
        <w:spacing w:line="417" w:lineRule="auto"/>
        <w:ind w:left="212" w:right="546" w:firstLine="420"/>
      </w:pPr>
      <w:r>
        <w:rPr>
          <w:spacing w:val="-6"/>
        </w:rPr>
        <w:t>按照国家、地方和行业有关规范实施项目设计及施工，和约定的时间竣工验收及移交；承包人作为</w:t>
      </w:r>
      <w:r>
        <w:rPr>
          <w:spacing w:val="-7"/>
        </w:rPr>
        <w:t>设计施工总承包单位须积极配合。计划</w:t>
      </w:r>
      <w:r>
        <w:rPr>
          <w:rFonts w:hint="eastAsia"/>
          <w:spacing w:val="-7"/>
        </w:rPr>
        <w:t>总</w:t>
      </w:r>
      <w:r>
        <w:rPr>
          <w:spacing w:val="-7"/>
        </w:rPr>
        <w:t>工期：</w:t>
      </w:r>
      <w:r>
        <w:rPr>
          <w:spacing w:val="-7"/>
          <w:u w:val="single"/>
        </w:rPr>
        <w:t xml:space="preserve"> </w:t>
      </w:r>
      <w:r>
        <w:rPr>
          <w:rFonts w:hint="eastAsia"/>
          <w:u w:val="single"/>
        </w:rPr>
        <w:t xml:space="preserve">365 </w:t>
      </w:r>
      <w:r>
        <w:rPr>
          <w:spacing w:val="-10"/>
        </w:rPr>
        <w:t>日历天</w:t>
      </w:r>
      <w:r>
        <w:t>。</w:t>
      </w:r>
    </w:p>
    <w:p>
      <w:pPr>
        <w:pStyle w:val="10"/>
        <w:spacing w:before="12"/>
        <w:rPr>
          <w:sz w:val="9"/>
        </w:rPr>
      </w:pPr>
    </w:p>
    <w:p>
      <w:pPr>
        <w:pStyle w:val="35"/>
        <w:numPr>
          <w:ilvl w:val="1"/>
          <w:numId w:val="99"/>
        </w:numPr>
        <w:tabs>
          <w:tab w:val="left" w:pos="1109"/>
        </w:tabs>
        <w:spacing w:before="71" w:line="417" w:lineRule="auto"/>
        <w:ind w:left="318" w:right="546" w:firstLine="420"/>
        <w:jc w:val="both"/>
      </w:pPr>
      <w:r>
        <w:rPr>
          <w:spacing w:val="-3"/>
          <w:sz w:val="21"/>
        </w:rPr>
        <w:t>设计工期</w:t>
      </w:r>
      <w:r>
        <w:rPr>
          <w:rFonts w:hint="eastAsia"/>
          <w:spacing w:val="-3"/>
          <w:sz w:val="21"/>
        </w:rPr>
        <w:t>：</w:t>
      </w:r>
      <w:r>
        <w:rPr>
          <w:spacing w:val="-3"/>
        </w:rPr>
        <w:t xml:space="preserve">如果延误工期，中标人向招标人支付的误期损害赔偿费每天为签约合同价的 </w:t>
      </w:r>
      <w:r>
        <w:t>7</w:t>
      </w:r>
      <w:r>
        <w:rPr>
          <w:spacing w:val="7"/>
        </w:rPr>
        <w:t xml:space="preserve">‰ ， </w:t>
      </w:r>
      <w:r>
        <w:rPr>
          <w:spacing w:val="-5"/>
        </w:rPr>
        <w:t xml:space="preserve">误期损害赔偿费的最高限额为签约合同价的 </w:t>
      </w:r>
      <w:r>
        <w:t>20</w:t>
      </w:r>
      <w:r>
        <w:rPr>
          <w:spacing w:val="-7"/>
        </w:rPr>
        <w:t xml:space="preserve">%。逾期超过 </w:t>
      </w:r>
      <w:r>
        <w:t>30</w:t>
      </w:r>
      <w:r>
        <w:rPr>
          <w:spacing w:val="-7"/>
        </w:rPr>
        <w:t xml:space="preserve"> 天，招标人有权以书面通知书形式解除合同，通知到达中标人即生效，由此导致的一切损失由中标人负责。承包人提供的设计成果及进度日期详</w:t>
      </w:r>
      <w:r>
        <w:rPr>
          <w:spacing w:val="-9"/>
        </w:rPr>
        <w:t xml:space="preserve">见专用合同条款补充条款第 </w:t>
      </w:r>
      <w:r>
        <w:t>27.5.4</w:t>
      </w:r>
      <w:r>
        <w:rPr>
          <w:spacing w:val="-19"/>
        </w:rPr>
        <w:t xml:space="preserve"> 款。</w:t>
      </w:r>
    </w:p>
    <w:p>
      <w:pPr>
        <w:pStyle w:val="35"/>
        <w:numPr>
          <w:ilvl w:val="1"/>
          <w:numId w:val="99"/>
        </w:numPr>
        <w:tabs>
          <w:tab w:val="left" w:pos="1114"/>
        </w:tabs>
        <w:spacing w:line="417" w:lineRule="auto"/>
        <w:ind w:left="318" w:right="546" w:firstLine="420"/>
        <w:jc w:val="both"/>
        <w:rPr>
          <w:sz w:val="21"/>
        </w:rPr>
      </w:pPr>
      <w:r>
        <w:rPr>
          <w:spacing w:val="-7"/>
          <w:sz w:val="21"/>
        </w:rPr>
        <w:t xml:space="preserve">在施工图设计完成后 </w:t>
      </w:r>
      <w:r>
        <w:rPr>
          <w:sz w:val="21"/>
        </w:rPr>
        <w:t>3</w:t>
      </w:r>
      <w:r>
        <w:rPr>
          <w:spacing w:val="-12"/>
          <w:sz w:val="21"/>
        </w:rPr>
        <w:t xml:space="preserve"> 日内除提交 </w:t>
      </w:r>
      <w:r>
        <w:rPr>
          <w:sz w:val="21"/>
        </w:rPr>
        <w:t>12</w:t>
      </w:r>
      <w:r>
        <w:rPr>
          <w:spacing w:val="-8"/>
          <w:sz w:val="21"/>
        </w:rPr>
        <w:t xml:space="preserve"> 套图纸外，还须提交所有设计成果的计算机文件，文字内</w:t>
      </w:r>
      <w:r>
        <w:rPr>
          <w:spacing w:val="-15"/>
          <w:sz w:val="21"/>
        </w:rPr>
        <w:t xml:space="preserve">容采用 </w:t>
      </w:r>
      <w:r>
        <w:rPr>
          <w:sz w:val="21"/>
        </w:rPr>
        <w:t>Microsoft</w:t>
      </w:r>
      <w:r>
        <w:rPr>
          <w:spacing w:val="-10"/>
          <w:sz w:val="21"/>
        </w:rPr>
        <w:t xml:space="preserve"> </w:t>
      </w:r>
      <w:r>
        <w:rPr>
          <w:sz w:val="21"/>
        </w:rPr>
        <w:t>word</w:t>
      </w:r>
      <w:r>
        <w:rPr>
          <w:spacing w:val="-11"/>
          <w:sz w:val="21"/>
        </w:rPr>
        <w:t xml:space="preserve"> 格式文件，设计图形文件采用 </w:t>
      </w:r>
      <w:r>
        <w:rPr>
          <w:sz w:val="21"/>
        </w:rPr>
        <w:t>AutoCAD</w:t>
      </w:r>
      <w:r>
        <w:rPr>
          <w:spacing w:val="-8"/>
          <w:sz w:val="21"/>
        </w:rPr>
        <w:t xml:space="preserve"> 格式文件。全部技术文件、设计成果均应</w:t>
      </w:r>
      <w:r>
        <w:rPr>
          <w:spacing w:val="-9"/>
          <w:sz w:val="21"/>
        </w:rPr>
        <w:t xml:space="preserve">制作成计算机文件，提交光盘 </w:t>
      </w:r>
      <w:r>
        <w:rPr>
          <w:sz w:val="21"/>
        </w:rPr>
        <w:t>1</w:t>
      </w:r>
      <w:r>
        <w:rPr>
          <w:spacing w:val="-19"/>
          <w:sz w:val="21"/>
        </w:rPr>
        <w:t xml:space="preserve"> 套。</w:t>
      </w:r>
    </w:p>
    <w:p>
      <w:pPr>
        <w:pStyle w:val="35"/>
        <w:numPr>
          <w:ilvl w:val="1"/>
          <w:numId w:val="99"/>
        </w:numPr>
        <w:tabs>
          <w:tab w:val="left" w:pos="1109"/>
        </w:tabs>
        <w:spacing w:line="417" w:lineRule="auto"/>
        <w:ind w:left="318" w:right="546" w:firstLine="420"/>
        <w:jc w:val="both"/>
        <w:rPr>
          <w:sz w:val="21"/>
        </w:rPr>
      </w:pPr>
      <w:r>
        <w:rPr>
          <w:spacing w:val="-7"/>
          <w:sz w:val="21"/>
        </w:rPr>
        <w:t>在工程建设过程中中标人须提供现场服务工作，全程派设计代表驻现场</w:t>
      </w:r>
      <w:r>
        <w:rPr>
          <w:spacing w:val="-3"/>
          <w:sz w:val="21"/>
        </w:rPr>
        <w:t>（驻现场设计代表的所有费用包含在设计收费内</w:t>
      </w:r>
      <w:r>
        <w:rPr>
          <w:spacing w:val="-108"/>
          <w:sz w:val="21"/>
        </w:rPr>
        <w:t>）</w:t>
      </w:r>
      <w:r>
        <w:rPr>
          <w:spacing w:val="-13"/>
          <w:sz w:val="21"/>
        </w:rPr>
        <w:t>，及时迅速地解决现场问题：</w:t>
      </w:r>
      <w:r>
        <w:rPr>
          <w:sz w:val="21"/>
        </w:rPr>
        <w:t>（1</w:t>
      </w:r>
      <w:r>
        <w:rPr>
          <w:spacing w:val="-10"/>
          <w:sz w:val="21"/>
        </w:rPr>
        <w:t>）</w:t>
      </w:r>
      <w:r>
        <w:rPr>
          <w:spacing w:val="-3"/>
          <w:sz w:val="21"/>
        </w:rPr>
        <w:t>本项目的设计总负责人必须每周到现场一次处理相关问题。建设过程中遇到重大问题，中标人收到招标人发出通知后，</w:t>
      </w:r>
      <w:r>
        <w:rPr>
          <w:sz w:val="21"/>
        </w:rPr>
        <w:t>24</w:t>
      </w:r>
      <w:r>
        <w:rPr>
          <w:spacing w:val="-3"/>
          <w:sz w:val="21"/>
        </w:rPr>
        <w:t xml:space="preserve"> 小时内必须派本项目的设计总负责人到现场解决问题，如出现三次不到场的情况，招标人有权无条件终止双方合同，并追究中标人</w:t>
      </w:r>
      <w:r>
        <w:rPr>
          <w:spacing w:val="-9"/>
          <w:sz w:val="21"/>
        </w:rPr>
        <w:t>由于其不及时处理而引起一切责任和损失。</w:t>
      </w:r>
      <w:r>
        <w:rPr>
          <w:sz w:val="21"/>
        </w:rPr>
        <w:t>（2）中标人承诺应招标人要求，委派承担本项目的设计经理</w:t>
      </w:r>
      <w:r>
        <w:rPr>
          <w:spacing w:val="-3"/>
          <w:sz w:val="21"/>
        </w:rPr>
        <w:t xml:space="preserve">作为设计代表驻现场，提供专业齐全的配套服务。中标人收到招标人发出派驻通知后先派驻 </w:t>
      </w:r>
      <w:r>
        <w:rPr>
          <w:sz w:val="21"/>
        </w:rPr>
        <w:t>1 名设计</w:t>
      </w:r>
      <w:r>
        <w:rPr>
          <w:spacing w:val="-3"/>
          <w:sz w:val="21"/>
        </w:rPr>
        <w:t>代表驻现场。中标人收到招标人发出通知后，</w:t>
      </w:r>
      <w:r>
        <w:rPr>
          <w:sz w:val="21"/>
        </w:rPr>
        <w:t>24</w:t>
      </w:r>
      <w:r>
        <w:rPr>
          <w:spacing w:val="-3"/>
          <w:sz w:val="21"/>
        </w:rPr>
        <w:t xml:space="preserve"> 小时内必须派设计代表到驻现场并解决问题，如出现不</w:t>
      </w:r>
      <w:r>
        <w:rPr>
          <w:spacing w:val="-6"/>
          <w:sz w:val="21"/>
        </w:rPr>
        <w:t xml:space="preserve">到场的情况，中标人向招标人支付的误期损害赔偿费每人每天为 </w:t>
      </w:r>
      <w:r>
        <w:rPr>
          <w:sz w:val="21"/>
        </w:rPr>
        <w:t>3000</w:t>
      </w:r>
      <w:r>
        <w:rPr>
          <w:spacing w:val="-8"/>
          <w:sz w:val="21"/>
        </w:rPr>
        <w:t xml:space="preserve"> 元，招标人有权以书面通知形式解</w:t>
      </w:r>
      <w:r>
        <w:rPr>
          <w:spacing w:val="-5"/>
          <w:sz w:val="21"/>
        </w:rPr>
        <w:t>除合同，通知到达中标人即生效，由此导致的一切责任和损失由中标人负责。</w:t>
      </w:r>
    </w:p>
    <w:p>
      <w:pPr>
        <w:pStyle w:val="6"/>
        <w:ind w:left="738"/>
      </w:pPr>
      <w:r>
        <w:t>5、质量要求：</w:t>
      </w:r>
    </w:p>
    <w:p>
      <w:pPr>
        <w:pStyle w:val="10"/>
        <w:spacing w:line="268" w:lineRule="exact"/>
        <w:ind w:left="738"/>
        <w:rPr>
          <w:spacing w:val="-7"/>
        </w:rPr>
      </w:pPr>
      <w:r>
        <w:t>（</w:t>
      </w:r>
      <w:r>
        <w:rPr>
          <w:spacing w:val="-3"/>
        </w:rPr>
        <w:t>1</w:t>
      </w:r>
      <w:r>
        <w:rPr>
          <w:spacing w:val="-5"/>
        </w:rPr>
        <w:t>）</w:t>
      </w:r>
      <w:r>
        <w:rPr>
          <w:spacing w:val="-6"/>
        </w:rPr>
        <w:t>设计质量要求：按国家、省或行业现行的工程设计准则和相关规范要求，满足招</w:t>
      </w:r>
      <w:r>
        <w:rPr>
          <w:spacing w:val="-7"/>
        </w:rPr>
        <w:t>标人的功能需求，并通过招标人及有关部门或专业机构的审查。</w:t>
      </w:r>
    </w:p>
    <w:p>
      <w:pPr>
        <w:pStyle w:val="10"/>
        <w:spacing w:line="268" w:lineRule="exact"/>
        <w:ind w:left="738"/>
        <w:rPr>
          <w:spacing w:val="-15"/>
        </w:rPr>
      </w:pPr>
      <w:r>
        <w:t>（2）</w:t>
      </w:r>
      <w:r>
        <w:rPr>
          <w:spacing w:val="-15"/>
        </w:rPr>
        <w:t>施工质量要求：合格。</w:t>
      </w:r>
    </w:p>
    <w:p>
      <w:pPr>
        <w:pStyle w:val="10"/>
        <w:spacing w:line="268" w:lineRule="exact"/>
        <w:ind w:left="738"/>
        <w:rPr>
          <w:spacing w:val="-20"/>
        </w:rPr>
      </w:pPr>
      <w:r>
        <w:rPr>
          <w:spacing w:val="-3"/>
        </w:rPr>
        <w:t>（3）</w:t>
      </w:r>
      <w:r>
        <w:rPr>
          <w:spacing w:val="-2"/>
        </w:rPr>
        <w:t>缺陷责任</w:t>
      </w:r>
      <w:r>
        <w:rPr>
          <w:spacing w:val="-27"/>
        </w:rPr>
        <w:t xml:space="preserve">期 </w:t>
      </w:r>
      <w:r>
        <w:t>2</w:t>
      </w:r>
      <w:r>
        <w:rPr>
          <w:spacing w:val="-20"/>
        </w:rPr>
        <w:t xml:space="preserve"> 年。</w:t>
      </w:r>
    </w:p>
    <w:p>
      <w:pPr>
        <w:pStyle w:val="10"/>
        <w:spacing w:line="268" w:lineRule="exact"/>
        <w:ind w:left="738"/>
      </w:pPr>
    </w:p>
    <w:p>
      <w:pPr>
        <w:pStyle w:val="6"/>
        <w:ind w:left="738"/>
      </w:pPr>
      <w:r>
        <w:t>6、合同价要求</w:t>
      </w:r>
    </w:p>
    <w:p>
      <w:pPr>
        <w:pStyle w:val="10"/>
        <w:spacing w:before="7"/>
        <w:rPr>
          <w:b/>
          <w:sz w:val="15"/>
        </w:rPr>
      </w:pPr>
    </w:p>
    <w:p>
      <w:pPr>
        <w:pStyle w:val="10"/>
        <w:spacing w:line="417" w:lineRule="auto"/>
        <w:ind w:left="318" w:right="551" w:firstLine="420"/>
        <w:jc w:val="both"/>
      </w:pPr>
      <w:r>
        <w:t>总合同价的建安工程费金额（不扣减承包人违约金）</w:t>
      </w:r>
      <w:r>
        <w:rPr>
          <w:spacing w:val="-1"/>
        </w:rPr>
        <w:t>超过经批准的设计总概算中对应的建安工程费</w:t>
      </w:r>
      <w:r>
        <w:rPr>
          <w:spacing w:val="-5"/>
        </w:rPr>
        <w:t>用</w:t>
      </w:r>
      <w:r>
        <w:rPr>
          <w:spacing w:val="-3"/>
        </w:rPr>
        <w:t>（最终以发包人发出的书面通知为准</w:t>
      </w:r>
      <w:r>
        <w:rPr>
          <w:spacing w:val="-108"/>
        </w:rPr>
        <w:t>）</w:t>
      </w:r>
      <w:r>
        <w:rPr>
          <w:spacing w:val="-5"/>
        </w:rPr>
        <w:t>，超出的部分，发包人有权不予支付；由发包人主动增加或承包</w:t>
      </w:r>
      <w:r>
        <w:rPr>
          <w:spacing w:val="-6"/>
        </w:rPr>
        <w:t>人的建议经监理及发包人同意产生的投资增加的原因、不可抗力等因素造成结算总金额超出设计总概算</w:t>
      </w:r>
      <w:r>
        <w:rPr>
          <w:spacing w:val="-2"/>
        </w:rPr>
        <w:t>的情况除外。</w:t>
      </w:r>
    </w:p>
    <w:p>
      <w:pPr>
        <w:pStyle w:val="10"/>
        <w:spacing w:line="417" w:lineRule="auto"/>
        <w:ind w:left="318" w:right="546" w:firstLine="526"/>
        <w:jc w:val="both"/>
      </w:pPr>
      <w:r>
        <w:rPr>
          <w:spacing w:val="-5"/>
        </w:rPr>
        <w:t>承包人在设计阶段及施工阶段均应充分满足发包人的限额设计、限额施工要求，主动采取各种优化设计、优化施工措施，确保不超限额，工程竣工结算时，包括因承包人原因产生的工程变更、物价和人工费调整、政策性调整等因素造成增加金额在内的建安工程费结算总金额不得超过总概算中对应的建安</w:t>
      </w:r>
      <w:r>
        <w:rPr>
          <w:spacing w:val="-4"/>
        </w:rPr>
        <w:t>工程费用</w:t>
      </w:r>
      <w:r>
        <w:rPr>
          <w:spacing w:val="-3"/>
        </w:rPr>
        <w:t>（最终以发包人发出的书面通知为准</w:t>
      </w:r>
      <w:r>
        <w:rPr>
          <w:spacing w:val="-106"/>
        </w:rPr>
        <w:t>）</w:t>
      </w:r>
      <w:r>
        <w:t>。</w:t>
      </w:r>
    </w:p>
    <w:p>
      <w:pPr>
        <w:pStyle w:val="10"/>
        <w:spacing w:line="417" w:lineRule="auto"/>
        <w:ind w:left="318" w:right="552" w:firstLine="420"/>
      </w:pPr>
      <w:r>
        <w:t>下述问题牵涉费用承包人在投标报价时已经作充分考虑并已包含在投标报价中，发包人对下述费用不做另外结算支付：</w:t>
      </w:r>
    </w:p>
    <w:p>
      <w:pPr>
        <w:pStyle w:val="35"/>
        <w:numPr>
          <w:ilvl w:val="0"/>
          <w:numId w:val="100"/>
        </w:numPr>
        <w:tabs>
          <w:tab w:val="left" w:pos="1165"/>
        </w:tabs>
        <w:spacing w:line="417" w:lineRule="auto"/>
        <w:ind w:right="553" w:firstLine="314"/>
        <w:rPr>
          <w:sz w:val="21"/>
        </w:rPr>
      </w:pPr>
      <w:r>
        <w:rPr>
          <w:spacing w:val="-1"/>
          <w:sz w:val="21"/>
        </w:rPr>
        <w:t xml:space="preserve">承包人负责施工场地内用水用电管线费用，承包人在实施前应将方案报监理、建设单位批准， </w:t>
      </w:r>
      <w:r>
        <w:rPr>
          <w:spacing w:val="-3"/>
          <w:sz w:val="21"/>
        </w:rPr>
        <w:t>之后按审批方案安装</w:t>
      </w:r>
      <w:r>
        <w:rPr>
          <w:sz w:val="21"/>
        </w:rPr>
        <w:t>（</w:t>
      </w:r>
      <w:r>
        <w:rPr>
          <w:spacing w:val="-3"/>
          <w:sz w:val="21"/>
        </w:rPr>
        <w:t>发包人可提供协助</w:t>
      </w:r>
      <w:r>
        <w:rPr>
          <w:spacing w:val="-106"/>
          <w:sz w:val="21"/>
        </w:rPr>
        <w:t>）</w:t>
      </w:r>
      <w:r>
        <w:rPr>
          <w:sz w:val="21"/>
        </w:rPr>
        <w:t>。</w:t>
      </w:r>
    </w:p>
    <w:p>
      <w:pPr>
        <w:pStyle w:val="35"/>
        <w:numPr>
          <w:ilvl w:val="0"/>
          <w:numId w:val="100"/>
        </w:numPr>
        <w:tabs>
          <w:tab w:val="left" w:pos="1165"/>
        </w:tabs>
        <w:spacing w:line="417" w:lineRule="auto"/>
        <w:ind w:right="556" w:firstLine="314"/>
        <w:rPr>
          <w:sz w:val="21"/>
        </w:rPr>
      </w:pPr>
      <w:r>
        <w:rPr>
          <w:spacing w:val="-1"/>
          <w:sz w:val="21"/>
        </w:rPr>
        <w:t>发包人提供现有的地下管线资料，承包人必须对施工场地内的各种地下管线进行探测调查，保</w:t>
      </w:r>
      <w:r>
        <w:rPr>
          <w:spacing w:val="-3"/>
          <w:sz w:val="21"/>
        </w:rPr>
        <w:t>证原有的地下管线的安全，如有损坏，承包人须承担全部的责任。</w:t>
      </w:r>
    </w:p>
    <w:p>
      <w:pPr>
        <w:pStyle w:val="35"/>
        <w:numPr>
          <w:ilvl w:val="0"/>
          <w:numId w:val="100"/>
        </w:numPr>
        <w:tabs>
          <w:tab w:val="left" w:pos="1163"/>
        </w:tabs>
        <w:ind w:left="1162" w:hanging="530"/>
        <w:rPr>
          <w:sz w:val="21"/>
        </w:rPr>
      </w:pPr>
      <w:r>
        <w:rPr>
          <w:spacing w:val="-3"/>
          <w:sz w:val="21"/>
        </w:rPr>
        <w:t>承包人应考虑在夜间施工可能不能得到有关部门批准的因素；</w:t>
      </w:r>
    </w:p>
    <w:p>
      <w:pPr>
        <w:pStyle w:val="10"/>
        <w:spacing w:before="5"/>
        <w:rPr>
          <w:sz w:val="15"/>
        </w:rPr>
      </w:pPr>
    </w:p>
    <w:p>
      <w:pPr>
        <w:pStyle w:val="35"/>
        <w:numPr>
          <w:ilvl w:val="0"/>
          <w:numId w:val="100"/>
        </w:numPr>
        <w:tabs>
          <w:tab w:val="left" w:pos="1163"/>
        </w:tabs>
        <w:ind w:left="1162" w:hanging="530"/>
        <w:rPr>
          <w:sz w:val="21"/>
        </w:rPr>
      </w:pPr>
      <w:r>
        <w:rPr>
          <w:spacing w:val="-3"/>
          <w:sz w:val="21"/>
        </w:rPr>
        <w:t>施工期间必须保证不影响周边居民正常生活；</w:t>
      </w:r>
    </w:p>
    <w:p>
      <w:pPr>
        <w:pStyle w:val="10"/>
        <w:spacing w:before="7"/>
        <w:rPr>
          <w:sz w:val="15"/>
        </w:rPr>
      </w:pPr>
    </w:p>
    <w:p>
      <w:pPr>
        <w:pStyle w:val="35"/>
        <w:numPr>
          <w:ilvl w:val="0"/>
          <w:numId w:val="100"/>
        </w:numPr>
        <w:tabs>
          <w:tab w:val="left" w:pos="1165"/>
        </w:tabs>
        <w:spacing w:line="417" w:lineRule="auto"/>
        <w:ind w:right="556" w:firstLine="314"/>
        <w:rPr>
          <w:sz w:val="21"/>
        </w:rPr>
      </w:pPr>
      <w:r>
        <w:rPr>
          <w:spacing w:val="-1"/>
          <w:sz w:val="21"/>
        </w:rPr>
        <w:t>投标报价中应充分考虑以下的措施项目及其它费用，工程结算时不予增加该部分的费用：施工</w:t>
      </w:r>
      <w:r>
        <w:rPr>
          <w:spacing w:val="-3"/>
          <w:sz w:val="21"/>
        </w:rPr>
        <w:t>场地内的临时道路；工程施工降排水费。</w:t>
      </w:r>
    </w:p>
    <w:p>
      <w:pPr>
        <w:pStyle w:val="6"/>
        <w:spacing w:line="269" w:lineRule="exact"/>
        <w:ind w:left="738"/>
      </w:pPr>
      <w:r>
        <w:t>7、设计质量控制</w:t>
      </w:r>
    </w:p>
    <w:p>
      <w:pPr>
        <w:pStyle w:val="10"/>
        <w:spacing w:before="6"/>
        <w:rPr>
          <w:b/>
          <w:sz w:val="15"/>
        </w:rPr>
      </w:pPr>
    </w:p>
    <w:p>
      <w:pPr>
        <w:pStyle w:val="10"/>
        <w:spacing w:before="1" w:line="417" w:lineRule="auto"/>
        <w:ind w:left="212" w:right="557" w:firstLine="526"/>
        <w:jc w:val="both"/>
      </w:pPr>
      <w:r>
        <w:t>承包人应当在设计过程中考虑工程实施时的实际可操作性，对方案的实施工序提出相应的技术要求，特别是关键工序，应明确提出工艺要求、质量控制要求。设计应能够预见工程行为，规范工程行为，并提出工程质量控制指标。</w:t>
      </w:r>
    </w:p>
    <w:p>
      <w:pPr>
        <w:pStyle w:val="10"/>
        <w:spacing w:line="417" w:lineRule="auto"/>
        <w:ind w:left="318" w:right="552" w:firstLine="420"/>
      </w:pPr>
      <w:r>
        <w:t>发包人的批准并不能免除承包人在设计或施工上存在缺陷的责任，承包人在自行设计时，应确保自己的设计人员所设计的成果符合法律法规、技术标准和合同约定。</w:t>
      </w:r>
    </w:p>
    <w:p>
      <w:pPr>
        <w:pStyle w:val="10"/>
        <w:spacing w:line="417" w:lineRule="auto"/>
        <w:ind w:left="318" w:right="552" w:firstLine="420"/>
        <w:jc w:val="both"/>
      </w:pPr>
      <w:r>
        <w:t>如果在承包人在相关文件中发现发包人有错误、遗漏、含糊、不一致、不适当或其他缺陷，承包人应及时指出，尽管发包人做出了任何同意或批准，承包人仍应自费对这些缺陷和其带来的工程问题进行改正。</w:t>
      </w:r>
    </w:p>
    <w:p>
      <w:pPr>
        <w:pStyle w:val="6"/>
        <w:spacing w:before="98"/>
        <w:ind w:left="738"/>
      </w:pPr>
      <w:r>
        <w:t>8、设计评审、工程试验规定</w:t>
      </w:r>
    </w:p>
    <w:p>
      <w:pPr>
        <w:pStyle w:val="10"/>
        <w:spacing w:before="101" w:line="364" w:lineRule="auto"/>
        <w:ind w:left="212" w:right="546" w:firstLine="526"/>
      </w:pPr>
      <w:r>
        <w:rPr>
          <w:spacing w:val="-3"/>
        </w:rPr>
        <w:t>所有本项目开展的评审费用，专家差旅费用以及会务工作和费用，本条款相关费用视为已全部包含</w:t>
      </w:r>
      <w:r>
        <w:rPr>
          <w:spacing w:val="-5"/>
        </w:rPr>
        <w:t>在本工程实体项目综合单价报价中，由中标人支付，投标人在投标报价时应充分考虑相关费用在实体清单</w:t>
      </w:r>
      <w:r>
        <w:rPr>
          <w:spacing w:val="-4"/>
        </w:rPr>
        <w:t>综合单价中，招标人不另行单列结算。</w:t>
      </w:r>
    </w:p>
    <w:p>
      <w:pPr>
        <w:pStyle w:val="6"/>
        <w:spacing w:before="98"/>
        <w:ind w:left="738"/>
      </w:pPr>
      <w:r>
        <w:t>9、其他</w:t>
      </w:r>
    </w:p>
    <w:p>
      <w:pPr>
        <w:pStyle w:val="10"/>
        <w:spacing w:before="6"/>
        <w:rPr>
          <w:b/>
          <w:sz w:val="15"/>
        </w:rPr>
      </w:pPr>
    </w:p>
    <w:p>
      <w:pPr>
        <w:pStyle w:val="10"/>
        <w:spacing w:line="417" w:lineRule="auto"/>
        <w:ind w:left="318" w:right="552" w:firstLine="420"/>
      </w:pPr>
      <w:r>
        <w:t>合同另有约定外，承包人应视为已取得工程有关风险、意外事件和其他情况的全部必要资料，并预见工程所有困难和费用。承包人遇到不可预见的困难和费用时，合同价格不予调整。</w:t>
      </w:r>
    </w:p>
    <w:p>
      <w:pPr>
        <w:pStyle w:val="6"/>
        <w:spacing w:line="269" w:lineRule="exact"/>
        <w:ind w:left="736"/>
      </w:pPr>
      <w:r>
        <w:t>10、设计成果</w:t>
      </w:r>
    </w:p>
    <w:p>
      <w:pPr>
        <w:pStyle w:val="10"/>
        <w:spacing w:before="7"/>
        <w:rPr>
          <w:b/>
          <w:sz w:val="15"/>
        </w:rPr>
      </w:pPr>
    </w:p>
    <w:p>
      <w:pPr>
        <w:pStyle w:val="35"/>
        <w:numPr>
          <w:ilvl w:val="1"/>
          <w:numId w:val="101"/>
        </w:numPr>
        <w:tabs>
          <w:tab w:val="left" w:pos="1163"/>
        </w:tabs>
        <w:ind w:hanging="425"/>
        <w:rPr>
          <w:sz w:val="21"/>
        </w:rPr>
      </w:pPr>
      <w:r>
        <w:rPr>
          <w:spacing w:val="-3"/>
          <w:sz w:val="21"/>
        </w:rPr>
        <w:t>、方案深化设计文件</w:t>
      </w:r>
    </w:p>
    <w:p>
      <w:pPr>
        <w:pStyle w:val="10"/>
        <w:spacing w:before="7"/>
        <w:rPr>
          <w:sz w:val="15"/>
        </w:rPr>
      </w:pPr>
    </w:p>
    <w:p>
      <w:pPr>
        <w:pStyle w:val="35"/>
        <w:numPr>
          <w:ilvl w:val="0"/>
          <w:numId w:val="102"/>
        </w:numPr>
        <w:tabs>
          <w:tab w:val="left" w:pos="1163"/>
        </w:tabs>
        <w:spacing w:before="1"/>
        <w:ind w:hanging="530"/>
        <w:rPr>
          <w:sz w:val="21"/>
        </w:rPr>
      </w:pPr>
      <w:r>
        <w:rPr>
          <w:spacing w:val="-3"/>
          <w:sz w:val="21"/>
        </w:rPr>
        <w:t>设计说明书；</w:t>
      </w:r>
    </w:p>
    <w:p>
      <w:pPr>
        <w:pStyle w:val="10"/>
        <w:spacing w:before="6"/>
        <w:rPr>
          <w:sz w:val="15"/>
        </w:rPr>
      </w:pPr>
    </w:p>
    <w:p>
      <w:pPr>
        <w:pStyle w:val="35"/>
        <w:numPr>
          <w:ilvl w:val="0"/>
          <w:numId w:val="102"/>
        </w:numPr>
        <w:tabs>
          <w:tab w:val="left" w:pos="1163"/>
        </w:tabs>
        <w:ind w:hanging="530"/>
        <w:rPr>
          <w:sz w:val="21"/>
        </w:rPr>
      </w:pPr>
      <w:r>
        <w:rPr>
          <w:spacing w:val="-3"/>
          <w:sz w:val="21"/>
        </w:rPr>
        <w:t>工程概算书；</w:t>
      </w:r>
    </w:p>
    <w:p>
      <w:pPr>
        <w:pStyle w:val="10"/>
        <w:spacing w:before="7"/>
        <w:rPr>
          <w:sz w:val="15"/>
        </w:rPr>
      </w:pPr>
    </w:p>
    <w:p>
      <w:pPr>
        <w:pStyle w:val="35"/>
        <w:numPr>
          <w:ilvl w:val="0"/>
          <w:numId w:val="102"/>
        </w:numPr>
        <w:tabs>
          <w:tab w:val="left" w:pos="1163"/>
        </w:tabs>
        <w:ind w:hanging="530"/>
        <w:rPr>
          <w:sz w:val="21"/>
        </w:rPr>
      </w:pPr>
      <w:r>
        <w:rPr>
          <w:spacing w:val="-3"/>
          <w:sz w:val="21"/>
        </w:rPr>
        <w:t>主要材料及设备表；</w:t>
      </w:r>
    </w:p>
    <w:p>
      <w:pPr>
        <w:pStyle w:val="10"/>
        <w:spacing w:before="7"/>
        <w:rPr>
          <w:sz w:val="15"/>
        </w:rPr>
      </w:pPr>
    </w:p>
    <w:p>
      <w:pPr>
        <w:pStyle w:val="35"/>
        <w:numPr>
          <w:ilvl w:val="0"/>
          <w:numId w:val="102"/>
        </w:numPr>
        <w:tabs>
          <w:tab w:val="left" w:pos="1163"/>
        </w:tabs>
        <w:ind w:hanging="530"/>
        <w:rPr>
          <w:sz w:val="21"/>
        </w:rPr>
      </w:pPr>
      <w:r>
        <w:rPr>
          <w:spacing w:val="-3"/>
          <w:sz w:val="21"/>
        </w:rPr>
        <w:t>设计图纸。</w:t>
      </w:r>
    </w:p>
    <w:p>
      <w:pPr>
        <w:pStyle w:val="10"/>
        <w:spacing w:before="6"/>
        <w:rPr>
          <w:sz w:val="15"/>
        </w:rPr>
      </w:pPr>
    </w:p>
    <w:p>
      <w:pPr>
        <w:pStyle w:val="35"/>
        <w:numPr>
          <w:ilvl w:val="1"/>
          <w:numId w:val="101"/>
        </w:numPr>
        <w:tabs>
          <w:tab w:val="left" w:pos="1163"/>
        </w:tabs>
        <w:spacing w:before="1"/>
        <w:ind w:hanging="425"/>
        <w:rPr>
          <w:sz w:val="21"/>
        </w:rPr>
      </w:pPr>
      <w:r>
        <w:rPr>
          <w:spacing w:val="-3"/>
          <w:sz w:val="21"/>
        </w:rPr>
        <w:t>、施工图设计文件</w:t>
      </w:r>
    </w:p>
    <w:p>
      <w:pPr>
        <w:pStyle w:val="10"/>
        <w:spacing w:before="6"/>
        <w:rPr>
          <w:sz w:val="15"/>
        </w:rPr>
      </w:pPr>
    </w:p>
    <w:p>
      <w:pPr>
        <w:pStyle w:val="35"/>
        <w:numPr>
          <w:ilvl w:val="0"/>
          <w:numId w:val="103"/>
        </w:numPr>
        <w:tabs>
          <w:tab w:val="left" w:pos="1163"/>
        </w:tabs>
        <w:ind w:hanging="530"/>
        <w:rPr>
          <w:sz w:val="21"/>
        </w:rPr>
      </w:pPr>
      <w:r>
        <w:rPr>
          <w:spacing w:val="-3"/>
          <w:sz w:val="21"/>
        </w:rPr>
        <w:t>设计说明书；</w:t>
      </w:r>
    </w:p>
    <w:p>
      <w:pPr>
        <w:pStyle w:val="10"/>
        <w:spacing w:before="7"/>
        <w:rPr>
          <w:sz w:val="15"/>
        </w:rPr>
      </w:pPr>
    </w:p>
    <w:p>
      <w:pPr>
        <w:pStyle w:val="35"/>
        <w:numPr>
          <w:ilvl w:val="0"/>
          <w:numId w:val="103"/>
        </w:numPr>
        <w:tabs>
          <w:tab w:val="left" w:pos="1163"/>
        </w:tabs>
        <w:ind w:hanging="530"/>
        <w:rPr>
          <w:sz w:val="21"/>
        </w:rPr>
      </w:pPr>
      <w:r>
        <w:rPr>
          <w:spacing w:val="-3"/>
          <w:sz w:val="21"/>
        </w:rPr>
        <w:t>主要材料及设备表；</w:t>
      </w:r>
    </w:p>
    <w:p>
      <w:pPr>
        <w:pStyle w:val="10"/>
        <w:spacing w:before="7"/>
        <w:rPr>
          <w:sz w:val="15"/>
        </w:rPr>
      </w:pPr>
    </w:p>
    <w:p>
      <w:pPr>
        <w:pStyle w:val="10"/>
        <w:spacing w:line="417" w:lineRule="auto"/>
        <w:ind w:left="318" w:right="552" w:firstLine="420"/>
        <w:rPr>
          <w:spacing w:val="-4"/>
        </w:rPr>
      </w:pPr>
      <w:r>
        <w:rPr>
          <w:spacing w:val="-4"/>
        </w:rPr>
        <w:t>已通过审查的设计图纸。</w:t>
      </w:r>
    </w:p>
    <w:p>
      <w:pPr>
        <w:pStyle w:val="6"/>
        <w:spacing w:before="98"/>
        <w:ind w:left="738"/>
      </w:pPr>
      <w:r>
        <w:t>11、现场服务要求</w:t>
      </w:r>
    </w:p>
    <w:p>
      <w:pPr>
        <w:pStyle w:val="35"/>
        <w:numPr>
          <w:ilvl w:val="1"/>
          <w:numId w:val="104"/>
        </w:numPr>
        <w:tabs>
          <w:tab w:val="left" w:pos="1057"/>
        </w:tabs>
        <w:spacing w:line="417" w:lineRule="auto"/>
        <w:ind w:right="546" w:firstLine="420"/>
        <w:jc w:val="both"/>
        <w:rPr>
          <w:sz w:val="21"/>
        </w:rPr>
      </w:pPr>
      <w:r>
        <w:rPr>
          <w:spacing w:val="-6"/>
          <w:sz w:val="21"/>
        </w:rPr>
        <w:t>、本项目的设计总负责人必须每周到现场一次处理相关问题。建设过程中遇到重大问题，中标人</w:t>
      </w:r>
      <w:r>
        <w:rPr>
          <w:spacing w:val="-5"/>
          <w:sz w:val="21"/>
        </w:rPr>
        <w:t>收到招标人发出通知后，</w:t>
      </w:r>
      <w:r>
        <w:rPr>
          <w:spacing w:val="-14"/>
          <w:sz w:val="21"/>
        </w:rPr>
        <w:t>24</w:t>
      </w:r>
      <w:r>
        <w:rPr>
          <w:spacing w:val="-7"/>
          <w:sz w:val="21"/>
        </w:rPr>
        <w:t xml:space="preserve"> 小时内必须派本项目的设计总负责人到现场解决问题，如出现三次不到场的情</w:t>
      </w:r>
      <w:r>
        <w:rPr>
          <w:spacing w:val="-5"/>
          <w:sz w:val="21"/>
        </w:rPr>
        <w:t>况，招标人有权无条件终止双方合同，并追究中标人由于其不及时处理而引起一切责任和损失。</w:t>
      </w:r>
    </w:p>
    <w:p>
      <w:pPr>
        <w:pStyle w:val="35"/>
        <w:numPr>
          <w:ilvl w:val="1"/>
          <w:numId w:val="104"/>
        </w:numPr>
        <w:tabs>
          <w:tab w:val="left" w:pos="1057"/>
        </w:tabs>
        <w:spacing w:line="417" w:lineRule="auto"/>
        <w:ind w:right="546" w:firstLine="420"/>
        <w:jc w:val="both"/>
        <w:rPr>
          <w:sz w:val="21"/>
        </w:rPr>
      </w:pPr>
      <w:r>
        <w:rPr>
          <w:spacing w:val="-6"/>
          <w:sz w:val="21"/>
        </w:rPr>
        <w:t>、中标人承诺应招标人要求，委派承担本项目的设计经理作为设计代表驻现场，提供专业齐全</w:t>
      </w:r>
      <w:r>
        <w:rPr>
          <w:spacing w:val="-7"/>
          <w:sz w:val="21"/>
        </w:rPr>
        <w:t xml:space="preserve">的配套服务。中标人收到招标人发出派驻通知后先派驻 </w:t>
      </w:r>
      <w:r>
        <w:rPr>
          <w:sz w:val="21"/>
        </w:rPr>
        <w:t>1</w:t>
      </w:r>
      <w:r>
        <w:rPr>
          <w:spacing w:val="-8"/>
          <w:sz w:val="21"/>
        </w:rPr>
        <w:t xml:space="preserve"> 名设计代表驻现场。中标人收到招标人发出通知</w:t>
      </w:r>
      <w:r>
        <w:rPr>
          <w:spacing w:val="-9"/>
          <w:sz w:val="21"/>
        </w:rPr>
        <w:t>后，24</w:t>
      </w:r>
      <w:r>
        <w:rPr>
          <w:spacing w:val="-7"/>
          <w:sz w:val="21"/>
        </w:rPr>
        <w:t xml:space="preserve"> 小时内必须派设计代表到驻现场并解决问题，如出现不到场的情况，中标人向招标人支付的误期损</w:t>
      </w:r>
      <w:r>
        <w:rPr>
          <w:spacing w:val="-4"/>
          <w:sz w:val="21"/>
        </w:rPr>
        <w:t xml:space="preserve">害赔偿费每人每天为 </w:t>
      </w:r>
      <w:r>
        <w:rPr>
          <w:sz w:val="21"/>
        </w:rPr>
        <w:t>3000</w:t>
      </w:r>
      <w:r>
        <w:rPr>
          <w:spacing w:val="-3"/>
          <w:sz w:val="21"/>
        </w:rPr>
        <w:t xml:space="preserve"> 元，招标人有权以书面通知形式解除合同，通知到达中标人即生效，由此导致的一切责任和损失由中标人负责。</w:t>
      </w:r>
    </w:p>
    <w:p>
      <w:pPr>
        <w:pStyle w:val="6"/>
        <w:spacing w:line="269" w:lineRule="exact"/>
        <w:ind w:left="635"/>
      </w:pPr>
      <w:r>
        <w:t>12、发包人的设计文件规定</w:t>
      </w:r>
    </w:p>
    <w:p>
      <w:pPr>
        <w:pStyle w:val="10"/>
        <w:spacing w:before="6"/>
        <w:rPr>
          <w:b/>
          <w:sz w:val="15"/>
        </w:rPr>
      </w:pPr>
    </w:p>
    <w:p>
      <w:pPr>
        <w:pStyle w:val="10"/>
        <w:spacing w:line="417" w:lineRule="auto"/>
        <w:ind w:left="212" w:right="546" w:firstLine="420"/>
      </w:pPr>
      <w:r>
        <w:rPr>
          <w:spacing w:val="-5"/>
        </w:rPr>
        <w:t>发包人有权指导和审查由承包人根据发包人要求完成的各阶段方案深化和优化设计、施工图设计，并</w:t>
      </w:r>
      <w:r>
        <w:rPr>
          <w:spacing w:val="-4"/>
        </w:rPr>
        <w:t>给出审核意见，承包人需及时进行修改和优化，但发包人的审查并不免除承包人所应承担的任何责任。</w:t>
      </w:r>
      <w:r>
        <w:t>因承包人原因，造成设计文件存在遗漏、错误、缺陷和不足的，承包人应自费修复、弥补、纠正和完善。造成工程质量事故损失或设计进度延误时，除应自费采取措施补救外，工期不予顺延。</w:t>
      </w:r>
    </w:p>
    <w:p>
      <w:pPr>
        <w:pStyle w:val="10"/>
        <w:spacing w:line="367" w:lineRule="auto"/>
        <w:ind w:left="212" w:right="628" w:firstLine="526"/>
      </w:pPr>
      <w:r>
        <w:t>发包人要求中有违反有关设计规范及地方性规章的，承包人应修正并，并且不作为承包人增加费用的原因。</w:t>
      </w:r>
    </w:p>
    <w:p>
      <w:pPr>
        <w:ind w:firstLine="436" w:firstLineChars="200"/>
      </w:pPr>
      <w:r>
        <w:rPr>
          <w:rFonts w:hint="eastAsia"/>
          <w:spacing w:val="-1"/>
        </w:rPr>
        <w:t>1</w:t>
      </w:r>
      <w:r>
        <w:rPr>
          <w:spacing w:val="-1"/>
        </w:rPr>
        <w:t>2.1、方案设计、深化阶段：</w:t>
      </w:r>
    </w:p>
    <w:p>
      <w:pPr>
        <w:pStyle w:val="10"/>
        <w:spacing w:before="7"/>
        <w:rPr>
          <w:b/>
          <w:sz w:val="15"/>
        </w:rPr>
      </w:pPr>
    </w:p>
    <w:p>
      <w:pPr>
        <w:pStyle w:val="10"/>
        <w:spacing w:line="417" w:lineRule="auto"/>
        <w:ind w:left="212" w:right="546" w:firstLine="420"/>
        <w:jc w:val="both"/>
      </w:pPr>
      <w:r>
        <w:rPr>
          <w:spacing w:val="-5"/>
        </w:rPr>
        <w:t>对中标的设计方案进行调整、深化和优化,提供完整的设计方案及效果图,直至取得发包人确认，并无</w:t>
      </w:r>
      <w:r>
        <w:rPr>
          <w:spacing w:val="-7"/>
        </w:rPr>
        <w:t>条件接受发包人对承包人设计方案的调整或深化，且本阶段各专业的设计和深度须满足现行国家、省、市</w:t>
      </w:r>
      <w:r>
        <w:rPr>
          <w:spacing w:val="-5"/>
        </w:rPr>
        <w:t>有关规范、规定、标准以及有关职能审批部门和行业主管部门的要求。</w:t>
      </w:r>
    </w:p>
    <w:p>
      <w:pPr>
        <w:ind w:firstLine="440" w:firstLineChars="200"/>
      </w:pPr>
      <w:r>
        <w:rPr>
          <w:rFonts w:hint="eastAsia"/>
        </w:rPr>
        <w:t>1</w:t>
      </w:r>
      <w:r>
        <w:t>2.2方案深化设计阶段</w:t>
      </w:r>
    </w:p>
    <w:p>
      <w:pPr>
        <w:pStyle w:val="10"/>
        <w:spacing w:before="7"/>
        <w:rPr>
          <w:b/>
          <w:sz w:val="15"/>
        </w:rPr>
      </w:pPr>
    </w:p>
    <w:p>
      <w:pPr>
        <w:pStyle w:val="35"/>
        <w:numPr>
          <w:ilvl w:val="0"/>
          <w:numId w:val="105"/>
        </w:numPr>
        <w:tabs>
          <w:tab w:val="left" w:pos="1163"/>
        </w:tabs>
        <w:spacing w:before="1" w:line="417" w:lineRule="auto"/>
        <w:ind w:right="546" w:firstLine="420"/>
        <w:jc w:val="both"/>
        <w:rPr>
          <w:sz w:val="21"/>
        </w:rPr>
      </w:pPr>
      <w:r>
        <w:rPr>
          <w:spacing w:val="-5"/>
          <w:sz w:val="21"/>
        </w:rPr>
        <w:t xml:space="preserve">根据方案完成各专业全套深化设计图纸，提供完整的深化设计图和概算各 </w:t>
      </w:r>
      <w:r>
        <w:rPr>
          <w:sz w:val="21"/>
        </w:rPr>
        <w:t>10</w:t>
      </w:r>
      <w:r>
        <w:rPr>
          <w:spacing w:val="-8"/>
          <w:sz w:val="21"/>
        </w:rPr>
        <w:t xml:space="preserve"> 套，直至取得招标</w:t>
      </w:r>
      <w:r>
        <w:rPr>
          <w:spacing w:val="-7"/>
          <w:sz w:val="21"/>
        </w:rPr>
        <w:t>人确认，且本阶段各专业的设计和深度必须满足现行国家、省、江门市有关规范、规定、标准以及有关职</w:t>
      </w:r>
      <w:r>
        <w:rPr>
          <w:spacing w:val="-5"/>
          <w:sz w:val="21"/>
        </w:rPr>
        <w:t>能审批部门行业主管部门的要求。</w:t>
      </w:r>
    </w:p>
    <w:p>
      <w:pPr>
        <w:pStyle w:val="35"/>
        <w:numPr>
          <w:ilvl w:val="0"/>
          <w:numId w:val="105"/>
        </w:numPr>
        <w:tabs>
          <w:tab w:val="left" w:pos="1163"/>
        </w:tabs>
        <w:spacing w:line="269" w:lineRule="exact"/>
        <w:ind w:left="1162" w:hanging="530"/>
        <w:rPr>
          <w:sz w:val="21"/>
        </w:rPr>
      </w:pPr>
      <w:r>
        <w:rPr>
          <w:spacing w:val="-3"/>
          <w:sz w:val="21"/>
        </w:rPr>
        <w:t>完成工程初步设计概算，通过有关部门评审审批，并最终确定概算总投资计划。</w:t>
      </w:r>
    </w:p>
    <w:p>
      <w:pPr>
        <w:pStyle w:val="10"/>
        <w:spacing w:before="6"/>
        <w:rPr>
          <w:sz w:val="15"/>
        </w:rPr>
      </w:pPr>
    </w:p>
    <w:p>
      <w:pPr>
        <w:pStyle w:val="35"/>
        <w:numPr>
          <w:ilvl w:val="0"/>
          <w:numId w:val="105"/>
        </w:numPr>
        <w:tabs>
          <w:tab w:val="left" w:pos="1165"/>
        </w:tabs>
        <w:spacing w:line="417" w:lineRule="auto"/>
        <w:ind w:right="546" w:firstLine="420"/>
        <w:jc w:val="both"/>
        <w:rPr>
          <w:sz w:val="21"/>
        </w:rPr>
      </w:pPr>
      <w:r>
        <w:rPr>
          <w:sz w:val="21"/>
        </w:rPr>
        <w:t>初步设计文件完成后，送发包人审查认可并通过相关政府职能部门批准，且本阶段各专业的设</w:t>
      </w:r>
      <w:r>
        <w:rPr>
          <w:spacing w:val="-6"/>
          <w:sz w:val="21"/>
        </w:rPr>
        <w:t>计和深度须满足现行国家、省、江门市有关规范、规定、标准以及有关职能审批部门和行业主管部门的要求。</w:t>
      </w:r>
    </w:p>
    <w:p>
      <w:pPr>
        <w:pStyle w:val="35"/>
        <w:numPr>
          <w:ilvl w:val="0"/>
          <w:numId w:val="105"/>
        </w:numPr>
        <w:tabs>
          <w:tab w:val="left" w:pos="1163"/>
        </w:tabs>
        <w:spacing w:line="417" w:lineRule="auto"/>
        <w:ind w:left="635" w:right="2730" w:hanging="3"/>
        <w:rPr>
          <w:b/>
          <w:sz w:val="21"/>
        </w:rPr>
      </w:pPr>
      <w:r>
        <w:rPr>
          <w:spacing w:val="-3"/>
          <w:sz w:val="21"/>
        </w:rPr>
        <w:t>初步设计文件取得政府相关主管部门同意批文，视为本阶段工作完成。</w:t>
      </w:r>
      <w:r>
        <w:rPr>
          <w:b/>
          <w:spacing w:val="-3"/>
          <w:sz w:val="21"/>
        </w:rPr>
        <w:t>12.3、施工图设计阶段</w:t>
      </w:r>
    </w:p>
    <w:p>
      <w:pPr>
        <w:pStyle w:val="35"/>
        <w:numPr>
          <w:ilvl w:val="0"/>
          <w:numId w:val="106"/>
        </w:numPr>
        <w:tabs>
          <w:tab w:val="left" w:pos="1165"/>
        </w:tabs>
        <w:spacing w:line="417" w:lineRule="auto"/>
        <w:ind w:right="556" w:firstLine="420"/>
        <w:rPr>
          <w:sz w:val="21"/>
        </w:rPr>
      </w:pPr>
      <w:r>
        <w:rPr>
          <w:spacing w:val="-1"/>
          <w:sz w:val="21"/>
        </w:rPr>
        <w:t>完成全部专业全套施工图纸设计，且设计深度必须满足现行国家、省及江门市关于施工图编制的要求；</w:t>
      </w:r>
    </w:p>
    <w:p>
      <w:pPr>
        <w:pStyle w:val="35"/>
        <w:numPr>
          <w:ilvl w:val="0"/>
          <w:numId w:val="106"/>
        </w:numPr>
        <w:tabs>
          <w:tab w:val="left" w:pos="1165"/>
        </w:tabs>
        <w:spacing w:line="417" w:lineRule="auto"/>
        <w:ind w:right="546" w:firstLine="420"/>
        <w:jc w:val="both"/>
        <w:rPr>
          <w:sz w:val="21"/>
        </w:rPr>
      </w:pPr>
      <w:r>
        <w:rPr>
          <w:sz w:val="21"/>
        </w:rPr>
        <w:t>承包人需严格按发包人书面提供的建筑安装工程费进行限额控制、设计和施工图预算编制（施工图预算必须由承包人的注册造价工程师签字盖章认可</w:t>
      </w:r>
      <w:r>
        <w:rPr>
          <w:spacing w:val="-106"/>
          <w:sz w:val="21"/>
        </w:rPr>
        <w:t>）</w:t>
      </w:r>
      <w:r>
        <w:rPr>
          <w:sz w:val="21"/>
        </w:rPr>
        <w:t>，如</w:t>
      </w:r>
      <w:r>
        <w:rPr>
          <w:rFonts w:hint="eastAsia" w:ascii="Times New Roman"/>
          <w:sz w:val="21"/>
        </w:rPr>
        <w:t>广东省气象</w:t>
      </w:r>
      <w:r>
        <w:rPr>
          <w:rFonts w:ascii="Times New Roman"/>
          <w:sz w:val="21"/>
        </w:rPr>
        <w:t>局</w:t>
      </w:r>
      <w:r>
        <w:rPr>
          <w:sz w:val="21"/>
        </w:rPr>
        <w:t>审核的施工图预算</w:t>
      </w:r>
      <w:r>
        <w:rPr>
          <w:spacing w:val="-6"/>
          <w:sz w:val="21"/>
        </w:rPr>
        <w:t>超过该数额及批准的工程总概算中建安工程费额，承包人应无条件调整设计，确保概算控制预算；发包人</w:t>
      </w:r>
      <w:r>
        <w:rPr>
          <w:spacing w:val="-4"/>
          <w:sz w:val="21"/>
        </w:rPr>
        <w:t>有权根据实际需要调整设计限额，另行书面通知为准。</w:t>
      </w:r>
    </w:p>
    <w:p>
      <w:pPr>
        <w:pStyle w:val="35"/>
        <w:numPr>
          <w:ilvl w:val="0"/>
          <w:numId w:val="106"/>
        </w:numPr>
        <w:tabs>
          <w:tab w:val="left" w:pos="1165"/>
        </w:tabs>
        <w:spacing w:line="417" w:lineRule="auto"/>
        <w:ind w:right="549" w:firstLine="420"/>
        <w:jc w:val="both"/>
        <w:rPr>
          <w:sz w:val="21"/>
        </w:rPr>
      </w:pPr>
      <w:r>
        <w:rPr>
          <w:sz w:val="21"/>
        </w:rPr>
        <w:t>施工图设计文件完成后，送发包人审查认可并通过相关政府主管部门批准和行业主管部门认可</w:t>
      </w:r>
      <w:r>
        <w:rPr>
          <w:spacing w:val="-6"/>
          <w:sz w:val="21"/>
        </w:rPr>
        <w:t>的施工图审查单位审查，并获得施工图审查合格证，且本阶段各专业的设计深度须满足现行国家、省、市</w:t>
      </w:r>
      <w:r>
        <w:rPr>
          <w:spacing w:val="-4"/>
          <w:sz w:val="21"/>
        </w:rPr>
        <w:t>有关规范、规定、标准以及有关职能审批部门和行业主管部门的要求。</w:t>
      </w:r>
    </w:p>
    <w:p>
      <w:pPr>
        <w:pStyle w:val="35"/>
        <w:numPr>
          <w:ilvl w:val="0"/>
          <w:numId w:val="106"/>
        </w:numPr>
        <w:tabs>
          <w:tab w:val="left" w:pos="1165"/>
        </w:tabs>
        <w:spacing w:line="417" w:lineRule="auto"/>
        <w:ind w:right="556" w:firstLine="420"/>
        <w:jc w:val="both"/>
        <w:rPr>
          <w:sz w:val="21"/>
        </w:rPr>
      </w:pPr>
      <w:r>
        <w:rPr>
          <w:spacing w:val="-1"/>
          <w:sz w:val="21"/>
        </w:rPr>
        <w:t>施工图设计文件取得政府相关主管部门同意批文和施工图审查单位的审查合格证，并按相关规</w:t>
      </w:r>
      <w:r>
        <w:rPr>
          <w:spacing w:val="-6"/>
          <w:sz w:val="21"/>
        </w:rPr>
        <w:t xml:space="preserve">定提供施工图设计成果和施工图预算各 </w:t>
      </w:r>
      <w:r>
        <w:rPr>
          <w:sz w:val="21"/>
        </w:rPr>
        <w:t>10</w:t>
      </w:r>
      <w:r>
        <w:rPr>
          <w:spacing w:val="-9"/>
          <w:sz w:val="21"/>
        </w:rPr>
        <w:t xml:space="preserve"> 套后，视为本阶段工作完成。</w:t>
      </w:r>
    </w:p>
    <w:p>
      <w:pPr>
        <w:ind w:firstLine="440" w:firstLineChars="200"/>
      </w:pPr>
      <w:r>
        <w:rPr>
          <w:rFonts w:hint="eastAsia"/>
        </w:rPr>
        <w:t>1</w:t>
      </w:r>
      <w:r>
        <w:t>2.4 设计深度要求</w:t>
      </w:r>
    </w:p>
    <w:p>
      <w:pPr>
        <w:tabs>
          <w:tab w:val="left" w:pos="1165"/>
        </w:tabs>
        <w:spacing w:line="417" w:lineRule="auto"/>
        <w:ind w:right="549" w:firstLine="404" w:firstLineChars="200"/>
        <w:jc w:val="both"/>
        <w:rPr>
          <w:spacing w:val="-4"/>
          <w:sz w:val="21"/>
        </w:rPr>
      </w:pPr>
      <w:r>
        <w:rPr>
          <w:rFonts w:hint="eastAsia"/>
          <w:spacing w:val="-4"/>
          <w:sz w:val="21"/>
        </w:rPr>
        <w:t xml:space="preserve">12.4.1 </w:t>
      </w:r>
      <w:r>
        <w:rPr>
          <w:spacing w:val="-4"/>
          <w:sz w:val="21"/>
        </w:rPr>
        <w:t>中标后设计工作包括方案深化设计（含设计概算编制）、施工图设计（含施工图预算编制）、施工期配合服务、后期采购咨询服务、专业设计配合服务及完成竣工图编制和审核及相关配合设计服务等阶段，承包人应完成各阶段的全部设计工作，并无偿承担各阶段深化优化设计及政府相关主管部门和审查部门审查批准而出现的反复调整和修改的工作责任。在设计工作过程和成果审查审批过程中，承包人应与发包人密切配合，充分尊重发包人的意见和建议，根据相关修改意见和建议对设计成果进行及时调整和深化优化，达到双方认可的最佳效果。各阶段设计图纸必须按现行国家建筑设计技术规范、建设工程质量管理条例、《建设工程勘察设计管理条例》以及国家和地方有关工程设计管理法规、规章和规定，并满足江门市相关规划、建设主管部门审批的相关审批要求。</w:t>
      </w:r>
    </w:p>
    <w:p>
      <w:pPr>
        <w:tabs>
          <w:tab w:val="left" w:pos="1318"/>
        </w:tabs>
        <w:spacing w:line="417" w:lineRule="auto"/>
        <w:ind w:right="525" w:firstLine="384" w:firstLineChars="196"/>
        <w:jc w:val="both"/>
        <w:rPr>
          <w:sz w:val="21"/>
        </w:rPr>
      </w:pPr>
      <w:r>
        <w:rPr>
          <w:rFonts w:hint="eastAsia"/>
          <w:spacing w:val="-7"/>
          <w:sz w:val="21"/>
        </w:rPr>
        <w:t xml:space="preserve">12.4.2 </w:t>
      </w:r>
      <w:r>
        <w:rPr>
          <w:spacing w:val="-7"/>
          <w:sz w:val="21"/>
        </w:rPr>
        <w:t>各阶段设计图纸必须满足中华人民共和国现行国家、行业及工程所在地的地方规范、规程、标</w:t>
      </w:r>
      <w:r>
        <w:rPr>
          <w:spacing w:val="-5"/>
          <w:sz w:val="21"/>
        </w:rPr>
        <w:t>准，符合环保、节能、绿色建筑标识等要求，当上述规范、规程、标准存在不一致时，约定采用的规范、</w:t>
      </w:r>
      <w:r>
        <w:rPr>
          <w:spacing w:val="-8"/>
          <w:sz w:val="21"/>
        </w:rPr>
        <w:t>规程、标准应按较高标准执行，除非当地相关部门另有规定。若超出中华人民共和国国内规范、规程、标</w:t>
      </w:r>
      <w:r>
        <w:rPr>
          <w:spacing w:val="-5"/>
          <w:sz w:val="21"/>
        </w:rPr>
        <w:t>准，应进行技术论证。</w:t>
      </w:r>
    </w:p>
    <w:p>
      <w:pPr>
        <w:tabs>
          <w:tab w:val="left" w:pos="1318"/>
        </w:tabs>
        <w:spacing w:line="417" w:lineRule="auto"/>
        <w:ind w:right="549" w:firstLine="384" w:firstLineChars="196"/>
        <w:jc w:val="both"/>
        <w:rPr>
          <w:sz w:val="21"/>
        </w:rPr>
      </w:pPr>
      <w:r>
        <w:rPr>
          <w:rFonts w:hint="eastAsia"/>
          <w:spacing w:val="-7"/>
          <w:sz w:val="21"/>
        </w:rPr>
        <w:t xml:space="preserve">12.4.3 </w:t>
      </w:r>
      <w:r>
        <w:rPr>
          <w:spacing w:val="-7"/>
          <w:sz w:val="21"/>
        </w:rPr>
        <w:t>所有图纸设计深度应满足中华人民共和国国家、广东省、</w:t>
      </w:r>
      <w:r>
        <w:rPr>
          <w:rFonts w:hint="eastAsia"/>
          <w:spacing w:val="-7"/>
          <w:sz w:val="21"/>
        </w:rPr>
        <w:t>江门</w:t>
      </w:r>
      <w:r>
        <w:rPr>
          <w:spacing w:val="-7"/>
          <w:sz w:val="21"/>
        </w:rPr>
        <w:t>市有关工程设计文件编制深度规</w:t>
      </w:r>
      <w:r>
        <w:rPr>
          <w:spacing w:val="-5"/>
          <w:sz w:val="21"/>
        </w:rPr>
        <w:t>定及编制施工图预算要求。</w:t>
      </w:r>
    </w:p>
    <w:p>
      <w:pPr>
        <w:tabs>
          <w:tab w:val="left" w:pos="1318"/>
        </w:tabs>
        <w:spacing w:line="269" w:lineRule="exact"/>
        <w:ind w:firstLine="399" w:firstLineChars="196"/>
        <w:jc w:val="both"/>
        <w:rPr>
          <w:sz w:val="21"/>
        </w:rPr>
      </w:pPr>
      <w:r>
        <w:rPr>
          <w:rFonts w:hint="eastAsia"/>
          <w:spacing w:val="-3"/>
          <w:sz w:val="21"/>
        </w:rPr>
        <w:t>12.4.4</w:t>
      </w:r>
      <w:r>
        <w:rPr>
          <w:spacing w:val="-3"/>
          <w:sz w:val="21"/>
        </w:rPr>
        <w:t>承包人提供的设计成果及进度日期</w:t>
      </w:r>
    </w:p>
    <w:p>
      <w:pPr>
        <w:pStyle w:val="10"/>
        <w:spacing w:before="8"/>
        <w:rPr>
          <w:sz w:val="7"/>
        </w:rPr>
      </w:pPr>
    </w:p>
    <w:tbl>
      <w:tblPr>
        <w:tblStyle w:val="24"/>
        <w:tblW w:w="8907"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3533"/>
        <w:gridCol w:w="1135"/>
        <w:gridCol w:w="2592"/>
        <w:gridCol w:w="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720" w:type="dxa"/>
          </w:tcPr>
          <w:p>
            <w:pPr>
              <w:pStyle w:val="36"/>
              <w:spacing w:before="116"/>
              <w:ind w:left="89" w:right="160"/>
              <w:jc w:val="center"/>
              <w:rPr>
                <w:sz w:val="21"/>
              </w:rPr>
            </w:pPr>
            <w:r>
              <w:rPr>
                <w:sz w:val="21"/>
              </w:rPr>
              <w:t>序号</w:t>
            </w:r>
          </w:p>
        </w:tc>
        <w:tc>
          <w:tcPr>
            <w:tcW w:w="3533" w:type="dxa"/>
          </w:tcPr>
          <w:p>
            <w:pPr>
              <w:pStyle w:val="36"/>
              <w:spacing w:before="116"/>
              <w:ind w:left="1029"/>
              <w:rPr>
                <w:sz w:val="21"/>
              </w:rPr>
            </w:pPr>
            <w:r>
              <w:rPr>
                <w:sz w:val="21"/>
              </w:rPr>
              <w:t>资料及文件名称</w:t>
            </w:r>
          </w:p>
        </w:tc>
        <w:tc>
          <w:tcPr>
            <w:tcW w:w="1135" w:type="dxa"/>
          </w:tcPr>
          <w:p>
            <w:pPr>
              <w:pStyle w:val="36"/>
              <w:spacing w:before="116"/>
              <w:ind w:left="111"/>
              <w:rPr>
                <w:sz w:val="21"/>
              </w:rPr>
            </w:pPr>
            <w:r>
              <w:rPr>
                <w:sz w:val="21"/>
              </w:rPr>
              <w:t>份数</w:t>
            </w:r>
          </w:p>
        </w:tc>
        <w:tc>
          <w:tcPr>
            <w:tcW w:w="2592" w:type="dxa"/>
          </w:tcPr>
          <w:p>
            <w:pPr>
              <w:pStyle w:val="36"/>
              <w:spacing w:before="116"/>
              <w:ind w:left="855" w:right="841"/>
              <w:jc w:val="center"/>
              <w:rPr>
                <w:sz w:val="21"/>
              </w:rPr>
            </w:pPr>
            <w:r>
              <w:rPr>
                <w:sz w:val="21"/>
              </w:rPr>
              <w:t>提交日期</w:t>
            </w:r>
          </w:p>
        </w:tc>
        <w:tc>
          <w:tcPr>
            <w:tcW w:w="927" w:type="dxa"/>
          </w:tcPr>
          <w:p>
            <w:pPr>
              <w:pStyle w:val="36"/>
              <w:spacing w:before="116"/>
              <w:ind w:left="10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720" w:type="dxa"/>
            <w:vMerge w:val="restart"/>
          </w:tcPr>
          <w:p>
            <w:pPr>
              <w:pStyle w:val="36"/>
              <w:rPr>
                <w:sz w:val="20"/>
              </w:rPr>
            </w:pPr>
          </w:p>
          <w:p>
            <w:pPr>
              <w:pStyle w:val="36"/>
              <w:rPr>
                <w:sz w:val="20"/>
              </w:rPr>
            </w:pPr>
          </w:p>
          <w:p>
            <w:pPr>
              <w:pStyle w:val="36"/>
              <w:spacing w:before="163"/>
              <w:ind w:left="10"/>
              <w:jc w:val="center"/>
              <w:rPr>
                <w:sz w:val="21"/>
              </w:rPr>
            </w:pPr>
            <w:r>
              <w:rPr>
                <w:sz w:val="21"/>
              </w:rPr>
              <w:t>1</w:t>
            </w:r>
          </w:p>
        </w:tc>
        <w:tc>
          <w:tcPr>
            <w:tcW w:w="3533" w:type="dxa"/>
          </w:tcPr>
          <w:p>
            <w:pPr>
              <w:pStyle w:val="36"/>
              <w:spacing w:before="25"/>
              <w:ind w:left="108"/>
              <w:rPr>
                <w:sz w:val="21"/>
              </w:rPr>
            </w:pPr>
            <w:r>
              <w:rPr>
                <w:sz w:val="21"/>
              </w:rPr>
              <w:t>初步设计文件（含初步设计说明及各</w:t>
            </w:r>
          </w:p>
          <w:p>
            <w:pPr>
              <w:pStyle w:val="36"/>
              <w:spacing w:before="43"/>
              <w:ind w:left="108"/>
              <w:rPr>
                <w:sz w:val="21"/>
              </w:rPr>
            </w:pPr>
            <w:r>
              <w:rPr>
                <w:sz w:val="21"/>
              </w:rPr>
              <w:t>专业图纸）</w:t>
            </w:r>
          </w:p>
        </w:tc>
        <w:tc>
          <w:tcPr>
            <w:tcW w:w="1135" w:type="dxa"/>
          </w:tcPr>
          <w:p>
            <w:pPr>
              <w:pStyle w:val="36"/>
              <w:spacing w:before="178"/>
              <w:ind w:right="449"/>
              <w:jc w:val="right"/>
              <w:rPr>
                <w:sz w:val="21"/>
              </w:rPr>
            </w:pPr>
            <w:r>
              <w:rPr>
                <w:sz w:val="21"/>
              </w:rPr>
              <w:t>10</w:t>
            </w:r>
          </w:p>
        </w:tc>
        <w:tc>
          <w:tcPr>
            <w:tcW w:w="2592" w:type="dxa"/>
            <w:vMerge w:val="restart"/>
          </w:tcPr>
          <w:p>
            <w:pPr>
              <w:pStyle w:val="36"/>
              <w:rPr>
                <w:sz w:val="20"/>
              </w:rPr>
            </w:pPr>
          </w:p>
          <w:p>
            <w:pPr>
              <w:pStyle w:val="36"/>
              <w:rPr>
                <w:sz w:val="20"/>
              </w:rPr>
            </w:pPr>
          </w:p>
          <w:p>
            <w:pPr>
              <w:pStyle w:val="36"/>
              <w:spacing w:before="163"/>
              <w:ind w:left="510"/>
              <w:rPr>
                <w:sz w:val="21"/>
              </w:rPr>
            </w:pPr>
            <w:r>
              <w:rPr>
                <w:sz w:val="21"/>
              </w:rPr>
              <w:t>签订合同 30 天内</w:t>
            </w:r>
          </w:p>
        </w:tc>
        <w:tc>
          <w:tcPr>
            <w:tcW w:w="927"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0" w:type="dxa"/>
            <w:vMerge w:val="continue"/>
            <w:tcBorders>
              <w:top w:val="nil"/>
            </w:tcBorders>
          </w:tcPr>
          <w:p>
            <w:pPr>
              <w:rPr>
                <w:sz w:val="2"/>
                <w:szCs w:val="2"/>
              </w:rPr>
            </w:pPr>
          </w:p>
        </w:tc>
        <w:tc>
          <w:tcPr>
            <w:tcW w:w="3533" w:type="dxa"/>
          </w:tcPr>
          <w:p>
            <w:pPr>
              <w:pStyle w:val="36"/>
              <w:spacing w:before="99"/>
              <w:ind w:left="108"/>
              <w:rPr>
                <w:sz w:val="21"/>
              </w:rPr>
            </w:pPr>
            <w:r>
              <w:rPr>
                <w:sz w:val="21"/>
              </w:rPr>
              <w:t>初步设计概算</w:t>
            </w:r>
          </w:p>
        </w:tc>
        <w:tc>
          <w:tcPr>
            <w:tcW w:w="1135" w:type="dxa"/>
          </w:tcPr>
          <w:p>
            <w:pPr>
              <w:pStyle w:val="36"/>
              <w:spacing w:before="99"/>
              <w:ind w:right="500"/>
              <w:jc w:val="right"/>
              <w:rPr>
                <w:sz w:val="21"/>
              </w:rPr>
            </w:pPr>
            <w:r>
              <w:rPr>
                <w:sz w:val="21"/>
              </w:rPr>
              <w:t>5</w:t>
            </w:r>
          </w:p>
        </w:tc>
        <w:tc>
          <w:tcPr>
            <w:tcW w:w="2592" w:type="dxa"/>
            <w:vMerge w:val="continue"/>
            <w:tcBorders>
              <w:top w:val="nil"/>
            </w:tcBorders>
          </w:tcPr>
          <w:p>
            <w:pPr>
              <w:rPr>
                <w:sz w:val="2"/>
                <w:szCs w:val="2"/>
              </w:rPr>
            </w:pPr>
          </w:p>
        </w:tc>
        <w:tc>
          <w:tcPr>
            <w:tcW w:w="927" w:type="dxa"/>
            <w:vMerge w:val="restart"/>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720" w:type="dxa"/>
            <w:vMerge w:val="continue"/>
            <w:tcBorders>
              <w:top w:val="nil"/>
            </w:tcBorders>
          </w:tcPr>
          <w:p>
            <w:pPr>
              <w:rPr>
                <w:sz w:val="2"/>
                <w:szCs w:val="2"/>
              </w:rPr>
            </w:pPr>
          </w:p>
        </w:tc>
        <w:tc>
          <w:tcPr>
            <w:tcW w:w="3533" w:type="dxa"/>
          </w:tcPr>
          <w:p>
            <w:pPr>
              <w:pStyle w:val="36"/>
              <w:spacing w:before="118"/>
              <w:ind w:left="108"/>
              <w:rPr>
                <w:sz w:val="21"/>
              </w:rPr>
            </w:pPr>
            <w:r>
              <w:rPr>
                <w:sz w:val="21"/>
              </w:rPr>
              <w:t>有关电子文档（含初步设计图）</w:t>
            </w:r>
          </w:p>
        </w:tc>
        <w:tc>
          <w:tcPr>
            <w:tcW w:w="1135" w:type="dxa"/>
          </w:tcPr>
          <w:p>
            <w:pPr>
              <w:pStyle w:val="36"/>
              <w:spacing w:before="118"/>
              <w:ind w:right="500"/>
              <w:jc w:val="right"/>
              <w:rPr>
                <w:sz w:val="21"/>
              </w:rPr>
            </w:pPr>
            <w:r>
              <w:rPr>
                <w:sz w:val="21"/>
              </w:rPr>
              <w:t>2</w:t>
            </w:r>
          </w:p>
        </w:tc>
        <w:tc>
          <w:tcPr>
            <w:tcW w:w="2592" w:type="dxa"/>
            <w:vMerge w:val="continue"/>
            <w:tcBorders>
              <w:top w:val="nil"/>
            </w:tcBorders>
          </w:tcPr>
          <w:p>
            <w:pPr>
              <w:rPr>
                <w:sz w:val="2"/>
                <w:szCs w:val="2"/>
              </w:rPr>
            </w:pPr>
          </w:p>
        </w:tc>
        <w:tc>
          <w:tcPr>
            <w:tcW w:w="92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720" w:type="dxa"/>
            <w:vMerge w:val="restart"/>
          </w:tcPr>
          <w:p>
            <w:pPr>
              <w:pStyle w:val="36"/>
              <w:rPr>
                <w:sz w:val="20"/>
              </w:rPr>
            </w:pPr>
          </w:p>
          <w:p>
            <w:pPr>
              <w:pStyle w:val="36"/>
              <w:spacing w:before="162"/>
              <w:ind w:left="10"/>
              <w:jc w:val="center"/>
              <w:rPr>
                <w:sz w:val="21"/>
              </w:rPr>
            </w:pPr>
            <w:r>
              <w:rPr>
                <w:sz w:val="21"/>
              </w:rPr>
              <w:t>2</w:t>
            </w:r>
          </w:p>
        </w:tc>
        <w:tc>
          <w:tcPr>
            <w:tcW w:w="3533" w:type="dxa"/>
          </w:tcPr>
          <w:p>
            <w:pPr>
              <w:pStyle w:val="36"/>
              <w:spacing w:before="25"/>
              <w:ind w:left="108"/>
              <w:rPr>
                <w:sz w:val="21"/>
              </w:rPr>
            </w:pPr>
            <w:r>
              <w:rPr>
                <w:spacing w:val="-13"/>
                <w:sz w:val="21"/>
              </w:rPr>
              <w:t xml:space="preserve">所有专业施工图，含 </w:t>
            </w:r>
            <w:r>
              <w:rPr>
                <w:sz w:val="21"/>
              </w:rPr>
              <w:t>2</w:t>
            </w:r>
            <w:r>
              <w:rPr>
                <w:spacing w:val="-9"/>
                <w:sz w:val="21"/>
              </w:rPr>
              <w:t xml:space="preserve"> 份施工图电子</w:t>
            </w:r>
          </w:p>
          <w:p>
            <w:pPr>
              <w:pStyle w:val="36"/>
              <w:spacing w:before="43"/>
              <w:ind w:left="108"/>
              <w:rPr>
                <w:sz w:val="21"/>
              </w:rPr>
            </w:pPr>
            <w:r>
              <w:rPr>
                <w:sz w:val="21"/>
              </w:rPr>
              <w:t>文档</w:t>
            </w:r>
          </w:p>
        </w:tc>
        <w:tc>
          <w:tcPr>
            <w:tcW w:w="1135" w:type="dxa"/>
          </w:tcPr>
          <w:p>
            <w:pPr>
              <w:pStyle w:val="36"/>
              <w:spacing w:before="1"/>
              <w:rPr>
                <w:sz w:val="14"/>
              </w:rPr>
            </w:pPr>
          </w:p>
          <w:p>
            <w:pPr>
              <w:pStyle w:val="36"/>
              <w:ind w:right="449"/>
              <w:jc w:val="right"/>
              <w:rPr>
                <w:sz w:val="21"/>
              </w:rPr>
            </w:pPr>
            <w:r>
              <w:rPr>
                <w:sz w:val="21"/>
              </w:rPr>
              <w:t>16</w:t>
            </w:r>
          </w:p>
        </w:tc>
        <w:tc>
          <w:tcPr>
            <w:tcW w:w="2592" w:type="dxa"/>
            <w:vMerge w:val="restart"/>
          </w:tcPr>
          <w:p>
            <w:pPr>
              <w:pStyle w:val="36"/>
              <w:rPr>
                <w:sz w:val="20"/>
              </w:rPr>
            </w:pPr>
          </w:p>
          <w:p>
            <w:pPr>
              <w:pStyle w:val="36"/>
              <w:spacing w:before="162"/>
              <w:ind w:left="510"/>
              <w:rPr>
                <w:sz w:val="21"/>
              </w:rPr>
            </w:pPr>
            <w:r>
              <w:rPr>
                <w:sz w:val="21"/>
              </w:rPr>
              <w:t>签订合同 98 天内</w:t>
            </w:r>
          </w:p>
        </w:tc>
        <w:tc>
          <w:tcPr>
            <w:tcW w:w="927"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0" w:type="dxa"/>
            <w:vMerge w:val="continue"/>
            <w:tcBorders>
              <w:top w:val="nil"/>
            </w:tcBorders>
          </w:tcPr>
          <w:p>
            <w:pPr>
              <w:rPr>
                <w:sz w:val="2"/>
                <w:szCs w:val="2"/>
              </w:rPr>
            </w:pPr>
          </w:p>
        </w:tc>
        <w:tc>
          <w:tcPr>
            <w:tcW w:w="3533" w:type="dxa"/>
          </w:tcPr>
          <w:p>
            <w:pPr>
              <w:pStyle w:val="36"/>
              <w:spacing w:before="99"/>
              <w:ind w:left="108"/>
              <w:rPr>
                <w:sz w:val="21"/>
              </w:rPr>
            </w:pPr>
            <w:r>
              <w:rPr>
                <w:sz w:val="21"/>
              </w:rPr>
              <w:t>施工图预算</w:t>
            </w:r>
          </w:p>
        </w:tc>
        <w:tc>
          <w:tcPr>
            <w:tcW w:w="1135" w:type="dxa"/>
          </w:tcPr>
          <w:p>
            <w:pPr>
              <w:pStyle w:val="36"/>
              <w:spacing w:before="99"/>
              <w:ind w:right="500"/>
              <w:jc w:val="right"/>
              <w:rPr>
                <w:sz w:val="21"/>
              </w:rPr>
            </w:pPr>
            <w:r>
              <w:rPr>
                <w:sz w:val="21"/>
              </w:rPr>
              <w:t>5</w:t>
            </w:r>
          </w:p>
        </w:tc>
        <w:tc>
          <w:tcPr>
            <w:tcW w:w="2592" w:type="dxa"/>
            <w:vMerge w:val="continue"/>
            <w:tcBorders>
              <w:top w:val="nil"/>
            </w:tcBorders>
          </w:tcPr>
          <w:p>
            <w:pPr>
              <w:rPr>
                <w:sz w:val="2"/>
                <w:szCs w:val="2"/>
              </w:rPr>
            </w:pPr>
          </w:p>
        </w:tc>
        <w:tc>
          <w:tcPr>
            <w:tcW w:w="927"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7" w:hRule="atLeast"/>
        </w:trPr>
        <w:tc>
          <w:tcPr>
            <w:tcW w:w="720" w:type="dxa"/>
          </w:tcPr>
          <w:p>
            <w:pPr>
              <w:pStyle w:val="36"/>
              <w:rPr>
                <w:sz w:val="20"/>
              </w:rPr>
            </w:pPr>
          </w:p>
          <w:p>
            <w:pPr>
              <w:pStyle w:val="36"/>
              <w:rPr>
                <w:sz w:val="20"/>
              </w:rPr>
            </w:pPr>
          </w:p>
          <w:p>
            <w:pPr>
              <w:pStyle w:val="36"/>
              <w:spacing w:before="136"/>
              <w:ind w:left="10"/>
              <w:jc w:val="center"/>
              <w:rPr>
                <w:sz w:val="21"/>
              </w:rPr>
            </w:pPr>
            <w:r>
              <w:rPr>
                <w:sz w:val="21"/>
              </w:rPr>
              <w:t>3</w:t>
            </w:r>
          </w:p>
        </w:tc>
        <w:tc>
          <w:tcPr>
            <w:tcW w:w="3533" w:type="dxa"/>
          </w:tcPr>
          <w:p>
            <w:pPr>
              <w:pStyle w:val="36"/>
              <w:rPr>
                <w:sz w:val="20"/>
              </w:rPr>
            </w:pPr>
          </w:p>
          <w:p>
            <w:pPr>
              <w:pStyle w:val="36"/>
              <w:rPr>
                <w:sz w:val="20"/>
              </w:rPr>
            </w:pPr>
          </w:p>
          <w:p>
            <w:pPr>
              <w:pStyle w:val="36"/>
              <w:spacing w:before="139"/>
              <w:ind w:left="108"/>
              <w:rPr>
                <w:sz w:val="21"/>
              </w:rPr>
            </w:pPr>
            <w:r>
              <w:rPr>
                <w:sz w:val="21"/>
              </w:rPr>
              <w:t>变更设计</w:t>
            </w:r>
          </w:p>
        </w:tc>
        <w:tc>
          <w:tcPr>
            <w:tcW w:w="1135" w:type="dxa"/>
          </w:tcPr>
          <w:p>
            <w:pPr>
              <w:pStyle w:val="36"/>
              <w:rPr>
                <w:sz w:val="20"/>
              </w:rPr>
            </w:pPr>
          </w:p>
          <w:p>
            <w:pPr>
              <w:pStyle w:val="36"/>
              <w:rPr>
                <w:sz w:val="20"/>
              </w:rPr>
            </w:pPr>
          </w:p>
          <w:p>
            <w:pPr>
              <w:pStyle w:val="36"/>
              <w:spacing w:before="139"/>
              <w:ind w:right="449"/>
              <w:jc w:val="right"/>
              <w:rPr>
                <w:sz w:val="21"/>
              </w:rPr>
            </w:pPr>
            <w:r>
              <w:rPr>
                <w:sz w:val="21"/>
              </w:rPr>
              <w:t>10</w:t>
            </w:r>
          </w:p>
        </w:tc>
        <w:tc>
          <w:tcPr>
            <w:tcW w:w="2592" w:type="dxa"/>
          </w:tcPr>
          <w:p>
            <w:pPr>
              <w:pStyle w:val="36"/>
              <w:spacing w:before="4"/>
              <w:rPr>
                <w:sz w:val="14"/>
              </w:rPr>
            </w:pPr>
          </w:p>
          <w:p>
            <w:pPr>
              <w:pStyle w:val="36"/>
              <w:ind w:left="108"/>
              <w:rPr>
                <w:sz w:val="21"/>
              </w:rPr>
            </w:pPr>
            <w:r>
              <w:rPr>
                <w:spacing w:val="9"/>
                <w:sz w:val="21"/>
              </w:rPr>
              <w:t>工程量</w:t>
            </w:r>
            <w:r>
              <w:rPr>
                <w:sz w:val="21"/>
              </w:rPr>
              <w:t>50</w:t>
            </w:r>
            <w:r>
              <w:rPr>
                <w:spacing w:val="-11"/>
                <w:sz w:val="21"/>
              </w:rPr>
              <w:t xml:space="preserve"> 万元以下的必须</w:t>
            </w:r>
          </w:p>
          <w:p>
            <w:pPr>
              <w:pStyle w:val="36"/>
              <w:spacing w:before="43"/>
              <w:ind w:left="108"/>
              <w:rPr>
                <w:sz w:val="21"/>
              </w:rPr>
            </w:pPr>
            <w:r>
              <w:rPr>
                <w:spacing w:val="-7"/>
                <w:sz w:val="21"/>
              </w:rPr>
              <w:t xml:space="preserve">在 </w:t>
            </w:r>
            <w:r>
              <w:rPr>
                <w:sz w:val="21"/>
              </w:rPr>
              <w:t>3</w:t>
            </w:r>
            <w:r>
              <w:rPr>
                <w:spacing w:val="-5"/>
                <w:sz w:val="21"/>
              </w:rPr>
              <w:t xml:space="preserve"> 个日历天内出图；工</w:t>
            </w:r>
          </w:p>
          <w:p>
            <w:pPr>
              <w:pStyle w:val="36"/>
              <w:spacing w:before="43"/>
              <w:ind w:left="108"/>
              <w:rPr>
                <w:sz w:val="21"/>
              </w:rPr>
            </w:pPr>
            <w:r>
              <w:rPr>
                <w:spacing w:val="-16"/>
                <w:sz w:val="21"/>
              </w:rPr>
              <w:t xml:space="preserve">作量 </w:t>
            </w:r>
            <w:r>
              <w:rPr>
                <w:sz w:val="21"/>
              </w:rPr>
              <w:t>50</w:t>
            </w:r>
            <w:r>
              <w:rPr>
                <w:spacing w:val="-13"/>
                <w:sz w:val="21"/>
              </w:rPr>
              <w:t xml:space="preserve"> 万元以上的，必须</w:t>
            </w:r>
          </w:p>
          <w:p>
            <w:pPr>
              <w:pStyle w:val="36"/>
              <w:spacing w:before="43"/>
              <w:ind w:left="108"/>
              <w:rPr>
                <w:sz w:val="21"/>
              </w:rPr>
            </w:pPr>
            <w:r>
              <w:rPr>
                <w:sz w:val="21"/>
              </w:rPr>
              <w:t>在 5 个日历天内出图</w:t>
            </w:r>
          </w:p>
        </w:tc>
        <w:tc>
          <w:tcPr>
            <w:tcW w:w="927" w:type="dxa"/>
          </w:tcPr>
          <w:p>
            <w:pPr>
              <w:pStyle w:val="36"/>
              <w:spacing w:before="4"/>
              <w:rPr>
                <w:sz w:val="14"/>
              </w:rPr>
            </w:pPr>
          </w:p>
          <w:p>
            <w:pPr>
              <w:pStyle w:val="36"/>
              <w:spacing w:line="278" w:lineRule="auto"/>
              <w:ind w:left="109" w:right="92"/>
              <w:jc w:val="both"/>
              <w:rPr>
                <w:sz w:val="21"/>
              </w:rPr>
            </w:pPr>
            <w:r>
              <w:rPr>
                <w:sz w:val="21"/>
              </w:rPr>
              <w:t>含 2</w:t>
            </w:r>
            <w:r>
              <w:rPr>
                <w:spacing w:val="-20"/>
                <w:sz w:val="21"/>
              </w:rPr>
              <w:t xml:space="preserve"> 份</w:t>
            </w:r>
            <w:r>
              <w:rPr>
                <w:spacing w:val="20"/>
                <w:sz w:val="21"/>
              </w:rPr>
              <w:t>施工图电子文</w:t>
            </w:r>
            <w:r>
              <w:rPr>
                <w:sz w:val="21"/>
              </w:rPr>
              <w:t>档</w:t>
            </w:r>
          </w:p>
        </w:tc>
      </w:tr>
    </w:tbl>
    <w:p>
      <w:pPr>
        <w:rPr>
          <w:b/>
          <w:bCs/>
        </w:rPr>
      </w:pPr>
      <w:r>
        <w:rPr>
          <w:b/>
          <w:bCs/>
        </w:rPr>
        <w:t>附件：广东省江门市气象局上川岛国家天气雷达项目设计施工总承包可行性研究报告。</w:t>
      </w:r>
    </w:p>
    <w:p>
      <w:pPr>
        <w:sectPr>
          <w:footerReference r:id="rId9" w:type="default"/>
          <w:pgSz w:w="11910" w:h="16840"/>
          <w:pgMar w:top="1460" w:right="580" w:bottom="1180" w:left="920" w:header="0" w:footer="995" w:gutter="0"/>
          <w:cols w:space="720" w:num="1"/>
        </w:sect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10"/>
        <w:rPr>
          <w:b/>
          <w:sz w:val="17"/>
        </w:rPr>
      </w:pPr>
    </w:p>
    <w:p>
      <w:pPr>
        <w:pStyle w:val="2"/>
        <w:spacing w:before="37"/>
      </w:pPr>
      <w:bookmarkStart w:id="373" w:name="_bookmark283"/>
      <w:bookmarkEnd w:id="373"/>
      <w:bookmarkStart w:id="374" w:name="_Toc37926096"/>
      <w:r>
        <w:t>第三卷</w:t>
      </w:r>
      <w:bookmarkEnd w:id="374"/>
    </w:p>
    <w:p>
      <w:pPr>
        <w:sectPr>
          <w:pgSz w:w="11910" w:h="16840"/>
          <w:pgMar w:top="1580" w:right="580" w:bottom="1180" w:left="920" w:header="0" w:footer="995" w:gutter="0"/>
          <w:cols w:space="720" w:num="1"/>
        </w:sectPr>
      </w:pPr>
    </w:p>
    <w:p>
      <w:pPr>
        <w:pStyle w:val="10"/>
        <w:rPr>
          <w:b/>
          <w:sz w:val="20"/>
        </w:rPr>
      </w:pPr>
    </w:p>
    <w:p>
      <w:pPr>
        <w:pStyle w:val="10"/>
        <w:rPr>
          <w:b/>
          <w:sz w:val="20"/>
        </w:rPr>
      </w:pPr>
    </w:p>
    <w:p>
      <w:pPr>
        <w:pStyle w:val="10"/>
        <w:rPr>
          <w:b/>
          <w:sz w:val="20"/>
        </w:rPr>
      </w:pPr>
    </w:p>
    <w:p>
      <w:pPr>
        <w:pStyle w:val="10"/>
        <w:rPr>
          <w:b/>
          <w:sz w:val="20"/>
        </w:rPr>
      </w:pPr>
    </w:p>
    <w:p>
      <w:pPr>
        <w:pStyle w:val="10"/>
        <w:rPr>
          <w:b/>
          <w:sz w:val="20"/>
        </w:rPr>
      </w:pPr>
    </w:p>
    <w:p>
      <w:pPr>
        <w:pStyle w:val="2"/>
        <w:tabs>
          <w:tab w:val="left" w:pos="1766"/>
        </w:tabs>
        <w:spacing w:before="192"/>
        <w:ind w:right="339"/>
      </w:pPr>
      <w:bookmarkStart w:id="375" w:name="_bookmark284"/>
      <w:bookmarkEnd w:id="375"/>
      <w:bookmarkStart w:id="376" w:name="_Toc37926097"/>
      <w:r>
        <w:t>第六章</w:t>
      </w:r>
      <w:r>
        <w:tab/>
      </w:r>
      <w:r>
        <w:t>投标文件格式</w:t>
      </w:r>
      <w:bookmarkEnd w:id="376"/>
    </w:p>
    <w:p>
      <w:pPr>
        <w:sectPr>
          <w:pgSz w:w="11910" w:h="16840"/>
          <w:pgMar w:top="1580" w:right="580" w:bottom="1180" w:left="920" w:header="0" w:footer="995" w:gutter="0"/>
          <w:cols w:space="720" w:num="1"/>
        </w:sectPr>
      </w:pPr>
    </w:p>
    <w:p>
      <w:pPr>
        <w:tabs>
          <w:tab w:val="left" w:pos="1205"/>
        </w:tabs>
        <w:spacing w:before="37"/>
        <w:ind w:right="342"/>
        <w:jc w:val="center"/>
        <w:rPr>
          <w:b/>
          <w:sz w:val="24"/>
        </w:rPr>
      </w:pPr>
      <w:bookmarkStart w:id="377" w:name="_bookmark285"/>
      <w:bookmarkEnd w:id="377"/>
      <w:r>
        <w:rPr>
          <w:b/>
          <w:sz w:val="24"/>
        </w:rPr>
        <w:t>第一部分</w:t>
      </w:r>
      <w:r>
        <w:rPr>
          <w:b/>
          <w:sz w:val="24"/>
        </w:rPr>
        <w:tab/>
      </w:r>
      <w:r>
        <w:rPr>
          <w:b/>
          <w:sz w:val="24"/>
        </w:rPr>
        <w:t>投标文件（部分格式）</w:t>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tabs>
          <w:tab w:val="left" w:pos="1678"/>
        </w:tabs>
        <w:spacing w:before="212"/>
        <w:ind w:right="338"/>
        <w:jc w:val="center"/>
        <w:rPr>
          <w:rFonts w:ascii="黑体" w:eastAsia="黑体"/>
          <w:sz w:val="28"/>
        </w:rPr>
      </w:pPr>
      <w:r>
        <w:rPr>
          <w:rFonts w:ascii="Times New Roman" w:eastAsia="Times New Roman"/>
          <w:sz w:val="28"/>
          <w:u w:val="single"/>
        </w:rPr>
        <w:t xml:space="preserve"> </w:t>
      </w:r>
      <w:r>
        <w:rPr>
          <w:rFonts w:ascii="Times New Roman" w:eastAsia="Times New Roman"/>
          <w:sz w:val="28"/>
          <w:u w:val="single"/>
        </w:rPr>
        <w:tab/>
      </w:r>
      <w:r>
        <w:rPr>
          <w:rFonts w:hint="eastAsia" w:ascii="黑体" w:eastAsia="黑体"/>
          <w:sz w:val="28"/>
        </w:rPr>
        <w:t>（项目名称</w:t>
      </w:r>
      <w:r>
        <w:rPr>
          <w:rFonts w:hint="eastAsia" w:ascii="黑体" w:eastAsia="黑体"/>
          <w:spacing w:val="-3"/>
          <w:sz w:val="28"/>
        </w:rPr>
        <w:t>）投标文件</w:t>
      </w:r>
    </w:p>
    <w:p>
      <w:pPr>
        <w:pStyle w:val="10"/>
        <w:rPr>
          <w:rFonts w:ascii="黑体"/>
          <w:sz w:val="20"/>
        </w:rPr>
      </w:pPr>
    </w:p>
    <w:p>
      <w:pPr>
        <w:pStyle w:val="10"/>
        <w:rPr>
          <w:rFonts w:ascii="黑体"/>
          <w:sz w:val="20"/>
        </w:rPr>
      </w:pPr>
    </w:p>
    <w:p>
      <w:pPr>
        <w:pStyle w:val="10"/>
        <w:spacing w:before="4"/>
        <w:rPr>
          <w:rFonts w:ascii="黑体"/>
          <w:sz w:val="18"/>
        </w:rPr>
      </w:pPr>
    </w:p>
    <w:p>
      <w:pPr>
        <w:spacing w:before="38"/>
        <w:ind w:right="340"/>
        <w:jc w:val="center"/>
        <w:rPr>
          <w:sz w:val="28"/>
        </w:rPr>
      </w:pPr>
      <w:r>
        <w:rPr>
          <w:rFonts w:hint="eastAsia"/>
          <w:sz w:val="28"/>
        </w:rPr>
        <w:t>（</w:t>
      </w:r>
      <w:r>
        <w:rPr>
          <w:sz w:val="28"/>
        </w:rPr>
        <w:t>正本/副本</w:t>
      </w:r>
      <w:r>
        <w:rPr>
          <w:rFonts w:hint="eastAsia"/>
          <w:sz w:val="28"/>
        </w:rPr>
        <w:t>）</w:t>
      </w:r>
    </w:p>
    <w:p>
      <w:pPr>
        <w:spacing w:before="38"/>
        <w:ind w:right="340"/>
        <w:jc w:val="center"/>
        <w:rPr>
          <w:sz w:val="28"/>
        </w:rPr>
      </w:pPr>
      <w:r>
        <w:rPr>
          <w:rFonts w:hint="eastAsia"/>
          <w:sz w:val="28"/>
        </w:rPr>
        <w:t>第一册  商务标</w:t>
      </w: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spacing w:before="3"/>
        <w:rPr>
          <w:rFonts w:ascii="黑体"/>
          <w:sz w:val="55"/>
        </w:rPr>
      </w:pPr>
    </w:p>
    <w:p>
      <w:pPr>
        <w:tabs>
          <w:tab w:val="left" w:pos="5319"/>
        </w:tabs>
        <w:ind w:right="338"/>
        <w:jc w:val="center"/>
        <w:rPr>
          <w:rFonts w:ascii="黑体" w:eastAsia="黑体"/>
          <w:sz w:val="28"/>
        </w:rPr>
      </w:pPr>
      <w:r>
        <w:rPr>
          <w:rFonts w:hint="eastAsia" w:ascii="黑体" w:eastAsia="黑体"/>
          <w:sz w:val="28"/>
        </w:rPr>
        <w:t>投标人：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（盖单位</w:t>
      </w:r>
      <w:r>
        <w:rPr>
          <w:rFonts w:hint="eastAsia" w:ascii="黑体" w:eastAsia="黑体"/>
          <w:spacing w:val="-3"/>
          <w:sz w:val="28"/>
        </w:rPr>
        <w:t>章</w:t>
      </w:r>
      <w:r>
        <w:rPr>
          <w:rFonts w:hint="eastAsia" w:ascii="黑体" w:eastAsia="黑体"/>
          <w:sz w:val="28"/>
        </w:rPr>
        <w:t>）</w:t>
      </w:r>
    </w:p>
    <w:p>
      <w:pPr>
        <w:pStyle w:val="10"/>
        <w:spacing w:before="3"/>
        <w:rPr>
          <w:rFonts w:ascii="黑体"/>
          <w:sz w:val="15"/>
        </w:rPr>
      </w:pPr>
    </w:p>
    <w:p>
      <w:pPr>
        <w:tabs>
          <w:tab w:val="left" w:pos="5180"/>
        </w:tabs>
        <w:spacing w:before="70"/>
        <w:ind w:right="199"/>
        <w:jc w:val="center"/>
        <w:rPr>
          <w:rFonts w:ascii="黑体" w:eastAsia="黑体"/>
          <w:sz w:val="28"/>
        </w:rPr>
      </w:pPr>
      <w:r>
        <w:rPr>
          <w:rFonts w:hint="eastAsia" w:ascii="黑体" w:eastAsia="黑体"/>
          <w:sz w:val="28"/>
        </w:rPr>
        <w:t>法定代表</w:t>
      </w:r>
      <w:r>
        <w:rPr>
          <w:rFonts w:hint="eastAsia" w:ascii="黑体" w:eastAsia="黑体"/>
          <w:spacing w:val="-3"/>
          <w:sz w:val="28"/>
        </w:rPr>
        <w:t>人</w:t>
      </w:r>
      <w:r>
        <w:rPr>
          <w:rFonts w:hint="eastAsia" w:ascii="黑体" w:eastAsia="黑体"/>
          <w:sz w:val="28"/>
        </w:rPr>
        <w:t>或其</w:t>
      </w:r>
      <w:r>
        <w:rPr>
          <w:rFonts w:hint="eastAsia" w:ascii="黑体" w:eastAsia="黑体"/>
          <w:spacing w:val="-3"/>
          <w:sz w:val="28"/>
        </w:rPr>
        <w:t>委</w:t>
      </w:r>
      <w:r>
        <w:rPr>
          <w:rFonts w:hint="eastAsia" w:ascii="黑体" w:eastAsia="黑体"/>
          <w:sz w:val="28"/>
        </w:rPr>
        <w:t>托代理</w:t>
      </w:r>
      <w:r>
        <w:rPr>
          <w:rFonts w:hint="eastAsia" w:ascii="黑体" w:eastAsia="黑体"/>
          <w:spacing w:val="-3"/>
          <w:sz w:val="28"/>
        </w:rPr>
        <w:t>人</w:t>
      </w:r>
      <w:r>
        <w:rPr>
          <w:rFonts w:hint="eastAsia" w:ascii="黑体" w:eastAsia="黑体"/>
          <w:spacing w:val="3"/>
          <w:sz w:val="28"/>
        </w:rPr>
        <w:t>：</w:t>
      </w:r>
      <w:r>
        <w:rPr>
          <w:rFonts w:hint="eastAsia" w:ascii="黑体" w:eastAsia="黑体"/>
          <w:spacing w:val="3"/>
          <w:sz w:val="28"/>
          <w:u w:val="single"/>
        </w:rPr>
        <w:t xml:space="preserve"> </w:t>
      </w:r>
      <w:r>
        <w:rPr>
          <w:rFonts w:hint="eastAsia" w:ascii="黑体" w:eastAsia="黑体"/>
          <w:spacing w:val="3"/>
          <w:sz w:val="28"/>
          <w:u w:val="single"/>
        </w:rPr>
        <w:tab/>
      </w:r>
      <w:r>
        <w:rPr>
          <w:rFonts w:hint="eastAsia" w:ascii="黑体" w:eastAsia="黑体"/>
          <w:sz w:val="28"/>
        </w:rPr>
        <w:t>（签字或</w:t>
      </w:r>
      <w:r>
        <w:rPr>
          <w:rFonts w:hint="eastAsia" w:ascii="黑体" w:eastAsia="黑体"/>
          <w:spacing w:val="-3"/>
          <w:sz w:val="28"/>
        </w:rPr>
        <w:t>盖章</w:t>
      </w:r>
      <w:r>
        <w:rPr>
          <w:rFonts w:hint="eastAsia" w:ascii="黑体" w:eastAsia="黑体"/>
          <w:sz w:val="28"/>
        </w:rPr>
        <w:t>）</w:t>
      </w:r>
    </w:p>
    <w:p>
      <w:pPr>
        <w:pStyle w:val="10"/>
        <w:spacing w:before="3"/>
        <w:rPr>
          <w:rFonts w:ascii="黑体"/>
          <w:sz w:val="15"/>
        </w:rPr>
      </w:pPr>
    </w:p>
    <w:p>
      <w:pPr>
        <w:tabs>
          <w:tab w:val="left" w:pos="5880"/>
        </w:tabs>
        <w:spacing w:before="71"/>
        <w:ind w:right="338"/>
        <w:jc w:val="center"/>
        <w:rPr>
          <w:rFonts w:ascii="黑体" w:eastAsia="黑体"/>
          <w:sz w:val="28"/>
        </w:rPr>
      </w:pPr>
      <w:r>
        <w:rPr>
          <w:rFonts w:hint="eastAsia" w:ascii="黑体" w:eastAsia="黑体"/>
          <w:sz w:val="28"/>
        </w:rPr>
        <w:t>项目经</w:t>
      </w:r>
      <w:r>
        <w:rPr>
          <w:rFonts w:hint="eastAsia" w:ascii="黑体" w:eastAsia="黑体"/>
          <w:spacing w:val="-3"/>
          <w:sz w:val="28"/>
        </w:rPr>
        <w:t>理</w:t>
      </w:r>
      <w:r>
        <w:rPr>
          <w:rFonts w:hint="eastAsia" w:ascii="黑体" w:eastAsia="黑体"/>
          <w:sz w:val="28"/>
        </w:rPr>
        <w:t>：</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（签字）</w:t>
      </w:r>
    </w:p>
    <w:p>
      <w:pPr>
        <w:tabs>
          <w:tab w:val="left" w:pos="5880"/>
        </w:tabs>
        <w:spacing w:before="71"/>
        <w:ind w:right="338"/>
        <w:jc w:val="center"/>
        <w:rPr>
          <w:rFonts w:ascii="黑体" w:eastAsia="黑体"/>
          <w:sz w:val="28"/>
        </w:rPr>
      </w:pPr>
      <w:r>
        <w:rPr>
          <w:rFonts w:hint="eastAsia" w:ascii="黑体" w:eastAsia="黑体"/>
          <w:sz w:val="28"/>
        </w:rPr>
        <w:t>施工负责人：</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（签字）</w:t>
      </w:r>
    </w:p>
    <w:p>
      <w:pPr>
        <w:pStyle w:val="10"/>
        <w:spacing w:before="2"/>
        <w:rPr>
          <w:rFonts w:ascii="黑体"/>
          <w:sz w:val="15"/>
        </w:rPr>
      </w:pPr>
    </w:p>
    <w:p>
      <w:pPr>
        <w:tabs>
          <w:tab w:val="left" w:pos="5880"/>
        </w:tabs>
        <w:spacing w:before="71"/>
        <w:ind w:right="338"/>
        <w:jc w:val="center"/>
        <w:rPr>
          <w:rFonts w:ascii="黑体" w:eastAsia="黑体"/>
          <w:sz w:val="28"/>
        </w:rPr>
      </w:pPr>
      <w:r>
        <w:rPr>
          <w:rFonts w:hint="eastAsia" w:ascii="黑体" w:eastAsia="黑体"/>
          <w:sz w:val="28"/>
        </w:rPr>
        <w:t>项目技</w:t>
      </w:r>
      <w:r>
        <w:rPr>
          <w:rFonts w:hint="eastAsia" w:ascii="黑体" w:eastAsia="黑体"/>
          <w:spacing w:val="-3"/>
          <w:sz w:val="28"/>
        </w:rPr>
        <w:t>术</w:t>
      </w:r>
      <w:r>
        <w:rPr>
          <w:rFonts w:hint="eastAsia" w:ascii="黑体" w:eastAsia="黑体"/>
          <w:sz w:val="28"/>
        </w:rPr>
        <w:t>负责</w:t>
      </w:r>
      <w:r>
        <w:rPr>
          <w:rFonts w:hint="eastAsia" w:ascii="黑体" w:eastAsia="黑体"/>
          <w:spacing w:val="-3"/>
          <w:sz w:val="28"/>
        </w:rPr>
        <w:t>人</w:t>
      </w:r>
      <w:r>
        <w:rPr>
          <w:rFonts w:hint="eastAsia" w:ascii="黑体" w:eastAsia="黑体"/>
          <w:spacing w:val="3"/>
          <w:sz w:val="28"/>
        </w:rPr>
        <w:t>：</w:t>
      </w:r>
      <w:r>
        <w:rPr>
          <w:rFonts w:hint="eastAsia" w:ascii="黑体" w:eastAsia="黑体"/>
          <w:spacing w:val="3"/>
          <w:sz w:val="28"/>
          <w:u w:val="single"/>
        </w:rPr>
        <w:t xml:space="preserve"> </w:t>
      </w:r>
      <w:r>
        <w:rPr>
          <w:rFonts w:hint="eastAsia" w:ascii="黑体" w:eastAsia="黑体"/>
          <w:spacing w:val="3"/>
          <w:sz w:val="28"/>
          <w:u w:val="single"/>
        </w:rPr>
        <w:tab/>
      </w:r>
      <w:r>
        <w:rPr>
          <w:rFonts w:hint="eastAsia" w:ascii="黑体" w:eastAsia="黑体"/>
          <w:sz w:val="28"/>
        </w:rPr>
        <w:t>（签字）</w:t>
      </w:r>
    </w:p>
    <w:p>
      <w:pPr>
        <w:pStyle w:val="10"/>
        <w:spacing w:before="12"/>
        <w:rPr>
          <w:rFonts w:ascii="黑体"/>
          <w:sz w:val="15"/>
        </w:rPr>
      </w:pPr>
    </w:p>
    <w:p>
      <w:pPr>
        <w:tabs>
          <w:tab w:val="left" w:pos="1118"/>
          <w:tab w:val="left" w:pos="2520"/>
          <w:tab w:val="left" w:pos="4059"/>
        </w:tabs>
        <w:spacing w:before="61"/>
        <w:ind w:right="343"/>
        <w:jc w:val="center"/>
        <w:rPr>
          <w:rFonts w:ascii="黑体" w:eastAsia="黑体"/>
          <w:sz w:val="28"/>
        </w:rPr>
      </w:pPr>
      <w:r>
        <w:rPr>
          <w:rFonts w:ascii="Times New Roman" w:eastAsia="Times New Roman"/>
          <w:sz w:val="28"/>
          <w:u w:val="single"/>
        </w:rPr>
        <w:t xml:space="preserve"> </w:t>
      </w:r>
      <w:r>
        <w:rPr>
          <w:rFonts w:ascii="Times New Roman" w:eastAsia="Times New Roman"/>
          <w:sz w:val="28"/>
          <w:u w:val="single"/>
        </w:rPr>
        <w:tab/>
      </w:r>
      <w:r>
        <w:rPr>
          <w:rFonts w:hint="eastAsia" w:ascii="黑体" w:eastAsia="黑体"/>
          <w:sz w:val="28"/>
        </w:rPr>
        <w:t>年</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月</w:t>
      </w:r>
      <w:r>
        <w:rPr>
          <w:rFonts w:hint="eastAsia" w:ascii="黑体" w:eastAsia="黑体"/>
          <w:sz w:val="28"/>
          <w:u w:val="single"/>
        </w:rPr>
        <w:t xml:space="preserve"> </w:t>
      </w:r>
      <w:r>
        <w:rPr>
          <w:rFonts w:hint="eastAsia" w:ascii="黑体" w:eastAsia="黑体"/>
          <w:sz w:val="28"/>
          <w:u w:val="single"/>
        </w:rPr>
        <w:tab/>
      </w:r>
      <w:r>
        <w:rPr>
          <w:rFonts w:hint="eastAsia" w:ascii="黑体" w:eastAsia="黑体"/>
          <w:sz w:val="28"/>
        </w:rPr>
        <w:t>日</w:t>
      </w:r>
    </w:p>
    <w:p>
      <w:pPr>
        <w:jc w:val="center"/>
        <w:rPr>
          <w:rFonts w:ascii="黑体" w:eastAsia="黑体"/>
          <w:sz w:val="28"/>
        </w:rPr>
        <w:sectPr>
          <w:pgSz w:w="11910" w:h="16840"/>
          <w:pgMar w:top="1440" w:right="580" w:bottom="1180" w:left="920" w:header="0" w:footer="995" w:gutter="0"/>
          <w:cols w:space="720" w:num="1"/>
        </w:sectPr>
      </w:pPr>
    </w:p>
    <w:p>
      <w:pPr>
        <w:pStyle w:val="10"/>
        <w:rPr>
          <w:rFonts w:ascii="黑体"/>
          <w:sz w:val="20"/>
        </w:rPr>
      </w:pPr>
    </w:p>
    <w:p>
      <w:pPr>
        <w:pStyle w:val="10"/>
        <w:spacing w:before="3"/>
        <w:rPr>
          <w:rFonts w:ascii="黑体"/>
          <w:sz w:val="23"/>
        </w:rPr>
      </w:pPr>
    </w:p>
    <w:p>
      <w:pPr>
        <w:tabs>
          <w:tab w:val="left" w:pos="964"/>
        </w:tabs>
        <w:spacing w:before="55"/>
        <w:ind w:right="340"/>
        <w:jc w:val="center"/>
        <w:rPr>
          <w:rFonts w:ascii="黑体" w:eastAsia="黑体"/>
          <w:b/>
          <w:sz w:val="32"/>
        </w:rPr>
      </w:pPr>
      <w:bookmarkStart w:id="378" w:name="_bookmark286"/>
      <w:bookmarkEnd w:id="378"/>
      <w:r>
        <w:rPr>
          <w:rFonts w:hint="eastAsia" w:ascii="黑体" w:eastAsia="黑体"/>
          <w:b/>
          <w:sz w:val="32"/>
        </w:rPr>
        <w:t>目</w:t>
      </w:r>
      <w:r>
        <w:rPr>
          <w:rFonts w:hint="eastAsia" w:ascii="黑体" w:eastAsia="黑体"/>
          <w:b/>
          <w:sz w:val="32"/>
        </w:rPr>
        <w:tab/>
      </w:r>
      <w:r>
        <w:rPr>
          <w:rFonts w:hint="eastAsia" w:ascii="黑体" w:eastAsia="黑体"/>
          <w:b/>
          <w:sz w:val="32"/>
        </w:rPr>
        <w:t>录</w:t>
      </w:r>
    </w:p>
    <w:p>
      <w:pPr>
        <w:tabs>
          <w:tab w:val="left" w:pos="964"/>
        </w:tabs>
        <w:spacing w:before="55"/>
        <w:ind w:right="340"/>
        <w:rPr>
          <w:rFonts w:ascii="黑体" w:eastAsia="黑体"/>
          <w:b/>
          <w:sz w:val="32"/>
        </w:rPr>
      </w:pPr>
    </w:p>
    <w:p>
      <w:pPr>
        <w:tabs>
          <w:tab w:val="left" w:pos="964"/>
        </w:tabs>
        <w:spacing w:before="55"/>
        <w:ind w:right="340"/>
        <w:jc w:val="center"/>
        <w:rPr>
          <w:rFonts w:ascii="黑体" w:eastAsia="黑体"/>
          <w:b/>
          <w:sz w:val="32"/>
        </w:rPr>
      </w:pPr>
    </w:p>
    <w:p>
      <w:pPr>
        <w:pStyle w:val="10"/>
        <w:rPr>
          <w:rFonts w:ascii="黑体"/>
          <w:b/>
          <w:sz w:val="20"/>
        </w:rPr>
      </w:pPr>
    </w:p>
    <w:p>
      <w:pPr>
        <w:pStyle w:val="10"/>
        <w:spacing w:before="4"/>
        <w:rPr>
          <w:rFonts w:ascii="黑体"/>
          <w:b/>
          <w:sz w:val="20"/>
        </w:rPr>
      </w:pPr>
    </w:p>
    <w:p>
      <w:pPr>
        <w:pStyle w:val="10"/>
        <w:spacing w:before="71" w:line="482" w:lineRule="auto"/>
        <w:ind w:left="210" w:right="210"/>
      </w:pPr>
      <w:r>
        <w:t>一、投标函及投标函附录</w:t>
      </w:r>
    </w:p>
    <w:p>
      <w:pPr>
        <w:pStyle w:val="10"/>
        <w:spacing w:before="71" w:line="482" w:lineRule="auto"/>
        <w:ind w:left="210" w:right="210"/>
      </w:pPr>
      <w:r>
        <w:t>二、</w:t>
      </w:r>
      <w:r>
        <w:rPr>
          <w:spacing w:val="-3"/>
        </w:rPr>
        <w:t>法定代表人身份证明或附有法定代表人身份证明的授权委托书</w:t>
      </w:r>
    </w:p>
    <w:p>
      <w:pPr>
        <w:pStyle w:val="10"/>
        <w:spacing w:before="71" w:line="482" w:lineRule="auto"/>
        <w:ind w:left="212" w:right="7877"/>
      </w:pPr>
      <w:r>
        <w:rPr>
          <w:rFonts w:hint="eastAsia"/>
        </w:rPr>
        <w:t>三</w:t>
      </w:r>
      <w:r>
        <w:t>、联合体协议书（如有）</w:t>
      </w:r>
    </w:p>
    <w:p>
      <w:pPr>
        <w:pStyle w:val="10"/>
        <w:spacing w:line="482" w:lineRule="auto"/>
        <w:ind w:left="212" w:right="2310"/>
      </w:pPr>
      <w:r>
        <w:rPr>
          <w:rFonts w:hint="eastAsia"/>
          <w:spacing w:val="-3"/>
        </w:rPr>
        <w:t>四</w:t>
      </w:r>
      <w:r>
        <w:rPr>
          <w:spacing w:val="-3"/>
        </w:rPr>
        <w:t>、投标保证金</w:t>
      </w:r>
      <w:r>
        <w:t>（</w:t>
      </w:r>
      <w:r>
        <w:rPr>
          <w:spacing w:val="-3"/>
        </w:rPr>
        <w:t>注：联合体投标的由牵头人提供</w:t>
      </w:r>
      <w:r>
        <w:rPr>
          <w:spacing w:val="-108"/>
        </w:rPr>
        <w:t>）</w:t>
      </w:r>
      <w:r>
        <w:t>（</w:t>
      </w:r>
      <w:r>
        <w:rPr>
          <w:spacing w:val="-3"/>
        </w:rPr>
        <w:t>附投标保证金的递交证明文件</w:t>
      </w:r>
      <w:r>
        <w:t>）</w:t>
      </w:r>
      <w:r>
        <w:rPr>
          <w:rFonts w:hint="eastAsia"/>
          <w:spacing w:val="-3"/>
        </w:rPr>
        <w:t>五</w:t>
      </w:r>
      <w:r>
        <w:rPr>
          <w:spacing w:val="-3"/>
        </w:rPr>
        <w:t>、</w:t>
      </w:r>
      <w:r>
        <w:t>资格审查资料</w:t>
      </w:r>
    </w:p>
    <w:p>
      <w:pPr>
        <w:pStyle w:val="10"/>
        <w:spacing w:line="268" w:lineRule="exact"/>
        <w:ind w:left="212"/>
      </w:pPr>
      <w:r>
        <w:rPr>
          <w:rFonts w:hint="eastAsia"/>
        </w:rPr>
        <w:t>六</w:t>
      </w:r>
      <w:r>
        <w:t>、技术或商务评审材料及其他资料</w:t>
      </w:r>
    </w:p>
    <w:p>
      <w:pPr>
        <w:pStyle w:val="10"/>
        <w:spacing w:line="268" w:lineRule="exact"/>
        <w:ind w:left="212"/>
      </w:pPr>
    </w:p>
    <w:p>
      <w:pPr>
        <w:sectPr>
          <w:footerReference r:id="rId10" w:type="default"/>
          <w:pgSz w:w="11910" w:h="16840"/>
          <w:pgMar w:top="1580" w:right="580" w:bottom="1180" w:left="920" w:header="0" w:footer="995" w:gutter="0"/>
          <w:pgNumType w:start="148"/>
          <w:cols w:space="720" w:num="1"/>
        </w:sectPr>
      </w:pPr>
    </w:p>
    <w:p>
      <w:pPr>
        <w:pStyle w:val="10"/>
        <w:rPr>
          <w:sz w:val="12"/>
        </w:rPr>
      </w:pPr>
    </w:p>
    <w:p>
      <w:pPr>
        <w:pStyle w:val="3"/>
        <w:spacing w:before="29"/>
        <w:ind w:left="0" w:right="338" w:firstLine="0"/>
        <w:jc w:val="center"/>
      </w:pPr>
      <w:bookmarkStart w:id="379" w:name="_bookmark287"/>
      <w:bookmarkEnd w:id="379"/>
      <w:bookmarkStart w:id="380" w:name="_Toc37926098"/>
      <w:r>
        <w:rPr>
          <w:rFonts w:hint="eastAsia"/>
        </w:rPr>
        <w:t>一、投标函及投标函附录</w:t>
      </w:r>
      <w:bookmarkEnd w:id="380"/>
    </w:p>
    <w:p>
      <w:pPr>
        <w:pStyle w:val="10"/>
        <w:rPr>
          <w:rFonts w:ascii="黑体"/>
          <w:b/>
          <w:sz w:val="20"/>
        </w:rPr>
      </w:pPr>
    </w:p>
    <w:p>
      <w:pPr>
        <w:pStyle w:val="10"/>
        <w:spacing w:before="7"/>
        <w:rPr>
          <w:rFonts w:ascii="黑体"/>
          <w:b/>
          <w:sz w:val="14"/>
        </w:rPr>
      </w:pPr>
    </w:p>
    <w:p>
      <w:pPr>
        <w:pStyle w:val="4"/>
      </w:pPr>
      <w:bookmarkStart w:id="381" w:name="_bookmark288"/>
      <w:bookmarkEnd w:id="381"/>
      <w:bookmarkStart w:id="382" w:name="_Toc37926099"/>
      <w:r>
        <w:t>（一）投标函</w:t>
      </w:r>
      <w:bookmarkEnd w:id="382"/>
    </w:p>
    <w:p>
      <w:pPr>
        <w:pStyle w:val="10"/>
        <w:spacing w:before="7"/>
        <w:rPr>
          <w:rFonts w:ascii="黑体"/>
          <w:sz w:val="41"/>
        </w:rPr>
      </w:pPr>
    </w:p>
    <w:p>
      <w:pPr>
        <w:pStyle w:val="10"/>
        <w:tabs>
          <w:tab w:val="left" w:pos="2733"/>
        </w:tabs>
        <w:ind w:left="212"/>
      </w:pPr>
      <w:r>
        <w:rPr>
          <w:rFonts w:ascii="Times New Roman" w:eastAsia="Times New Roman"/>
          <w:u w:val="single"/>
        </w:rPr>
        <w:t xml:space="preserve"> </w:t>
      </w:r>
      <w:r>
        <w:rPr>
          <w:rFonts w:ascii="Times New Roman" w:eastAsia="Times New Roman"/>
          <w:u w:val="single"/>
        </w:rPr>
        <w:tab/>
      </w:r>
      <w:r>
        <w:t>（</w:t>
      </w:r>
      <w:r>
        <w:rPr>
          <w:spacing w:val="-3"/>
        </w:rPr>
        <w:t>招标人名称</w:t>
      </w:r>
      <w:r>
        <w:rPr>
          <w:spacing w:val="-108"/>
        </w:rPr>
        <w:t>）</w:t>
      </w:r>
      <w:r>
        <w:t>：</w:t>
      </w:r>
    </w:p>
    <w:p>
      <w:pPr>
        <w:pStyle w:val="35"/>
        <w:numPr>
          <w:ilvl w:val="0"/>
          <w:numId w:val="107"/>
        </w:numPr>
        <w:tabs>
          <w:tab w:val="left" w:pos="952"/>
          <w:tab w:val="left" w:pos="3378"/>
          <w:tab w:val="left" w:pos="4099"/>
          <w:tab w:val="left" w:pos="4204"/>
          <w:tab w:val="left" w:pos="5988"/>
          <w:tab w:val="left" w:pos="6691"/>
          <w:tab w:val="left" w:pos="7354"/>
          <w:tab w:val="left" w:pos="9003"/>
        </w:tabs>
        <w:spacing w:before="170" w:line="391" w:lineRule="auto"/>
        <w:ind w:left="633" w:right="1153" w:hanging="421"/>
        <w:jc w:val="both"/>
      </w:pPr>
      <w:r>
        <w:rPr>
          <w:spacing w:val="-3"/>
          <w:sz w:val="21"/>
        </w:rPr>
        <w:t>我</w:t>
      </w:r>
      <w:r>
        <w:rPr>
          <w:sz w:val="21"/>
        </w:rPr>
        <w:t>方</w:t>
      </w:r>
      <w:r>
        <w:rPr>
          <w:spacing w:val="-3"/>
          <w:sz w:val="21"/>
        </w:rPr>
        <w:t>已</w:t>
      </w:r>
      <w:r>
        <w:rPr>
          <w:sz w:val="21"/>
        </w:rPr>
        <w:t>仔</w:t>
      </w:r>
      <w:r>
        <w:rPr>
          <w:spacing w:val="-3"/>
          <w:sz w:val="21"/>
        </w:rPr>
        <w:t>细</w:t>
      </w:r>
      <w:r>
        <w:rPr>
          <w:sz w:val="21"/>
        </w:rPr>
        <w:t>研</w:t>
      </w:r>
      <w:r>
        <w:rPr>
          <w:spacing w:val="-3"/>
          <w:sz w:val="21"/>
        </w:rPr>
        <w:t>究</w:t>
      </w:r>
      <w:r>
        <w:rPr>
          <w:sz w:val="21"/>
        </w:rPr>
        <w:t>了</w:t>
      </w:r>
      <w:r>
        <w:rPr>
          <w:sz w:val="21"/>
          <w:u w:val="single"/>
        </w:rPr>
        <w:t xml:space="preserve"> </w:t>
      </w:r>
      <w:r>
        <w:rPr>
          <w:sz w:val="21"/>
          <w:u w:val="single"/>
        </w:rPr>
        <w:tab/>
      </w:r>
      <w:r>
        <w:rPr>
          <w:sz w:val="21"/>
          <w:u w:val="single"/>
        </w:rPr>
        <w:tab/>
      </w:r>
      <w:r>
        <w:rPr>
          <w:sz w:val="21"/>
          <w:u w:val="single"/>
        </w:rPr>
        <w:tab/>
      </w:r>
      <w:r>
        <w:rPr>
          <w:spacing w:val="-3"/>
          <w:sz w:val="21"/>
        </w:rPr>
        <w:t>（</w:t>
      </w:r>
      <w:r>
        <w:rPr>
          <w:sz w:val="21"/>
        </w:rPr>
        <w:t>项</w:t>
      </w:r>
      <w:r>
        <w:rPr>
          <w:spacing w:val="-3"/>
          <w:sz w:val="21"/>
        </w:rPr>
        <w:t>目</w:t>
      </w:r>
      <w:r>
        <w:rPr>
          <w:sz w:val="21"/>
        </w:rPr>
        <w:t>名</w:t>
      </w:r>
      <w:r>
        <w:rPr>
          <w:spacing w:val="-3"/>
          <w:sz w:val="21"/>
        </w:rPr>
        <w:t>称）</w:t>
      </w:r>
      <w:r>
        <w:rPr>
          <w:sz w:val="21"/>
        </w:rPr>
        <w:t>设</w:t>
      </w:r>
      <w:r>
        <w:rPr>
          <w:spacing w:val="-3"/>
          <w:sz w:val="21"/>
        </w:rPr>
        <w:t>计</w:t>
      </w:r>
      <w:r>
        <w:rPr>
          <w:sz w:val="21"/>
        </w:rPr>
        <w:t>、</w:t>
      </w:r>
      <w:r>
        <w:rPr>
          <w:spacing w:val="-3"/>
          <w:sz w:val="21"/>
        </w:rPr>
        <w:t>施</w:t>
      </w:r>
      <w:r>
        <w:rPr>
          <w:sz w:val="21"/>
        </w:rPr>
        <w:t>工</w:t>
      </w:r>
      <w:r>
        <w:rPr>
          <w:spacing w:val="-3"/>
          <w:sz w:val="21"/>
        </w:rPr>
        <w:t>总</w:t>
      </w:r>
      <w:r>
        <w:rPr>
          <w:sz w:val="21"/>
        </w:rPr>
        <w:t>承</w:t>
      </w:r>
      <w:r>
        <w:rPr>
          <w:spacing w:val="-3"/>
          <w:sz w:val="21"/>
        </w:rPr>
        <w:t>包</w:t>
      </w:r>
      <w:r>
        <w:rPr>
          <w:sz w:val="21"/>
        </w:rPr>
        <w:t>招标</w:t>
      </w:r>
      <w:r>
        <w:rPr>
          <w:spacing w:val="-3"/>
          <w:sz w:val="21"/>
        </w:rPr>
        <w:t>文</w:t>
      </w:r>
      <w:r>
        <w:rPr>
          <w:sz w:val="21"/>
        </w:rPr>
        <w:t>件</w:t>
      </w:r>
      <w:r>
        <w:rPr>
          <w:spacing w:val="-3"/>
          <w:sz w:val="21"/>
        </w:rPr>
        <w:t>的</w:t>
      </w:r>
      <w:r>
        <w:rPr>
          <w:sz w:val="21"/>
        </w:rPr>
        <w:t>全</w:t>
      </w:r>
      <w:r>
        <w:rPr>
          <w:spacing w:val="-3"/>
          <w:sz w:val="21"/>
        </w:rPr>
        <w:t>部</w:t>
      </w:r>
      <w:r>
        <w:rPr>
          <w:sz w:val="21"/>
        </w:rPr>
        <w:t>内</w:t>
      </w:r>
      <w:r>
        <w:rPr>
          <w:spacing w:val="-3"/>
          <w:sz w:val="21"/>
        </w:rPr>
        <w:t>容</w:t>
      </w:r>
      <w:r>
        <w:rPr>
          <w:sz w:val="21"/>
        </w:rPr>
        <w:t>， 愿意</w:t>
      </w:r>
      <w:r>
        <w:rPr>
          <w:spacing w:val="-3"/>
          <w:sz w:val="21"/>
        </w:rPr>
        <w:t>以</w:t>
      </w:r>
      <w:r>
        <w:rPr>
          <w:sz w:val="21"/>
        </w:rPr>
        <w:t>人</w:t>
      </w:r>
      <w:r>
        <w:rPr>
          <w:spacing w:val="-3"/>
          <w:sz w:val="21"/>
        </w:rPr>
        <w:t>民</w:t>
      </w:r>
      <w:r>
        <w:rPr>
          <w:sz w:val="21"/>
        </w:rPr>
        <w:t>币</w:t>
      </w:r>
      <w:r>
        <w:rPr>
          <w:spacing w:val="-3"/>
          <w:sz w:val="21"/>
        </w:rPr>
        <w:t>（</w:t>
      </w:r>
      <w:r>
        <w:rPr>
          <w:sz w:val="21"/>
        </w:rPr>
        <w:t>大</w:t>
      </w:r>
      <w:r>
        <w:rPr>
          <w:spacing w:val="-3"/>
          <w:sz w:val="21"/>
        </w:rPr>
        <w:t>写</w:t>
      </w:r>
      <w:r>
        <w:rPr>
          <w:sz w:val="21"/>
        </w:rPr>
        <w:t>）</w:t>
      </w:r>
      <w:r>
        <w:rPr>
          <w:sz w:val="21"/>
          <w:u w:val="single"/>
        </w:rPr>
        <w:t xml:space="preserve"> </w:t>
      </w:r>
      <w:r>
        <w:rPr>
          <w:sz w:val="21"/>
          <w:u w:val="single"/>
        </w:rPr>
        <w:tab/>
      </w:r>
      <w:r>
        <w:rPr>
          <w:sz w:val="21"/>
          <w:u w:val="single"/>
        </w:rPr>
        <w:tab/>
      </w:r>
      <w:r>
        <w:rPr>
          <w:sz w:val="21"/>
        </w:rPr>
        <w:t>（</w:t>
      </w:r>
      <w:r>
        <w:rPr>
          <w:rFonts w:ascii="Times New Roman" w:hAnsi="Times New Roman" w:eastAsia="Times New Roman"/>
          <w:sz w:val="21"/>
        </w:rPr>
        <w:t>¥</w:t>
      </w:r>
      <w:r>
        <w:rPr>
          <w:rFonts w:ascii="Times New Roman" w:hAnsi="Times New Roman" w:eastAsia="Times New Roman"/>
          <w:sz w:val="21"/>
          <w:u w:val="single"/>
        </w:rPr>
        <w:t xml:space="preserve"> </w:t>
      </w:r>
      <w:r>
        <w:rPr>
          <w:rFonts w:ascii="Times New Roman" w:hAnsi="Times New Roman" w:eastAsia="Times New Roman"/>
          <w:sz w:val="21"/>
          <w:u w:val="single"/>
        </w:rPr>
        <w:tab/>
      </w:r>
      <w:r>
        <w:rPr>
          <w:sz w:val="21"/>
        </w:rPr>
        <w:t>）</w:t>
      </w:r>
      <w:r>
        <w:rPr>
          <w:spacing w:val="-3"/>
          <w:sz w:val="21"/>
        </w:rPr>
        <w:t>的</w:t>
      </w:r>
      <w:r>
        <w:rPr>
          <w:sz w:val="21"/>
        </w:rPr>
        <w:t>投</w:t>
      </w:r>
      <w:r>
        <w:rPr>
          <w:spacing w:val="-3"/>
          <w:sz w:val="21"/>
        </w:rPr>
        <w:t>标</w:t>
      </w:r>
      <w:r>
        <w:rPr>
          <w:sz w:val="21"/>
        </w:rPr>
        <w:t>总</w:t>
      </w:r>
      <w:r>
        <w:rPr>
          <w:spacing w:val="-3"/>
          <w:sz w:val="21"/>
        </w:rPr>
        <w:t>报价</w:t>
      </w:r>
      <w:r>
        <w:rPr>
          <w:sz w:val="21"/>
        </w:rPr>
        <w:t>（</w:t>
      </w:r>
      <w:r>
        <w:rPr>
          <w:spacing w:val="6"/>
          <w:sz w:val="21"/>
        </w:rPr>
        <w:t>投标下浮</w:t>
      </w:r>
      <w:r>
        <w:rPr>
          <w:sz w:val="21"/>
        </w:rPr>
        <w:t>率为</w:t>
      </w:r>
      <w:r>
        <w:rPr>
          <w:rFonts w:ascii="Times New Roman" w:hAnsi="Times New Roman" w:eastAsia="Times New Roman"/>
          <w:sz w:val="21"/>
          <w:u w:val="single"/>
        </w:rPr>
        <w:t xml:space="preserve">       </w:t>
      </w:r>
      <w:r>
        <w:rPr>
          <w:rFonts w:ascii="Times New Roman" w:hAnsi="Times New Roman" w:eastAsia="Times New Roman"/>
          <w:spacing w:val="-1"/>
          <w:sz w:val="21"/>
          <w:u w:val="single"/>
        </w:rPr>
        <w:t xml:space="preserve"> %</w:t>
      </w:r>
      <w:r>
        <w:rPr>
          <w:spacing w:val="-106"/>
          <w:sz w:val="21"/>
        </w:rPr>
        <w:t>）</w:t>
      </w:r>
      <w:r>
        <w:rPr>
          <w:spacing w:val="-3"/>
          <w:sz w:val="21"/>
        </w:rPr>
        <w:t>。</w:t>
      </w:r>
      <w:r>
        <w:rPr>
          <w:sz w:val="21"/>
        </w:rPr>
        <w:t>总</w:t>
      </w:r>
      <w:r>
        <w:rPr>
          <w:spacing w:val="-3"/>
          <w:sz w:val="21"/>
        </w:rPr>
        <w:t>工</w:t>
      </w:r>
      <w:r>
        <w:rPr>
          <w:spacing w:val="-1"/>
          <w:sz w:val="21"/>
        </w:rPr>
        <w:t>期</w:t>
      </w:r>
      <w:r>
        <w:rPr>
          <w:rFonts w:ascii="Times New Roman" w:hAnsi="Times New Roman" w:eastAsia="Times New Roman"/>
          <w:sz w:val="21"/>
          <w:u w:val="single"/>
        </w:rPr>
        <w:t xml:space="preserve"> </w:t>
      </w:r>
      <w:r>
        <w:rPr>
          <w:rFonts w:hint="eastAsia" w:ascii="Times New Roman" w:hAnsi="Times New Roman" w:eastAsiaTheme="minorEastAsia"/>
          <w:sz w:val="21"/>
          <w:u w:val="single"/>
        </w:rPr>
        <w:t xml:space="preserve">   </w:t>
      </w:r>
      <w:r>
        <w:rPr>
          <w:rFonts w:ascii="Times New Roman" w:hAnsi="Times New Roman" w:eastAsia="Times New Roman"/>
          <w:spacing w:val="5"/>
          <w:sz w:val="21"/>
        </w:rPr>
        <w:t xml:space="preserve"> </w:t>
      </w:r>
      <w:r>
        <w:rPr>
          <w:spacing w:val="-3"/>
          <w:sz w:val="21"/>
        </w:rPr>
        <w:t>日</w:t>
      </w:r>
      <w:r>
        <w:rPr>
          <w:sz w:val="21"/>
        </w:rPr>
        <w:t>历</w:t>
      </w:r>
      <w:r>
        <w:rPr>
          <w:spacing w:val="-3"/>
          <w:sz w:val="21"/>
        </w:rPr>
        <w:t>天</w:t>
      </w:r>
      <w:r>
        <w:rPr>
          <w:spacing w:val="-8"/>
          <w:sz w:val="21"/>
        </w:rPr>
        <w:t>，</w:t>
      </w:r>
      <w:r>
        <w:t>按合</w:t>
      </w:r>
      <w:r>
        <w:rPr>
          <w:spacing w:val="-3"/>
        </w:rPr>
        <w:t>同</w:t>
      </w:r>
      <w:r>
        <w:t>约</w:t>
      </w:r>
      <w:r>
        <w:rPr>
          <w:spacing w:val="-3"/>
        </w:rPr>
        <w:t>定</w:t>
      </w:r>
      <w:r>
        <w:t>进</w:t>
      </w:r>
      <w:r>
        <w:rPr>
          <w:spacing w:val="-3"/>
        </w:rPr>
        <w:t>行设</w:t>
      </w:r>
      <w:r>
        <w:t>计、</w:t>
      </w:r>
      <w:r>
        <w:rPr>
          <w:spacing w:val="-3"/>
        </w:rPr>
        <w:t>施</w:t>
      </w:r>
      <w:r>
        <w:t>工</w:t>
      </w:r>
      <w:r>
        <w:rPr>
          <w:spacing w:val="-3"/>
        </w:rPr>
        <w:t>总</w:t>
      </w:r>
      <w:r>
        <w:t>承</w:t>
      </w:r>
      <w:r>
        <w:rPr>
          <w:spacing w:val="-3"/>
        </w:rPr>
        <w:t>包</w:t>
      </w:r>
      <w:r>
        <w:t>工</w:t>
      </w:r>
      <w:r>
        <w:rPr>
          <w:spacing w:val="-3"/>
        </w:rPr>
        <w:t>程</w:t>
      </w:r>
      <w:r>
        <w:t>，</w:t>
      </w:r>
      <w:r>
        <w:rPr>
          <w:spacing w:val="-3"/>
        </w:rPr>
        <w:t>修</w:t>
      </w:r>
      <w:r>
        <w:t>补工</w:t>
      </w:r>
      <w:r>
        <w:rPr>
          <w:spacing w:val="-3"/>
        </w:rPr>
        <w:t>程</w:t>
      </w:r>
      <w:r>
        <w:t>中</w:t>
      </w:r>
      <w:r>
        <w:rPr>
          <w:spacing w:val="-3"/>
        </w:rPr>
        <w:t>的</w:t>
      </w:r>
      <w:r>
        <w:t>任</w:t>
      </w:r>
      <w:r>
        <w:rPr>
          <w:spacing w:val="-3"/>
        </w:rPr>
        <w:t>何</w:t>
      </w:r>
      <w:r>
        <w:t>缺</w:t>
      </w:r>
      <w:r>
        <w:rPr>
          <w:spacing w:val="-3"/>
        </w:rPr>
        <w:t>陷</w:t>
      </w:r>
      <w:r>
        <w:t>，</w:t>
      </w:r>
      <w:r>
        <w:rPr>
          <w:spacing w:val="-3"/>
        </w:rPr>
        <w:t>达</w:t>
      </w:r>
      <w:r>
        <w:t>到以</w:t>
      </w:r>
      <w:r>
        <w:rPr>
          <w:spacing w:val="-3"/>
        </w:rPr>
        <w:t>下</w:t>
      </w:r>
      <w:r>
        <w:t>工</w:t>
      </w:r>
      <w:r>
        <w:rPr>
          <w:spacing w:val="-3"/>
        </w:rPr>
        <w:t>程</w:t>
      </w:r>
      <w:r>
        <w:t>质</w:t>
      </w:r>
      <w:r>
        <w:rPr>
          <w:spacing w:val="-3"/>
        </w:rPr>
        <w:t>量</w:t>
      </w:r>
      <w:r>
        <w:t>标</w:t>
      </w:r>
      <w:r>
        <w:rPr>
          <w:spacing w:val="-3"/>
        </w:rPr>
        <w:t>准</w:t>
      </w:r>
      <w:r>
        <w:t xml:space="preserve">： </w:t>
      </w:r>
    </w:p>
    <w:p>
      <w:pPr>
        <w:pStyle w:val="10"/>
        <w:tabs>
          <w:tab w:val="left" w:pos="7354"/>
        </w:tabs>
        <w:spacing w:line="268" w:lineRule="exact"/>
        <w:ind w:left="633"/>
      </w:pPr>
      <w:r>
        <w:t>设计</w:t>
      </w:r>
      <w:r>
        <w:rPr>
          <w:spacing w:val="-3"/>
        </w:rPr>
        <w:t>工</w:t>
      </w:r>
      <w:r>
        <w:t>程</w:t>
      </w:r>
      <w:r>
        <w:rPr>
          <w:spacing w:val="-3"/>
        </w:rPr>
        <w:t>质</w:t>
      </w:r>
      <w:r>
        <w:t>量</w:t>
      </w:r>
      <w:r>
        <w:rPr>
          <w:spacing w:val="-3"/>
        </w:rPr>
        <w:t>：</w:t>
      </w:r>
      <w:r>
        <w:rPr>
          <w:spacing w:val="-3"/>
          <w:u w:val="single"/>
        </w:rPr>
        <w:t xml:space="preserve"> </w:t>
      </w:r>
      <w:r>
        <w:rPr>
          <w:spacing w:val="-3"/>
          <w:u w:val="single"/>
        </w:rPr>
        <w:tab/>
      </w:r>
      <w:r>
        <w:t>；</w:t>
      </w:r>
    </w:p>
    <w:p>
      <w:pPr>
        <w:pStyle w:val="10"/>
        <w:tabs>
          <w:tab w:val="left" w:pos="7459"/>
        </w:tabs>
        <w:spacing w:before="172"/>
        <w:ind w:left="633"/>
      </w:pPr>
      <w:r>
        <w:t>施工</w:t>
      </w:r>
      <w:r>
        <w:rPr>
          <w:spacing w:val="-3"/>
        </w:rPr>
        <w:t>工</w:t>
      </w:r>
      <w:r>
        <w:t>程</w:t>
      </w:r>
      <w:r>
        <w:rPr>
          <w:spacing w:val="-3"/>
        </w:rPr>
        <w:t>质</w:t>
      </w:r>
      <w:r>
        <w:t>量</w:t>
      </w:r>
      <w:r>
        <w:rPr>
          <w:spacing w:val="-3"/>
        </w:rPr>
        <w:t>：</w:t>
      </w:r>
      <w:r>
        <w:rPr>
          <w:spacing w:val="-3"/>
          <w:u w:val="single"/>
        </w:rPr>
        <w:t xml:space="preserve"> </w:t>
      </w:r>
      <w:r>
        <w:rPr>
          <w:spacing w:val="-3"/>
          <w:u w:val="single"/>
        </w:rPr>
        <w:tab/>
      </w:r>
      <w:r>
        <w:t>。</w:t>
      </w:r>
    </w:p>
    <w:p>
      <w:pPr>
        <w:pStyle w:val="35"/>
        <w:numPr>
          <w:ilvl w:val="0"/>
          <w:numId w:val="107"/>
        </w:numPr>
        <w:tabs>
          <w:tab w:val="left" w:pos="952"/>
          <w:tab w:val="left" w:pos="5044"/>
        </w:tabs>
        <w:spacing w:before="170"/>
        <w:ind w:left="951" w:hanging="319"/>
        <w:rPr>
          <w:sz w:val="21"/>
        </w:rPr>
      </w:pPr>
      <w:r>
        <w:rPr>
          <w:spacing w:val="-3"/>
          <w:sz w:val="21"/>
        </w:rPr>
        <w:t>我</w:t>
      </w:r>
      <w:r>
        <w:rPr>
          <w:sz w:val="21"/>
        </w:rPr>
        <w:t>方</w:t>
      </w:r>
      <w:r>
        <w:rPr>
          <w:spacing w:val="-3"/>
          <w:sz w:val="21"/>
        </w:rPr>
        <w:t>承</w:t>
      </w:r>
      <w:r>
        <w:rPr>
          <w:sz w:val="21"/>
        </w:rPr>
        <w:t>诺</w:t>
      </w:r>
      <w:r>
        <w:rPr>
          <w:spacing w:val="-3"/>
          <w:sz w:val="21"/>
        </w:rPr>
        <w:t>在</w:t>
      </w:r>
      <w:r>
        <w:rPr>
          <w:sz w:val="21"/>
        </w:rPr>
        <w:t>招</w:t>
      </w:r>
      <w:r>
        <w:rPr>
          <w:spacing w:val="-3"/>
          <w:sz w:val="21"/>
        </w:rPr>
        <w:t>标</w:t>
      </w:r>
      <w:r>
        <w:rPr>
          <w:sz w:val="21"/>
        </w:rPr>
        <w:t>文</w:t>
      </w:r>
      <w:r>
        <w:rPr>
          <w:spacing w:val="-3"/>
          <w:sz w:val="21"/>
        </w:rPr>
        <w:t>件规</w:t>
      </w:r>
      <w:r>
        <w:rPr>
          <w:sz w:val="21"/>
        </w:rPr>
        <w:t>定的</w:t>
      </w:r>
      <w:r>
        <w:rPr>
          <w:spacing w:val="-3"/>
          <w:sz w:val="21"/>
        </w:rPr>
        <w:t>投</w:t>
      </w:r>
      <w:r>
        <w:rPr>
          <w:sz w:val="21"/>
        </w:rPr>
        <w:t>标</w:t>
      </w:r>
      <w:r>
        <w:rPr>
          <w:spacing w:val="-3"/>
          <w:sz w:val="21"/>
        </w:rPr>
        <w:t>有</w:t>
      </w:r>
      <w:r>
        <w:rPr>
          <w:sz w:val="21"/>
        </w:rPr>
        <w:t>效</w:t>
      </w:r>
      <w:r>
        <w:rPr>
          <w:spacing w:val="-3"/>
          <w:sz w:val="21"/>
        </w:rPr>
        <w:t>期</w:t>
      </w:r>
      <w:r>
        <w:rPr>
          <w:spacing w:val="-3"/>
          <w:sz w:val="21"/>
          <w:u w:val="single"/>
        </w:rPr>
        <w:t xml:space="preserve"> </w:t>
      </w:r>
      <w:r>
        <w:rPr>
          <w:rFonts w:hint="eastAsia"/>
          <w:spacing w:val="-3"/>
          <w:sz w:val="21"/>
          <w:u w:val="single"/>
        </w:rPr>
        <w:t xml:space="preserve">      </w:t>
      </w:r>
      <w:r>
        <w:rPr>
          <w:spacing w:val="-3"/>
          <w:sz w:val="21"/>
          <w:u w:val="single"/>
        </w:rPr>
        <w:tab/>
      </w:r>
      <w:r>
        <w:rPr>
          <w:spacing w:val="-3"/>
          <w:sz w:val="21"/>
        </w:rPr>
        <w:t>天内</w:t>
      </w:r>
      <w:r>
        <w:rPr>
          <w:sz w:val="21"/>
        </w:rPr>
        <w:t>不修</w:t>
      </w:r>
      <w:r>
        <w:rPr>
          <w:spacing w:val="-3"/>
          <w:sz w:val="21"/>
        </w:rPr>
        <w:t>改</w:t>
      </w:r>
      <w:r>
        <w:rPr>
          <w:sz w:val="21"/>
        </w:rPr>
        <w:t>、</w:t>
      </w:r>
      <w:r>
        <w:rPr>
          <w:spacing w:val="-3"/>
          <w:sz w:val="21"/>
        </w:rPr>
        <w:t>撤</w:t>
      </w:r>
      <w:r>
        <w:rPr>
          <w:sz w:val="21"/>
        </w:rPr>
        <w:t>销</w:t>
      </w:r>
      <w:r>
        <w:rPr>
          <w:spacing w:val="-3"/>
          <w:sz w:val="21"/>
        </w:rPr>
        <w:t>投</w:t>
      </w:r>
      <w:r>
        <w:rPr>
          <w:sz w:val="21"/>
        </w:rPr>
        <w:t>标</w:t>
      </w:r>
      <w:r>
        <w:rPr>
          <w:spacing w:val="-3"/>
          <w:sz w:val="21"/>
        </w:rPr>
        <w:t>文</w:t>
      </w:r>
      <w:r>
        <w:rPr>
          <w:sz w:val="21"/>
        </w:rPr>
        <w:t>件。</w:t>
      </w:r>
    </w:p>
    <w:p>
      <w:pPr>
        <w:pStyle w:val="35"/>
        <w:numPr>
          <w:ilvl w:val="0"/>
          <w:numId w:val="107"/>
        </w:numPr>
        <w:tabs>
          <w:tab w:val="left" w:pos="952"/>
          <w:tab w:val="left" w:pos="7250"/>
          <w:tab w:val="left" w:pos="8244"/>
        </w:tabs>
        <w:spacing w:before="171"/>
        <w:ind w:left="951" w:hanging="319"/>
        <w:rPr>
          <w:sz w:val="21"/>
        </w:rPr>
      </w:pPr>
      <w:r>
        <w:rPr>
          <w:spacing w:val="-3"/>
          <w:sz w:val="21"/>
        </w:rPr>
        <w:t>随</w:t>
      </w:r>
      <w:r>
        <w:rPr>
          <w:sz w:val="21"/>
        </w:rPr>
        <w:t>同</w:t>
      </w:r>
      <w:r>
        <w:rPr>
          <w:spacing w:val="-3"/>
          <w:sz w:val="21"/>
        </w:rPr>
        <w:t>本</w:t>
      </w:r>
      <w:r>
        <w:rPr>
          <w:sz w:val="21"/>
        </w:rPr>
        <w:t>投</w:t>
      </w:r>
      <w:r>
        <w:rPr>
          <w:spacing w:val="-3"/>
          <w:sz w:val="21"/>
        </w:rPr>
        <w:t>标</w:t>
      </w:r>
      <w:r>
        <w:rPr>
          <w:sz w:val="21"/>
        </w:rPr>
        <w:t>函</w:t>
      </w:r>
      <w:r>
        <w:rPr>
          <w:spacing w:val="-3"/>
          <w:sz w:val="21"/>
        </w:rPr>
        <w:t>提</w:t>
      </w:r>
      <w:r>
        <w:rPr>
          <w:sz w:val="21"/>
        </w:rPr>
        <w:t>交</w:t>
      </w:r>
      <w:r>
        <w:rPr>
          <w:spacing w:val="-3"/>
          <w:sz w:val="21"/>
        </w:rPr>
        <w:t>投标</w:t>
      </w:r>
      <w:r>
        <w:rPr>
          <w:sz w:val="21"/>
        </w:rPr>
        <w:t>保证</w:t>
      </w:r>
      <w:r>
        <w:rPr>
          <w:spacing w:val="-3"/>
          <w:sz w:val="21"/>
        </w:rPr>
        <w:t>金</w:t>
      </w:r>
      <w:r>
        <w:rPr>
          <w:sz w:val="21"/>
        </w:rPr>
        <w:t>一</w:t>
      </w:r>
      <w:r>
        <w:rPr>
          <w:spacing w:val="-3"/>
          <w:sz w:val="21"/>
        </w:rPr>
        <w:t>份</w:t>
      </w:r>
      <w:r>
        <w:rPr>
          <w:sz w:val="21"/>
        </w:rPr>
        <w:t>，</w:t>
      </w:r>
      <w:r>
        <w:rPr>
          <w:spacing w:val="-3"/>
          <w:sz w:val="21"/>
        </w:rPr>
        <w:t>金</w:t>
      </w:r>
      <w:r>
        <w:rPr>
          <w:sz w:val="21"/>
        </w:rPr>
        <w:t>额</w:t>
      </w:r>
      <w:r>
        <w:rPr>
          <w:spacing w:val="-3"/>
          <w:sz w:val="21"/>
        </w:rPr>
        <w:t>为</w:t>
      </w:r>
      <w:r>
        <w:rPr>
          <w:sz w:val="21"/>
        </w:rPr>
        <w:t>人</w:t>
      </w:r>
      <w:r>
        <w:rPr>
          <w:spacing w:val="-3"/>
          <w:sz w:val="21"/>
        </w:rPr>
        <w:t>民</w:t>
      </w:r>
      <w:r>
        <w:rPr>
          <w:sz w:val="21"/>
        </w:rPr>
        <w:t>币（</w:t>
      </w:r>
      <w:r>
        <w:rPr>
          <w:spacing w:val="-3"/>
          <w:sz w:val="21"/>
        </w:rPr>
        <w:t>大</w:t>
      </w:r>
      <w:r>
        <w:rPr>
          <w:sz w:val="21"/>
        </w:rPr>
        <w:t>写</w:t>
      </w:r>
      <w:r>
        <w:rPr>
          <w:spacing w:val="-3"/>
          <w:sz w:val="21"/>
        </w:rPr>
        <w:t>）</w:t>
      </w:r>
      <w:r>
        <w:rPr>
          <w:spacing w:val="-3"/>
          <w:sz w:val="21"/>
          <w:u w:val="single"/>
        </w:rPr>
        <w:t xml:space="preserve"> </w:t>
      </w:r>
      <w:r>
        <w:rPr>
          <w:spacing w:val="-3"/>
          <w:sz w:val="21"/>
          <w:u w:val="single"/>
        </w:rPr>
        <w:tab/>
      </w:r>
      <w:r>
        <w:rPr>
          <w:sz w:val="21"/>
        </w:rPr>
        <w:t>（</w:t>
      </w:r>
      <w:r>
        <w:rPr>
          <w:rFonts w:ascii="Times New Roman" w:hAnsi="Times New Roman" w:eastAsia="Times New Roman"/>
          <w:sz w:val="21"/>
        </w:rPr>
        <w:t>¥</w:t>
      </w:r>
      <w:r>
        <w:rPr>
          <w:rFonts w:ascii="Times New Roman" w:hAnsi="Times New Roman" w:eastAsia="Times New Roman"/>
          <w:sz w:val="21"/>
          <w:u w:val="single"/>
        </w:rPr>
        <w:t xml:space="preserve"> </w:t>
      </w:r>
      <w:r>
        <w:rPr>
          <w:rFonts w:ascii="Times New Roman" w:hAnsi="Times New Roman" w:eastAsia="Times New Roman"/>
          <w:sz w:val="21"/>
          <w:u w:val="single"/>
        </w:rPr>
        <w:tab/>
      </w:r>
      <w:r>
        <w:rPr>
          <w:spacing w:val="-108"/>
          <w:sz w:val="21"/>
        </w:rPr>
        <w:t>）。</w:t>
      </w:r>
    </w:p>
    <w:p>
      <w:pPr>
        <w:pStyle w:val="35"/>
        <w:numPr>
          <w:ilvl w:val="0"/>
          <w:numId w:val="107"/>
        </w:numPr>
        <w:tabs>
          <w:tab w:val="left" w:pos="952"/>
        </w:tabs>
        <w:spacing w:before="172"/>
        <w:ind w:left="951" w:hanging="319"/>
        <w:rPr>
          <w:sz w:val="21"/>
        </w:rPr>
      </w:pPr>
      <w:r>
        <w:rPr>
          <w:spacing w:val="-3"/>
          <w:sz w:val="21"/>
        </w:rPr>
        <w:t>如我方中标：</w:t>
      </w:r>
    </w:p>
    <w:p>
      <w:pPr>
        <w:pStyle w:val="35"/>
        <w:numPr>
          <w:ilvl w:val="1"/>
          <w:numId w:val="107"/>
        </w:numPr>
        <w:tabs>
          <w:tab w:val="left" w:pos="1460"/>
        </w:tabs>
        <w:spacing w:before="170"/>
        <w:ind w:hanging="530"/>
        <w:rPr>
          <w:sz w:val="21"/>
        </w:rPr>
      </w:pPr>
      <w:r>
        <w:rPr>
          <w:spacing w:val="-3"/>
          <w:sz w:val="21"/>
        </w:rPr>
        <w:t>我方承诺在收到中标通知书后，在中标通知书规定的期限内与你方签订合同。</w:t>
      </w:r>
    </w:p>
    <w:p>
      <w:pPr>
        <w:pStyle w:val="35"/>
        <w:numPr>
          <w:ilvl w:val="1"/>
          <w:numId w:val="107"/>
        </w:numPr>
        <w:tabs>
          <w:tab w:val="left" w:pos="1460"/>
        </w:tabs>
        <w:spacing w:before="171"/>
        <w:ind w:hanging="530"/>
        <w:rPr>
          <w:sz w:val="21"/>
        </w:rPr>
      </w:pPr>
      <w:r>
        <w:rPr>
          <w:spacing w:val="-3"/>
          <w:sz w:val="21"/>
        </w:rPr>
        <w:t>我方承诺按照招标文件规定向你方递交履约担保。</w:t>
      </w:r>
    </w:p>
    <w:p>
      <w:pPr>
        <w:pStyle w:val="35"/>
        <w:numPr>
          <w:ilvl w:val="1"/>
          <w:numId w:val="107"/>
        </w:numPr>
        <w:tabs>
          <w:tab w:val="left" w:pos="1460"/>
        </w:tabs>
        <w:spacing w:before="172"/>
        <w:ind w:hanging="530"/>
        <w:rPr>
          <w:sz w:val="21"/>
        </w:rPr>
      </w:pPr>
      <w:r>
        <w:rPr>
          <w:spacing w:val="-3"/>
          <w:sz w:val="21"/>
        </w:rPr>
        <w:t>我方承诺在合同约定的期限内完成并移交全部合同工程。</w:t>
      </w:r>
    </w:p>
    <w:p>
      <w:pPr>
        <w:pStyle w:val="35"/>
        <w:numPr>
          <w:ilvl w:val="0"/>
          <w:numId w:val="107"/>
        </w:numPr>
        <w:tabs>
          <w:tab w:val="left" w:pos="954"/>
        </w:tabs>
        <w:spacing w:before="170" w:line="391" w:lineRule="auto"/>
        <w:ind w:right="552" w:firstLine="420"/>
        <w:rPr>
          <w:sz w:val="21"/>
        </w:rPr>
      </w:pPr>
      <w:r>
        <w:rPr>
          <w:spacing w:val="-1"/>
          <w:sz w:val="21"/>
        </w:rPr>
        <w:t>我方在此声明，所递交的投标文件及有关资料内容完整、真实和准确，且不存在第二章“投标人</w:t>
      </w:r>
      <w:r>
        <w:rPr>
          <w:spacing w:val="-12"/>
          <w:sz w:val="21"/>
        </w:rPr>
        <w:t xml:space="preserve">须知”第 </w:t>
      </w:r>
      <w:r>
        <w:rPr>
          <w:rFonts w:ascii="Times New Roman" w:hAnsi="Times New Roman" w:eastAsia="Times New Roman"/>
          <w:sz w:val="21"/>
        </w:rPr>
        <w:t>1.4.3</w:t>
      </w:r>
      <w:r>
        <w:rPr>
          <w:rFonts w:ascii="Times New Roman" w:hAnsi="Times New Roman" w:eastAsia="Times New Roman"/>
          <w:spacing w:val="-3"/>
          <w:sz w:val="21"/>
        </w:rPr>
        <w:t xml:space="preserve"> </w:t>
      </w:r>
      <w:r>
        <w:rPr>
          <w:spacing w:val="-15"/>
          <w:sz w:val="21"/>
        </w:rPr>
        <w:t xml:space="preserve">项和第 </w:t>
      </w:r>
      <w:r>
        <w:rPr>
          <w:rFonts w:ascii="Times New Roman" w:hAnsi="Times New Roman" w:eastAsia="Times New Roman"/>
          <w:sz w:val="21"/>
        </w:rPr>
        <w:t xml:space="preserve">1.4.4 </w:t>
      </w:r>
      <w:r>
        <w:rPr>
          <w:spacing w:val="-3"/>
          <w:sz w:val="21"/>
        </w:rPr>
        <w:t>项规定的任何一种情形。</w:t>
      </w:r>
    </w:p>
    <w:p>
      <w:pPr>
        <w:pStyle w:val="35"/>
        <w:numPr>
          <w:ilvl w:val="0"/>
          <w:numId w:val="107"/>
        </w:numPr>
        <w:tabs>
          <w:tab w:val="left" w:pos="952"/>
          <w:tab w:val="left" w:pos="5044"/>
        </w:tabs>
        <w:spacing w:before="4"/>
        <w:ind w:left="951" w:hanging="319"/>
        <w:rPr>
          <w:sz w:val="21"/>
        </w:rPr>
      </w:pPr>
      <w:r>
        <w:rPr>
          <w:rFonts w:ascii="Times New Roman" w:eastAsia="Times New Roman"/>
          <w:sz w:val="21"/>
          <w:u w:val="single"/>
        </w:rPr>
        <w:t xml:space="preserve"> </w:t>
      </w:r>
      <w:r>
        <w:rPr>
          <w:rFonts w:ascii="Times New Roman" w:eastAsia="Times New Roman"/>
          <w:sz w:val="21"/>
          <w:u w:val="single"/>
        </w:rPr>
        <w:tab/>
      </w:r>
      <w:r>
        <w:rPr>
          <w:spacing w:val="-3"/>
          <w:sz w:val="21"/>
        </w:rPr>
        <w:t>（其他补充说明</w:t>
      </w:r>
      <w:r>
        <w:rPr>
          <w:spacing w:val="-106"/>
          <w:sz w:val="21"/>
        </w:rPr>
        <w:t>）</w:t>
      </w:r>
      <w:r>
        <w:rPr>
          <w:sz w:val="21"/>
        </w:rPr>
        <w:t>。</w:t>
      </w:r>
    </w:p>
    <w:p>
      <w:pPr>
        <w:pStyle w:val="10"/>
        <w:rPr>
          <w:sz w:val="20"/>
        </w:rPr>
      </w:pPr>
    </w:p>
    <w:p>
      <w:pPr>
        <w:pStyle w:val="10"/>
        <w:spacing w:before="6"/>
      </w:pPr>
    </w:p>
    <w:p>
      <w:pPr>
        <w:pStyle w:val="10"/>
        <w:tabs>
          <w:tab w:val="left" w:pos="7248"/>
        </w:tabs>
        <w:spacing w:before="78"/>
        <w:ind w:left="3888"/>
      </w:pPr>
      <w:r>
        <w:t>投 标 人</w:t>
      </w:r>
      <w:r>
        <w:rPr>
          <w:spacing w:val="-3"/>
        </w:rPr>
        <w:t>：</w:t>
      </w:r>
      <w:r>
        <w:rPr>
          <w:spacing w:val="-3"/>
          <w:u w:val="single"/>
        </w:rPr>
        <w:t xml:space="preserve"> </w:t>
      </w:r>
      <w:r>
        <w:rPr>
          <w:spacing w:val="-3"/>
          <w:u w:val="single"/>
        </w:rPr>
        <w:tab/>
      </w:r>
      <w:r>
        <w:t>（</w:t>
      </w:r>
      <w:r>
        <w:rPr>
          <w:spacing w:val="-3"/>
        </w:rPr>
        <w:t>盖</w:t>
      </w:r>
      <w:r>
        <w:t>单</w:t>
      </w:r>
      <w:r>
        <w:rPr>
          <w:spacing w:val="-3"/>
        </w:rPr>
        <w:t>位</w:t>
      </w:r>
      <w:r>
        <w:t>章）</w:t>
      </w:r>
    </w:p>
    <w:p>
      <w:pPr>
        <w:pStyle w:val="10"/>
        <w:tabs>
          <w:tab w:val="left" w:pos="7668"/>
        </w:tabs>
        <w:spacing w:before="173"/>
        <w:ind w:left="3888"/>
      </w:pPr>
      <w:r>
        <w:t>法定</w:t>
      </w:r>
      <w:r>
        <w:rPr>
          <w:spacing w:val="-3"/>
        </w:rPr>
        <w:t>代</w:t>
      </w:r>
      <w:r>
        <w:t>表</w:t>
      </w:r>
      <w:r>
        <w:rPr>
          <w:spacing w:val="-3"/>
        </w:rPr>
        <w:t>人</w:t>
      </w:r>
      <w:r>
        <w:t>：</w:t>
      </w:r>
      <w:r>
        <w:rPr>
          <w:u w:val="single"/>
        </w:rPr>
        <w:t xml:space="preserve"> </w:t>
      </w:r>
      <w:r>
        <w:rPr>
          <w:u w:val="single"/>
        </w:rPr>
        <w:tab/>
      </w:r>
      <w:r>
        <w:t>（</w:t>
      </w:r>
      <w:r>
        <w:rPr>
          <w:spacing w:val="-3"/>
        </w:rPr>
        <w:t>签</w:t>
      </w:r>
      <w:r>
        <w:t>字）</w:t>
      </w:r>
    </w:p>
    <w:p>
      <w:pPr>
        <w:pStyle w:val="10"/>
        <w:tabs>
          <w:tab w:val="left" w:pos="8450"/>
        </w:tabs>
        <w:spacing w:before="170"/>
        <w:ind w:left="3888"/>
        <w:rPr>
          <w:rFonts w:ascii="Times New Roman" w:eastAsia="Times New Roman"/>
        </w:rPr>
      </w:pPr>
      <w:r>
        <w:t>地址</w:t>
      </w:r>
      <w:r>
        <w:rPr>
          <w:spacing w:val="-3"/>
        </w:rPr>
        <w:t>：</w:t>
      </w:r>
      <w:r>
        <w:rPr>
          <w:rFonts w:ascii="Times New Roman" w:eastAsia="Times New Roman"/>
          <w:u w:val="single"/>
        </w:rPr>
        <w:t xml:space="preserve"> </w:t>
      </w:r>
      <w:r>
        <w:rPr>
          <w:rFonts w:ascii="Times New Roman" w:eastAsia="Times New Roman"/>
          <w:u w:val="single"/>
        </w:rPr>
        <w:tab/>
      </w:r>
    </w:p>
    <w:p>
      <w:pPr>
        <w:pStyle w:val="10"/>
        <w:tabs>
          <w:tab w:val="left" w:pos="8450"/>
        </w:tabs>
        <w:spacing w:before="170"/>
        <w:ind w:left="3888"/>
        <w:rPr>
          <w:rFonts w:ascii="Times New Roman" w:eastAsia="Times New Roman"/>
        </w:rPr>
      </w:pPr>
      <w:r>
        <w:t>电话</w:t>
      </w:r>
      <w:r>
        <w:rPr>
          <w:spacing w:val="-3"/>
        </w:rPr>
        <w:t>：</w:t>
      </w:r>
      <w:r>
        <w:rPr>
          <w:rFonts w:ascii="Times New Roman" w:eastAsia="Times New Roman"/>
          <w:u w:val="single"/>
        </w:rPr>
        <w:t xml:space="preserve"> </w:t>
      </w:r>
      <w:r>
        <w:rPr>
          <w:rFonts w:ascii="Times New Roman" w:eastAsia="Times New Roman"/>
          <w:u w:val="single"/>
        </w:rPr>
        <w:tab/>
      </w:r>
    </w:p>
    <w:p>
      <w:pPr>
        <w:pStyle w:val="10"/>
        <w:tabs>
          <w:tab w:val="left" w:pos="8450"/>
        </w:tabs>
        <w:spacing w:before="173"/>
        <w:ind w:left="3888"/>
        <w:rPr>
          <w:rFonts w:ascii="Times New Roman" w:eastAsia="Times New Roman"/>
        </w:rPr>
      </w:pPr>
      <w:r>
        <w:t>传真</w:t>
      </w:r>
      <w:r>
        <w:rPr>
          <w:spacing w:val="-3"/>
        </w:rPr>
        <w:t>：</w:t>
      </w:r>
      <w:r>
        <w:rPr>
          <w:rFonts w:ascii="Times New Roman" w:eastAsia="Times New Roman"/>
          <w:u w:val="single"/>
        </w:rPr>
        <w:t xml:space="preserve"> </w:t>
      </w:r>
      <w:r>
        <w:rPr>
          <w:rFonts w:ascii="Times New Roman" w:eastAsia="Times New Roman"/>
          <w:u w:val="single"/>
        </w:rPr>
        <w:tab/>
      </w:r>
    </w:p>
    <w:p>
      <w:pPr>
        <w:pStyle w:val="10"/>
        <w:tabs>
          <w:tab w:val="left" w:pos="5570"/>
          <w:tab w:val="left" w:pos="6410"/>
          <w:tab w:val="left" w:pos="7250"/>
        </w:tabs>
        <w:spacing w:before="170"/>
        <w:ind w:left="493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
    <w:p>
      <w:pPr>
        <w:sectPr>
          <w:pgSz w:w="11910" w:h="16840"/>
          <w:pgMar w:top="1580" w:right="580" w:bottom="1180" w:left="920" w:header="0" w:footer="995" w:gutter="0"/>
          <w:cols w:space="720" w:num="1"/>
        </w:sectPr>
      </w:pPr>
      <w:r>
        <w:rPr>
          <w:sz w:val="21"/>
        </w:rPr>
        <w:t>注：联合体投标的，“投标人”应按要求填写联合体各方的单位全称，由联合体牵头人签字或盖章。</w:t>
      </w:r>
    </w:p>
    <w:p>
      <w:pPr>
        <w:pStyle w:val="4"/>
      </w:pPr>
      <w:bookmarkStart w:id="383" w:name="_bookmark289"/>
      <w:bookmarkEnd w:id="383"/>
      <w:bookmarkStart w:id="384" w:name="_Toc37926100"/>
      <w:r>
        <w:t>（二）投标函附录</w:t>
      </w:r>
      <w:bookmarkEnd w:id="384"/>
    </w:p>
    <w:p>
      <w:pPr>
        <w:pStyle w:val="10"/>
        <w:spacing w:before="2"/>
        <w:rPr>
          <w:rFonts w:ascii="黑体"/>
          <w:sz w:val="32"/>
        </w:rPr>
      </w:pPr>
    </w:p>
    <w:p>
      <w:pPr>
        <w:spacing w:after="20"/>
        <w:ind w:left="212"/>
        <w:rPr>
          <w:sz w:val="21"/>
        </w:rPr>
      </w:pPr>
      <w:r>
        <w:rPr>
          <w:b/>
          <w:sz w:val="21"/>
        </w:rPr>
        <w:t>工程名称：</w:t>
      </w:r>
      <w:r>
        <w:rPr>
          <w:b/>
          <w:sz w:val="21"/>
          <w:u w:val="single"/>
        </w:rPr>
        <w:t xml:space="preserve"> </w:t>
      </w:r>
      <w:r>
        <w:rPr>
          <w:sz w:val="21"/>
          <w:u w:val="single"/>
        </w:rPr>
        <w:t>广东省江门市气象局上川岛国家天气雷达项目设计施工总承包</w:t>
      </w:r>
    </w:p>
    <w:tbl>
      <w:tblPr>
        <w:tblStyle w:val="24"/>
        <w:tblW w:w="9498"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551"/>
        <w:gridCol w:w="2268"/>
        <w:gridCol w:w="297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52" w:type="dxa"/>
          </w:tcPr>
          <w:p>
            <w:pPr>
              <w:pStyle w:val="36"/>
              <w:spacing w:before="99"/>
              <w:ind w:left="144" w:right="132"/>
              <w:jc w:val="center"/>
              <w:rPr>
                <w:sz w:val="21"/>
              </w:rPr>
            </w:pPr>
            <w:r>
              <w:rPr>
                <w:sz w:val="21"/>
              </w:rPr>
              <w:t>序 号</w:t>
            </w:r>
          </w:p>
        </w:tc>
        <w:tc>
          <w:tcPr>
            <w:tcW w:w="2551" w:type="dxa"/>
          </w:tcPr>
          <w:p>
            <w:pPr>
              <w:pStyle w:val="36"/>
              <w:spacing w:before="99"/>
              <w:ind w:left="854"/>
              <w:rPr>
                <w:sz w:val="21"/>
              </w:rPr>
            </w:pPr>
            <w:r>
              <w:rPr>
                <w:sz w:val="21"/>
              </w:rPr>
              <w:t>条款内容</w:t>
            </w:r>
          </w:p>
        </w:tc>
        <w:tc>
          <w:tcPr>
            <w:tcW w:w="2268" w:type="dxa"/>
          </w:tcPr>
          <w:p>
            <w:pPr>
              <w:pStyle w:val="36"/>
              <w:spacing w:before="99"/>
              <w:ind w:left="191" w:right="179"/>
              <w:jc w:val="center"/>
              <w:rPr>
                <w:sz w:val="21"/>
              </w:rPr>
            </w:pPr>
            <w:r>
              <w:rPr>
                <w:sz w:val="21"/>
              </w:rPr>
              <w:t>合同条款号</w:t>
            </w:r>
          </w:p>
        </w:tc>
        <w:tc>
          <w:tcPr>
            <w:tcW w:w="2976" w:type="dxa"/>
          </w:tcPr>
          <w:p>
            <w:pPr>
              <w:pStyle w:val="36"/>
              <w:spacing w:before="99"/>
              <w:ind w:left="1050" w:right="1035"/>
              <w:jc w:val="center"/>
              <w:rPr>
                <w:sz w:val="21"/>
              </w:rPr>
            </w:pPr>
            <w:r>
              <w:rPr>
                <w:sz w:val="21"/>
              </w:rPr>
              <w:t>承诺内容</w:t>
            </w:r>
          </w:p>
        </w:tc>
        <w:tc>
          <w:tcPr>
            <w:tcW w:w="851" w:type="dxa"/>
          </w:tcPr>
          <w:p>
            <w:pPr>
              <w:pStyle w:val="36"/>
              <w:spacing w:before="99"/>
              <w:ind w:left="21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852" w:type="dxa"/>
          </w:tcPr>
          <w:p>
            <w:pPr>
              <w:pStyle w:val="36"/>
              <w:spacing w:before="87"/>
              <w:ind w:left="8"/>
              <w:jc w:val="center"/>
              <w:rPr>
                <w:rFonts w:ascii="黑体"/>
                <w:sz w:val="21"/>
              </w:rPr>
            </w:pPr>
            <w:r>
              <w:rPr>
                <w:rFonts w:ascii="黑体"/>
                <w:sz w:val="21"/>
              </w:rPr>
              <w:t>1</w:t>
            </w:r>
          </w:p>
        </w:tc>
        <w:tc>
          <w:tcPr>
            <w:tcW w:w="2551" w:type="dxa"/>
          </w:tcPr>
          <w:p>
            <w:pPr>
              <w:pStyle w:val="36"/>
              <w:spacing w:before="145"/>
              <w:ind w:left="854"/>
              <w:rPr>
                <w:sz w:val="21"/>
              </w:rPr>
            </w:pPr>
            <w:r>
              <w:rPr>
                <w:sz w:val="21"/>
              </w:rPr>
              <w:t>项目经理</w:t>
            </w:r>
          </w:p>
        </w:tc>
        <w:tc>
          <w:tcPr>
            <w:tcW w:w="2268" w:type="dxa"/>
          </w:tcPr>
          <w:p>
            <w:pPr>
              <w:pStyle w:val="36"/>
              <w:spacing w:before="145"/>
              <w:ind w:left="253" w:right="179"/>
              <w:jc w:val="center"/>
              <w:rPr>
                <w:sz w:val="21"/>
              </w:rPr>
            </w:pPr>
            <w:r>
              <w:rPr>
                <w:sz w:val="21"/>
              </w:rPr>
              <w:t>1.1.2.4</w:t>
            </w:r>
          </w:p>
        </w:tc>
        <w:tc>
          <w:tcPr>
            <w:tcW w:w="2976" w:type="dxa"/>
          </w:tcPr>
          <w:p>
            <w:pPr>
              <w:pStyle w:val="36"/>
              <w:tabs>
                <w:tab w:val="left" w:pos="2362"/>
              </w:tabs>
              <w:spacing w:before="145"/>
              <w:ind w:left="109"/>
              <w:rPr>
                <w:rFonts w:ascii="Times New Roman" w:eastAsiaTheme="minorEastAsia"/>
                <w:sz w:val="21"/>
                <w:u w:val="single"/>
              </w:rPr>
            </w:pPr>
            <w:r>
              <w:rPr>
                <w:sz w:val="21"/>
              </w:rPr>
              <w:t>姓名</w:t>
            </w:r>
            <w:r>
              <w:rPr>
                <w:spacing w:val="-3"/>
                <w:sz w:val="21"/>
              </w:rPr>
              <w:t>：</w:t>
            </w:r>
            <w:r>
              <w:rPr>
                <w:rFonts w:ascii="Times New Roman" w:eastAsia="Times New Roman"/>
                <w:sz w:val="21"/>
                <w:u w:val="single"/>
              </w:rPr>
              <w:t xml:space="preserve"> </w:t>
            </w:r>
            <w:r>
              <w:rPr>
                <w:rFonts w:ascii="Times New Roman" w:eastAsia="Times New Roman"/>
                <w:sz w:val="21"/>
                <w:u w:val="single"/>
              </w:rPr>
              <w:tab/>
            </w:r>
          </w:p>
          <w:p>
            <w:pPr>
              <w:pStyle w:val="36"/>
              <w:tabs>
                <w:tab w:val="left" w:pos="2362"/>
              </w:tabs>
              <w:spacing w:before="145"/>
              <w:ind w:left="109"/>
              <w:rPr>
                <w:rFonts w:ascii="Times New Roman" w:eastAsiaTheme="minorEastAsia"/>
                <w:sz w:val="21"/>
              </w:rPr>
            </w:pPr>
            <w:r>
              <w:rPr>
                <w:rFonts w:hint="eastAsia" w:ascii="Times New Roman" w:eastAsiaTheme="minorEastAsia"/>
                <w:sz w:val="21"/>
              </w:rPr>
              <w:t>证号：</w:t>
            </w:r>
            <w:r>
              <w:rPr>
                <w:rFonts w:hint="eastAsia" w:ascii="Times New Roman" w:eastAsiaTheme="minorEastAsia"/>
                <w:sz w:val="21"/>
                <w:u w:val="single"/>
              </w:rPr>
              <w:t xml:space="preserve">                                </w:t>
            </w: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852" w:type="dxa"/>
          </w:tcPr>
          <w:p>
            <w:pPr>
              <w:pStyle w:val="36"/>
              <w:spacing w:before="8"/>
              <w:rPr>
                <w:sz w:val="17"/>
              </w:rPr>
            </w:pPr>
          </w:p>
          <w:p>
            <w:pPr>
              <w:pStyle w:val="36"/>
              <w:ind w:left="8"/>
              <w:jc w:val="center"/>
              <w:rPr>
                <w:rFonts w:ascii="黑体"/>
                <w:sz w:val="21"/>
              </w:rPr>
            </w:pPr>
            <w:r>
              <w:rPr>
                <w:rFonts w:ascii="黑体"/>
                <w:sz w:val="21"/>
              </w:rPr>
              <w:t>2</w:t>
            </w:r>
          </w:p>
        </w:tc>
        <w:tc>
          <w:tcPr>
            <w:tcW w:w="2551" w:type="dxa"/>
            <w:vAlign w:val="center"/>
          </w:tcPr>
          <w:p>
            <w:pPr>
              <w:pStyle w:val="36"/>
              <w:jc w:val="center"/>
              <w:rPr>
                <w:sz w:val="21"/>
              </w:rPr>
            </w:pPr>
            <w:r>
              <w:rPr>
                <w:rFonts w:hint="eastAsia"/>
                <w:sz w:val="21"/>
              </w:rPr>
              <w:t>项目总负责人（</w:t>
            </w:r>
            <w:r>
              <w:rPr>
                <w:sz w:val="21"/>
              </w:rPr>
              <w:t>设计经理</w:t>
            </w:r>
            <w:r>
              <w:rPr>
                <w:rFonts w:hint="eastAsia"/>
                <w:sz w:val="21"/>
              </w:rPr>
              <w:t>）</w:t>
            </w:r>
          </w:p>
        </w:tc>
        <w:tc>
          <w:tcPr>
            <w:tcW w:w="2268" w:type="dxa"/>
            <w:vAlign w:val="center"/>
          </w:tcPr>
          <w:p>
            <w:pPr>
              <w:pStyle w:val="36"/>
              <w:ind w:right="179"/>
              <w:jc w:val="center"/>
              <w:rPr>
                <w:sz w:val="21"/>
              </w:rPr>
            </w:pPr>
            <w:r>
              <w:rPr>
                <w:rFonts w:hint="eastAsia"/>
                <w:sz w:val="21"/>
              </w:rPr>
              <w:t xml:space="preserve">  </w:t>
            </w:r>
            <w:r>
              <w:rPr>
                <w:sz w:val="21"/>
              </w:rPr>
              <w:t>1.1.2.5</w:t>
            </w:r>
          </w:p>
        </w:tc>
        <w:tc>
          <w:tcPr>
            <w:tcW w:w="2976" w:type="dxa"/>
            <w:vAlign w:val="center"/>
          </w:tcPr>
          <w:p>
            <w:pPr>
              <w:pStyle w:val="36"/>
              <w:tabs>
                <w:tab w:val="left" w:pos="2677"/>
              </w:tabs>
              <w:spacing w:before="77"/>
              <w:ind w:left="109"/>
              <w:jc w:val="both"/>
              <w:rPr>
                <w:rFonts w:ascii="Times New Roman" w:eastAsiaTheme="minorEastAsia"/>
                <w:sz w:val="21"/>
              </w:rPr>
            </w:pPr>
            <w:r>
              <w:rPr>
                <w:spacing w:val="-3"/>
                <w:sz w:val="21"/>
              </w:rPr>
              <w:t>姓</w:t>
            </w:r>
            <w:r>
              <w:rPr>
                <w:sz w:val="21"/>
              </w:rPr>
              <w:t>名</w:t>
            </w:r>
            <w:r>
              <w:rPr>
                <w:spacing w:val="-3"/>
                <w:sz w:val="21"/>
              </w:rPr>
              <w:t>：</w:t>
            </w:r>
            <w:r>
              <w:rPr>
                <w:rFonts w:ascii="Times New Roman" w:eastAsia="Times New Roman"/>
                <w:sz w:val="21"/>
                <w:u w:val="single"/>
              </w:rPr>
              <w:t xml:space="preserve"> </w:t>
            </w:r>
            <w:r>
              <w:rPr>
                <w:rFonts w:ascii="Times New Roman" w:eastAsia="Times New Roman"/>
                <w:sz w:val="21"/>
                <w:u w:val="single"/>
              </w:rPr>
              <w:tab/>
            </w: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trPr>
        <w:tc>
          <w:tcPr>
            <w:tcW w:w="852" w:type="dxa"/>
          </w:tcPr>
          <w:p>
            <w:pPr>
              <w:pStyle w:val="36"/>
              <w:spacing w:before="87"/>
              <w:ind w:left="8"/>
              <w:jc w:val="center"/>
              <w:rPr>
                <w:rFonts w:ascii="黑体"/>
                <w:sz w:val="21"/>
              </w:rPr>
            </w:pPr>
            <w:r>
              <w:rPr>
                <w:rFonts w:ascii="黑体"/>
                <w:sz w:val="21"/>
              </w:rPr>
              <w:t>3</w:t>
            </w:r>
          </w:p>
        </w:tc>
        <w:tc>
          <w:tcPr>
            <w:tcW w:w="2551" w:type="dxa"/>
          </w:tcPr>
          <w:p>
            <w:pPr>
              <w:pStyle w:val="36"/>
              <w:spacing w:before="90"/>
              <w:ind w:left="854"/>
              <w:rPr>
                <w:sz w:val="21"/>
              </w:rPr>
            </w:pPr>
            <w:r>
              <w:rPr>
                <w:sz w:val="21"/>
              </w:rPr>
              <w:t>施工负责人</w:t>
            </w:r>
          </w:p>
        </w:tc>
        <w:tc>
          <w:tcPr>
            <w:tcW w:w="2268" w:type="dxa"/>
          </w:tcPr>
          <w:p>
            <w:pPr>
              <w:pStyle w:val="36"/>
              <w:spacing w:before="87"/>
              <w:ind w:left="253" w:right="179"/>
              <w:jc w:val="center"/>
              <w:rPr>
                <w:sz w:val="21"/>
              </w:rPr>
            </w:pPr>
            <w:r>
              <w:rPr>
                <w:sz w:val="21"/>
              </w:rPr>
              <w:t>1.1.2.</w:t>
            </w:r>
            <w:r>
              <w:rPr>
                <w:rFonts w:hint="eastAsia"/>
                <w:sz w:val="21"/>
              </w:rPr>
              <w:t>6</w:t>
            </w:r>
          </w:p>
        </w:tc>
        <w:tc>
          <w:tcPr>
            <w:tcW w:w="2976" w:type="dxa"/>
          </w:tcPr>
          <w:p>
            <w:pPr>
              <w:pStyle w:val="36"/>
              <w:tabs>
                <w:tab w:val="left" w:pos="2362"/>
              </w:tabs>
              <w:spacing w:before="99"/>
              <w:ind w:left="109"/>
              <w:rPr>
                <w:rFonts w:ascii="Times New Roman" w:eastAsiaTheme="minorEastAsia"/>
                <w:sz w:val="21"/>
                <w:u w:val="single"/>
              </w:rPr>
            </w:pPr>
            <w:r>
              <w:rPr>
                <w:sz w:val="21"/>
              </w:rPr>
              <w:t>姓名</w:t>
            </w:r>
            <w:r>
              <w:rPr>
                <w:spacing w:val="-3"/>
                <w:sz w:val="21"/>
              </w:rPr>
              <w:t>：</w:t>
            </w:r>
            <w:r>
              <w:rPr>
                <w:rFonts w:ascii="Times New Roman" w:eastAsia="Times New Roman"/>
                <w:sz w:val="21"/>
                <w:u w:val="single"/>
              </w:rPr>
              <w:t xml:space="preserve"> </w:t>
            </w:r>
            <w:r>
              <w:rPr>
                <w:rFonts w:ascii="Times New Roman" w:eastAsia="Times New Roman"/>
                <w:sz w:val="21"/>
                <w:u w:val="single"/>
              </w:rPr>
              <w:tab/>
            </w:r>
          </w:p>
          <w:p>
            <w:pPr>
              <w:pStyle w:val="36"/>
              <w:tabs>
                <w:tab w:val="left" w:pos="2362"/>
              </w:tabs>
              <w:spacing w:before="99"/>
              <w:ind w:left="109"/>
              <w:rPr>
                <w:rFonts w:ascii="Times New Roman" w:eastAsiaTheme="minorEastAsia"/>
                <w:sz w:val="21"/>
              </w:rPr>
            </w:pPr>
            <w:r>
              <w:rPr>
                <w:rFonts w:hint="eastAsia" w:ascii="Times New Roman" w:eastAsiaTheme="minorEastAsia"/>
                <w:sz w:val="21"/>
              </w:rPr>
              <w:t>证号：</w:t>
            </w:r>
            <w:r>
              <w:rPr>
                <w:rFonts w:hint="eastAsia" w:ascii="Times New Roman" w:eastAsiaTheme="minorEastAsia"/>
                <w:sz w:val="21"/>
                <w:u w:val="single"/>
              </w:rPr>
              <w:t xml:space="preserve">                                </w:t>
            </w: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852" w:type="dxa"/>
          </w:tcPr>
          <w:p>
            <w:pPr>
              <w:pStyle w:val="36"/>
              <w:spacing w:before="85"/>
              <w:ind w:left="8"/>
              <w:jc w:val="center"/>
              <w:rPr>
                <w:rFonts w:ascii="黑体"/>
                <w:sz w:val="21"/>
              </w:rPr>
            </w:pPr>
            <w:r>
              <w:rPr>
                <w:rFonts w:ascii="黑体"/>
                <w:sz w:val="21"/>
              </w:rPr>
              <w:t>4</w:t>
            </w:r>
          </w:p>
        </w:tc>
        <w:tc>
          <w:tcPr>
            <w:tcW w:w="2551" w:type="dxa"/>
          </w:tcPr>
          <w:p>
            <w:pPr>
              <w:pStyle w:val="36"/>
              <w:spacing w:before="85"/>
              <w:ind w:left="942" w:right="929"/>
              <w:jc w:val="center"/>
              <w:rPr>
                <w:sz w:val="21"/>
              </w:rPr>
            </w:pPr>
            <w:r>
              <w:rPr>
                <w:sz w:val="21"/>
              </w:rPr>
              <w:t>总工期</w:t>
            </w:r>
          </w:p>
        </w:tc>
        <w:tc>
          <w:tcPr>
            <w:tcW w:w="2268" w:type="dxa"/>
          </w:tcPr>
          <w:p>
            <w:pPr>
              <w:pStyle w:val="36"/>
              <w:spacing w:before="85"/>
              <w:ind w:left="253" w:right="179"/>
              <w:jc w:val="center"/>
              <w:rPr>
                <w:sz w:val="21"/>
              </w:rPr>
            </w:pPr>
            <w:r>
              <w:rPr>
                <w:sz w:val="21"/>
              </w:rPr>
              <w:t>1.1.</w:t>
            </w:r>
            <w:r>
              <w:rPr>
                <w:rFonts w:hint="eastAsia"/>
                <w:sz w:val="21"/>
              </w:rPr>
              <w:t>3</w:t>
            </w:r>
            <w:r>
              <w:rPr>
                <w:sz w:val="21"/>
              </w:rPr>
              <w:t>.3</w:t>
            </w:r>
          </w:p>
        </w:tc>
        <w:tc>
          <w:tcPr>
            <w:tcW w:w="2976" w:type="dxa"/>
          </w:tcPr>
          <w:p>
            <w:pPr>
              <w:pStyle w:val="36"/>
              <w:tabs>
                <w:tab w:val="left" w:pos="1580"/>
              </w:tabs>
              <w:spacing w:before="142"/>
              <w:ind w:left="109"/>
              <w:rPr>
                <w:sz w:val="21"/>
              </w:rPr>
            </w:pPr>
            <w:r>
              <w:rPr>
                <w:sz w:val="21"/>
              </w:rPr>
              <w:t>天数</w:t>
            </w:r>
            <w:r>
              <w:rPr>
                <w:spacing w:val="-3"/>
                <w:sz w:val="21"/>
              </w:rPr>
              <w:t>：</w:t>
            </w:r>
            <w:r>
              <w:rPr>
                <w:spacing w:val="-3"/>
                <w:sz w:val="21"/>
                <w:u w:val="single"/>
              </w:rPr>
              <w:t xml:space="preserve"> </w:t>
            </w:r>
            <w:r>
              <w:rPr>
                <w:spacing w:val="-3"/>
                <w:sz w:val="21"/>
                <w:u w:val="single"/>
              </w:rPr>
              <w:tab/>
            </w:r>
            <w:r>
              <w:rPr>
                <w:sz w:val="21"/>
              </w:rPr>
              <w:t>日</w:t>
            </w:r>
            <w:r>
              <w:rPr>
                <w:spacing w:val="-3"/>
                <w:sz w:val="21"/>
              </w:rPr>
              <w:t>历</w:t>
            </w:r>
            <w:r>
              <w:rPr>
                <w:sz w:val="21"/>
              </w:rPr>
              <w:t>天</w:t>
            </w: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2" w:type="dxa"/>
          </w:tcPr>
          <w:p>
            <w:pPr>
              <w:pStyle w:val="36"/>
              <w:spacing w:before="44"/>
              <w:ind w:left="8"/>
              <w:jc w:val="center"/>
              <w:rPr>
                <w:rFonts w:ascii="黑体"/>
                <w:sz w:val="21"/>
              </w:rPr>
            </w:pPr>
            <w:r>
              <w:rPr>
                <w:rFonts w:ascii="黑体"/>
                <w:sz w:val="21"/>
              </w:rPr>
              <w:t>5</w:t>
            </w:r>
          </w:p>
        </w:tc>
        <w:tc>
          <w:tcPr>
            <w:tcW w:w="2551" w:type="dxa"/>
          </w:tcPr>
          <w:p>
            <w:pPr>
              <w:pStyle w:val="36"/>
              <w:spacing w:before="44"/>
              <w:ind w:left="108"/>
              <w:rPr>
                <w:sz w:val="21"/>
              </w:rPr>
            </w:pPr>
            <w:r>
              <w:rPr>
                <w:sz w:val="21"/>
              </w:rPr>
              <w:t>审查的范围和内容</w:t>
            </w:r>
          </w:p>
        </w:tc>
        <w:tc>
          <w:tcPr>
            <w:tcW w:w="2268" w:type="dxa"/>
          </w:tcPr>
          <w:p>
            <w:pPr>
              <w:pStyle w:val="36"/>
              <w:spacing w:before="44"/>
              <w:ind w:left="253" w:right="177"/>
              <w:jc w:val="center"/>
              <w:rPr>
                <w:sz w:val="21"/>
              </w:rPr>
            </w:pPr>
            <w:r>
              <w:rPr>
                <w:sz w:val="21"/>
              </w:rPr>
              <w:t>5.3.1</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2" w:type="dxa"/>
          </w:tcPr>
          <w:p>
            <w:pPr>
              <w:pStyle w:val="36"/>
              <w:spacing w:before="45"/>
              <w:ind w:left="8"/>
              <w:jc w:val="center"/>
              <w:rPr>
                <w:rFonts w:ascii="黑体"/>
                <w:sz w:val="21"/>
              </w:rPr>
            </w:pPr>
            <w:r>
              <w:rPr>
                <w:rFonts w:ascii="黑体"/>
                <w:sz w:val="21"/>
              </w:rPr>
              <w:t>6</w:t>
            </w:r>
          </w:p>
        </w:tc>
        <w:tc>
          <w:tcPr>
            <w:tcW w:w="2551" w:type="dxa"/>
          </w:tcPr>
          <w:p>
            <w:pPr>
              <w:pStyle w:val="36"/>
              <w:spacing w:before="45"/>
              <w:ind w:left="108"/>
              <w:rPr>
                <w:sz w:val="21"/>
              </w:rPr>
            </w:pPr>
            <w:r>
              <w:rPr>
                <w:sz w:val="21"/>
              </w:rPr>
              <w:t>承包人引起的工期延误</w:t>
            </w:r>
          </w:p>
        </w:tc>
        <w:tc>
          <w:tcPr>
            <w:tcW w:w="2268" w:type="dxa"/>
          </w:tcPr>
          <w:p>
            <w:pPr>
              <w:pStyle w:val="36"/>
              <w:spacing w:before="45"/>
              <w:ind w:left="253" w:right="177"/>
              <w:jc w:val="center"/>
              <w:rPr>
                <w:sz w:val="21"/>
              </w:rPr>
            </w:pPr>
            <w:r>
              <w:rPr>
                <w:sz w:val="21"/>
              </w:rPr>
              <w:t>11.5</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2" w:type="dxa"/>
          </w:tcPr>
          <w:p>
            <w:pPr>
              <w:pStyle w:val="36"/>
              <w:spacing w:before="44"/>
              <w:ind w:left="8"/>
              <w:jc w:val="center"/>
              <w:rPr>
                <w:rFonts w:ascii="黑体"/>
                <w:sz w:val="21"/>
              </w:rPr>
            </w:pPr>
            <w:r>
              <w:rPr>
                <w:rFonts w:ascii="黑体"/>
                <w:sz w:val="21"/>
              </w:rPr>
              <w:t>7</w:t>
            </w:r>
          </w:p>
        </w:tc>
        <w:tc>
          <w:tcPr>
            <w:tcW w:w="2551" w:type="dxa"/>
          </w:tcPr>
          <w:p>
            <w:pPr>
              <w:pStyle w:val="36"/>
              <w:spacing w:before="44"/>
              <w:ind w:left="108"/>
              <w:rPr>
                <w:sz w:val="21"/>
              </w:rPr>
            </w:pPr>
            <w:r>
              <w:rPr>
                <w:sz w:val="21"/>
              </w:rPr>
              <w:t>物价波动引起的调整</w:t>
            </w:r>
          </w:p>
        </w:tc>
        <w:tc>
          <w:tcPr>
            <w:tcW w:w="2268" w:type="dxa"/>
          </w:tcPr>
          <w:p>
            <w:pPr>
              <w:pStyle w:val="36"/>
              <w:spacing w:before="44"/>
              <w:ind w:left="253" w:right="177"/>
              <w:jc w:val="center"/>
              <w:rPr>
                <w:sz w:val="21"/>
              </w:rPr>
            </w:pPr>
            <w:r>
              <w:rPr>
                <w:sz w:val="21"/>
              </w:rPr>
              <w:t>16.1</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52" w:type="dxa"/>
          </w:tcPr>
          <w:p>
            <w:pPr>
              <w:pStyle w:val="36"/>
              <w:spacing w:before="106"/>
              <w:ind w:left="8"/>
              <w:jc w:val="center"/>
              <w:rPr>
                <w:rFonts w:ascii="黑体"/>
                <w:sz w:val="21"/>
              </w:rPr>
            </w:pPr>
            <w:r>
              <w:rPr>
                <w:rFonts w:ascii="黑体"/>
                <w:sz w:val="21"/>
              </w:rPr>
              <w:t>8</w:t>
            </w:r>
          </w:p>
        </w:tc>
        <w:tc>
          <w:tcPr>
            <w:tcW w:w="2551" w:type="dxa"/>
          </w:tcPr>
          <w:p>
            <w:pPr>
              <w:pStyle w:val="36"/>
              <w:spacing w:line="236" w:lineRule="exact"/>
              <w:ind w:left="108"/>
              <w:rPr>
                <w:sz w:val="21"/>
              </w:rPr>
            </w:pPr>
            <w:r>
              <w:rPr>
                <w:sz w:val="21"/>
              </w:rPr>
              <w:t>双方约定合同价款的其他</w:t>
            </w:r>
          </w:p>
          <w:p>
            <w:pPr>
              <w:pStyle w:val="36"/>
              <w:spacing w:line="223" w:lineRule="exact"/>
              <w:ind w:left="108"/>
              <w:rPr>
                <w:sz w:val="21"/>
              </w:rPr>
            </w:pPr>
            <w:r>
              <w:rPr>
                <w:sz w:val="21"/>
              </w:rPr>
              <w:t>调整因素</w:t>
            </w:r>
          </w:p>
        </w:tc>
        <w:tc>
          <w:tcPr>
            <w:tcW w:w="2268" w:type="dxa"/>
          </w:tcPr>
          <w:p>
            <w:pPr>
              <w:pStyle w:val="36"/>
              <w:spacing w:before="106"/>
              <w:ind w:left="253" w:right="177"/>
              <w:jc w:val="center"/>
              <w:rPr>
                <w:sz w:val="21"/>
              </w:rPr>
            </w:pPr>
            <w:r>
              <w:rPr>
                <w:sz w:val="21"/>
              </w:rPr>
              <w:t>补充条款 16.3</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51"/>
              <w:ind w:left="8"/>
              <w:jc w:val="center"/>
              <w:rPr>
                <w:rFonts w:ascii="黑体"/>
                <w:sz w:val="21"/>
              </w:rPr>
            </w:pPr>
            <w:r>
              <w:rPr>
                <w:rFonts w:ascii="黑体"/>
                <w:sz w:val="21"/>
              </w:rPr>
              <w:t>9</w:t>
            </w:r>
          </w:p>
        </w:tc>
        <w:tc>
          <w:tcPr>
            <w:tcW w:w="2551" w:type="dxa"/>
          </w:tcPr>
          <w:p>
            <w:pPr>
              <w:pStyle w:val="36"/>
              <w:spacing w:before="51"/>
              <w:ind w:left="108"/>
              <w:rPr>
                <w:sz w:val="21"/>
              </w:rPr>
            </w:pPr>
            <w:r>
              <w:rPr>
                <w:sz w:val="21"/>
              </w:rPr>
              <w:t>合同价格</w:t>
            </w:r>
          </w:p>
        </w:tc>
        <w:tc>
          <w:tcPr>
            <w:tcW w:w="2268" w:type="dxa"/>
          </w:tcPr>
          <w:p>
            <w:pPr>
              <w:pStyle w:val="36"/>
              <w:spacing w:before="51"/>
              <w:ind w:left="253" w:right="179"/>
              <w:jc w:val="center"/>
              <w:rPr>
                <w:sz w:val="21"/>
              </w:rPr>
            </w:pPr>
            <w:r>
              <w:rPr>
                <w:sz w:val="21"/>
              </w:rPr>
              <w:t>17.1、补充条款 30</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51"/>
              <w:ind w:left="140" w:right="132"/>
              <w:jc w:val="center"/>
              <w:rPr>
                <w:rFonts w:ascii="黑体"/>
                <w:sz w:val="21"/>
              </w:rPr>
            </w:pPr>
            <w:r>
              <w:rPr>
                <w:rFonts w:ascii="黑体"/>
                <w:sz w:val="21"/>
              </w:rPr>
              <w:t>10</w:t>
            </w:r>
          </w:p>
        </w:tc>
        <w:tc>
          <w:tcPr>
            <w:tcW w:w="2551" w:type="dxa"/>
          </w:tcPr>
          <w:p>
            <w:pPr>
              <w:pStyle w:val="36"/>
              <w:spacing w:before="51"/>
              <w:ind w:left="108"/>
              <w:rPr>
                <w:sz w:val="21"/>
              </w:rPr>
            </w:pPr>
            <w:r>
              <w:rPr>
                <w:sz w:val="21"/>
              </w:rPr>
              <w:t>预付款</w:t>
            </w:r>
          </w:p>
        </w:tc>
        <w:tc>
          <w:tcPr>
            <w:tcW w:w="2268" w:type="dxa"/>
          </w:tcPr>
          <w:p>
            <w:pPr>
              <w:pStyle w:val="36"/>
              <w:spacing w:before="51"/>
              <w:ind w:left="253" w:right="177"/>
              <w:jc w:val="center"/>
              <w:rPr>
                <w:sz w:val="21"/>
              </w:rPr>
            </w:pPr>
            <w:r>
              <w:rPr>
                <w:sz w:val="21"/>
              </w:rPr>
              <w:t>17.2</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2" w:type="dxa"/>
          </w:tcPr>
          <w:p>
            <w:pPr>
              <w:pStyle w:val="36"/>
              <w:spacing w:before="51"/>
              <w:ind w:left="140" w:right="132"/>
              <w:jc w:val="center"/>
              <w:rPr>
                <w:rFonts w:ascii="黑体"/>
                <w:sz w:val="21"/>
              </w:rPr>
            </w:pPr>
            <w:r>
              <w:rPr>
                <w:rFonts w:ascii="黑体"/>
                <w:sz w:val="21"/>
              </w:rPr>
              <w:t>11</w:t>
            </w:r>
          </w:p>
        </w:tc>
        <w:tc>
          <w:tcPr>
            <w:tcW w:w="2551" w:type="dxa"/>
          </w:tcPr>
          <w:p>
            <w:pPr>
              <w:pStyle w:val="36"/>
              <w:spacing w:before="51"/>
              <w:ind w:left="108"/>
              <w:rPr>
                <w:sz w:val="21"/>
              </w:rPr>
            </w:pPr>
            <w:r>
              <w:rPr>
                <w:sz w:val="21"/>
              </w:rPr>
              <w:t>工程进度付款</w:t>
            </w:r>
          </w:p>
        </w:tc>
        <w:tc>
          <w:tcPr>
            <w:tcW w:w="2268" w:type="dxa"/>
          </w:tcPr>
          <w:p>
            <w:pPr>
              <w:pStyle w:val="36"/>
              <w:spacing w:before="51"/>
              <w:ind w:left="253" w:right="177"/>
              <w:jc w:val="center"/>
              <w:rPr>
                <w:sz w:val="21"/>
              </w:rPr>
            </w:pPr>
            <w:r>
              <w:rPr>
                <w:sz w:val="21"/>
              </w:rPr>
              <w:t>17.3</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49"/>
              <w:ind w:left="140" w:right="132"/>
              <w:jc w:val="center"/>
              <w:rPr>
                <w:rFonts w:ascii="黑体"/>
                <w:sz w:val="21"/>
              </w:rPr>
            </w:pPr>
            <w:r>
              <w:rPr>
                <w:rFonts w:ascii="黑体"/>
                <w:sz w:val="21"/>
              </w:rPr>
              <w:t>12</w:t>
            </w:r>
          </w:p>
        </w:tc>
        <w:tc>
          <w:tcPr>
            <w:tcW w:w="2551" w:type="dxa"/>
          </w:tcPr>
          <w:p>
            <w:pPr>
              <w:pStyle w:val="36"/>
              <w:spacing w:before="49"/>
              <w:ind w:left="108"/>
              <w:rPr>
                <w:sz w:val="21"/>
              </w:rPr>
            </w:pPr>
            <w:r>
              <w:rPr>
                <w:sz w:val="21"/>
              </w:rPr>
              <w:t>质量保证金</w:t>
            </w:r>
          </w:p>
        </w:tc>
        <w:tc>
          <w:tcPr>
            <w:tcW w:w="2268" w:type="dxa"/>
          </w:tcPr>
          <w:p>
            <w:pPr>
              <w:pStyle w:val="36"/>
              <w:spacing w:before="49"/>
              <w:ind w:left="253" w:right="177"/>
              <w:jc w:val="center"/>
              <w:rPr>
                <w:sz w:val="21"/>
              </w:rPr>
            </w:pPr>
            <w:r>
              <w:rPr>
                <w:sz w:val="21"/>
              </w:rPr>
              <w:t>17.4</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49"/>
              <w:ind w:left="140" w:right="132"/>
              <w:jc w:val="center"/>
              <w:rPr>
                <w:rFonts w:ascii="黑体"/>
                <w:sz w:val="21"/>
              </w:rPr>
            </w:pPr>
            <w:r>
              <w:rPr>
                <w:rFonts w:ascii="黑体"/>
                <w:sz w:val="21"/>
              </w:rPr>
              <w:t>13</w:t>
            </w:r>
          </w:p>
        </w:tc>
        <w:tc>
          <w:tcPr>
            <w:tcW w:w="2551" w:type="dxa"/>
          </w:tcPr>
          <w:p>
            <w:pPr>
              <w:pStyle w:val="36"/>
              <w:spacing w:before="49"/>
              <w:ind w:left="108"/>
              <w:rPr>
                <w:sz w:val="21"/>
              </w:rPr>
            </w:pPr>
            <w:r>
              <w:rPr>
                <w:sz w:val="21"/>
              </w:rPr>
              <w:t>增值税</w:t>
            </w:r>
          </w:p>
        </w:tc>
        <w:tc>
          <w:tcPr>
            <w:tcW w:w="2268" w:type="dxa"/>
          </w:tcPr>
          <w:p>
            <w:pPr>
              <w:pStyle w:val="36"/>
              <w:spacing w:before="49"/>
              <w:ind w:left="191" w:right="179"/>
              <w:jc w:val="center"/>
              <w:rPr>
                <w:sz w:val="21"/>
              </w:rPr>
            </w:pPr>
            <w:r>
              <w:rPr>
                <w:sz w:val="21"/>
              </w:rPr>
              <w:t>补充条款 25</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49"/>
              <w:ind w:left="140" w:right="132"/>
              <w:jc w:val="center"/>
              <w:rPr>
                <w:rFonts w:ascii="黑体"/>
                <w:sz w:val="21"/>
              </w:rPr>
            </w:pPr>
            <w:r>
              <w:rPr>
                <w:rFonts w:ascii="黑体"/>
                <w:sz w:val="21"/>
              </w:rPr>
              <w:t>14</w:t>
            </w:r>
          </w:p>
        </w:tc>
        <w:tc>
          <w:tcPr>
            <w:tcW w:w="2551" w:type="dxa"/>
          </w:tcPr>
          <w:p>
            <w:pPr>
              <w:pStyle w:val="36"/>
              <w:spacing w:before="49"/>
              <w:ind w:left="108"/>
              <w:rPr>
                <w:sz w:val="21"/>
              </w:rPr>
            </w:pPr>
            <w:r>
              <w:rPr>
                <w:sz w:val="21"/>
              </w:rPr>
              <w:t>农民工工资支付</w:t>
            </w:r>
          </w:p>
        </w:tc>
        <w:tc>
          <w:tcPr>
            <w:tcW w:w="2268" w:type="dxa"/>
          </w:tcPr>
          <w:p>
            <w:pPr>
              <w:pStyle w:val="36"/>
              <w:spacing w:before="49"/>
              <w:ind w:left="191" w:right="179"/>
              <w:jc w:val="center"/>
              <w:rPr>
                <w:sz w:val="21"/>
              </w:rPr>
            </w:pPr>
            <w:r>
              <w:rPr>
                <w:sz w:val="21"/>
              </w:rPr>
              <w:t>补充条款 26</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49"/>
              <w:ind w:left="140" w:right="132"/>
              <w:jc w:val="center"/>
              <w:rPr>
                <w:rFonts w:ascii="黑体"/>
                <w:sz w:val="21"/>
              </w:rPr>
            </w:pPr>
            <w:r>
              <w:rPr>
                <w:rFonts w:ascii="黑体"/>
                <w:sz w:val="21"/>
              </w:rPr>
              <w:t>15</w:t>
            </w:r>
          </w:p>
        </w:tc>
        <w:tc>
          <w:tcPr>
            <w:tcW w:w="2551" w:type="dxa"/>
          </w:tcPr>
          <w:p>
            <w:pPr>
              <w:pStyle w:val="36"/>
              <w:spacing w:before="49"/>
              <w:ind w:left="108"/>
              <w:rPr>
                <w:sz w:val="21"/>
              </w:rPr>
            </w:pPr>
            <w:r>
              <w:rPr>
                <w:sz w:val="21"/>
              </w:rPr>
              <w:t>发包人的设计文件规定</w:t>
            </w:r>
          </w:p>
        </w:tc>
        <w:tc>
          <w:tcPr>
            <w:tcW w:w="2268" w:type="dxa"/>
          </w:tcPr>
          <w:p>
            <w:pPr>
              <w:pStyle w:val="36"/>
              <w:spacing w:before="49"/>
              <w:ind w:left="191" w:right="179"/>
              <w:jc w:val="center"/>
              <w:rPr>
                <w:sz w:val="21"/>
              </w:rPr>
            </w:pPr>
            <w:r>
              <w:rPr>
                <w:sz w:val="21"/>
              </w:rPr>
              <w:t>补充条款 27</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2" w:type="dxa"/>
          </w:tcPr>
          <w:p>
            <w:pPr>
              <w:pStyle w:val="36"/>
              <w:spacing w:before="51"/>
              <w:ind w:left="140" w:right="132"/>
              <w:jc w:val="center"/>
              <w:rPr>
                <w:rFonts w:ascii="黑体"/>
                <w:sz w:val="21"/>
              </w:rPr>
            </w:pPr>
            <w:r>
              <w:rPr>
                <w:rFonts w:ascii="黑体"/>
                <w:sz w:val="21"/>
              </w:rPr>
              <w:t>16</w:t>
            </w:r>
          </w:p>
        </w:tc>
        <w:tc>
          <w:tcPr>
            <w:tcW w:w="2551" w:type="dxa"/>
          </w:tcPr>
          <w:p>
            <w:pPr>
              <w:pStyle w:val="36"/>
              <w:spacing w:before="51"/>
              <w:ind w:left="108"/>
              <w:rPr>
                <w:sz w:val="21"/>
              </w:rPr>
            </w:pPr>
            <w:r>
              <w:rPr>
                <w:sz w:val="21"/>
              </w:rPr>
              <w:t>工期要求</w:t>
            </w:r>
          </w:p>
        </w:tc>
        <w:tc>
          <w:tcPr>
            <w:tcW w:w="2268" w:type="dxa"/>
          </w:tcPr>
          <w:p>
            <w:pPr>
              <w:pStyle w:val="36"/>
              <w:spacing w:before="51"/>
              <w:ind w:left="191" w:right="179"/>
              <w:jc w:val="center"/>
              <w:rPr>
                <w:sz w:val="21"/>
              </w:rPr>
            </w:pPr>
            <w:r>
              <w:rPr>
                <w:sz w:val="21"/>
              </w:rPr>
              <w:t>补充条款 28</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51"/>
              <w:ind w:left="140" w:right="132"/>
              <w:jc w:val="center"/>
              <w:rPr>
                <w:rFonts w:ascii="黑体"/>
                <w:sz w:val="21"/>
              </w:rPr>
            </w:pPr>
            <w:r>
              <w:rPr>
                <w:rFonts w:ascii="黑体"/>
                <w:sz w:val="21"/>
              </w:rPr>
              <w:t>17</w:t>
            </w:r>
          </w:p>
        </w:tc>
        <w:tc>
          <w:tcPr>
            <w:tcW w:w="2551" w:type="dxa"/>
          </w:tcPr>
          <w:p>
            <w:pPr>
              <w:pStyle w:val="36"/>
              <w:spacing w:before="51"/>
              <w:ind w:left="108"/>
              <w:rPr>
                <w:sz w:val="21"/>
              </w:rPr>
            </w:pPr>
            <w:r>
              <w:rPr>
                <w:sz w:val="21"/>
              </w:rPr>
              <w:t>设计质量控制</w:t>
            </w:r>
          </w:p>
        </w:tc>
        <w:tc>
          <w:tcPr>
            <w:tcW w:w="2268" w:type="dxa"/>
          </w:tcPr>
          <w:p>
            <w:pPr>
              <w:pStyle w:val="36"/>
              <w:spacing w:before="51"/>
              <w:ind w:left="193" w:right="179"/>
              <w:jc w:val="center"/>
              <w:rPr>
                <w:sz w:val="21"/>
              </w:rPr>
            </w:pPr>
            <w:r>
              <w:rPr>
                <w:sz w:val="21"/>
              </w:rPr>
              <w:t>补充条款 31</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51"/>
              <w:ind w:left="140" w:right="132"/>
              <w:jc w:val="center"/>
              <w:rPr>
                <w:rFonts w:ascii="黑体"/>
                <w:sz w:val="21"/>
              </w:rPr>
            </w:pPr>
            <w:r>
              <w:rPr>
                <w:rFonts w:ascii="黑体"/>
                <w:sz w:val="21"/>
              </w:rPr>
              <w:t>18</w:t>
            </w:r>
          </w:p>
        </w:tc>
        <w:tc>
          <w:tcPr>
            <w:tcW w:w="2551" w:type="dxa"/>
          </w:tcPr>
          <w:p>
            <w:pPr>
              <w:pStyle w:val="36"/>
              <w:spacing w:before="51"/>
              <w:ind w:left="108"/>
              <w:rPr>
                <w:sz w:val="21"/>
              </w:rPr>
            </w:pPr>
            <w:r>
              <w:rPr>
                <w:sz w:val="21"/>
              </w:rPr>
              <w:t>设计评审、工程试验规定</w:t>
            </w:r>
          </w:p>
        </w:tc>
        <w:tc>
          <w:tcPr>
            <w:tcW w:w="2268" w:type="dxa"/>
          </w:tcPr>
          <w:p>
            <w:pPr>
              <w:pStyle w:val="36"/>
              <w:spacing w:before="51"/>
              <w:ind w:left="193" w:right="179"/>
              <w:jc w:val="center"/>
              <w:rPr>
                <w:sz w:val="21"/>
              </w:rPr>
            </w:pPr>
            <w:r>
              <w:rPr>
                <w:sz w:val="21"/>
              </w:rPr>
              <w:t>补充条款 32</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2" w:type="dxa"/>
          </w:tcPr>
          <w:p>
            <w:pPr>
              <w:pStyle w:val="36"/>
              <w:spacing w:before="51"/>
              <w:ind w:left="140" w:right="132"/>
              <w:jc w:val="center"/>
              <w:rPr>
                <w:rFonts w:ascii="黑体"/>
                <w:sz w:val="21"/>
              </w:rPr>
            </w:pPr>
            <w:r>
              <w:rPr>
                <w:rFonts w:ascii="黑体"/>
                <w:sz w:val="21"/>
              </w:rPr>
              <w:t>19</w:t>
            </w:r>
          </w:p>
        </w:tc>
        <w:tc>
          <w:tcPr>
            <w:tcW w:w="2551" w:type="dxa"/>
          </w:tcPr>
          <w:p>
            <w:pPr>
              <w:pStyle w:val="36"/>
              <w:spacing w:before="51"/>
              <w:ind w:left="108"/>
              <w:rPr>
                <w:sz w:val="21"/>
              </w:rPr>
            </w:pPr>
            <w:r>
              <w:rPr>
                <w:sz w:val="21"/>
              </w:rPr>
              <w:t>其他</w:t>
            </w:r>
          </w:p>
        </w:tc>
        <w:tc>
          <w:tcPr>
            <w:tcW w:w="2268" w:type="dxa"/>
          </w:tcPr>
          <w:p>
            <w:pPr>
              <w:pStyle w:val="36"/>
              <w:spacing w:before="51"/>
              <w:ind w:left="193" w:right="179"/>
              <w:jc w:val="center"/>
              <w:rPr>
                <w:sz w:val="21"/>
              </w:rPr>
            </w:pPr>
            <w:r>
              <w:rPr>
                <w:sz w:val="21"/>
              </w:rPr>
              <w:t>补充条款 33</w:t>
            </w:r>
          </w:p>
        </w:tc>
        <w:tc>
          <w:tcPr>
            <w:tcW w:w="2976" w:type="dxa"/>
          </w:tcPr>
          <w:p>
            <w:pPr>
              <w:pStyle w:val="36"/>
              <w:rPr>
                <w:rFonts w:ascii="Times New Roman"/>
                <w:sz w:val="20"/>
              </w:rPr>
            </w:pPr>
          </w:p>
        </w:tc>
        <w:tc>
          <w:tcPr>
            <w:tcW w:w="851"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9498" w:type="dxa"/>
            <w:gridSpan w:val="5"/>
          </w:tcPr>
          <w:p>
            <w:pPr>
              <w:pStyle w:val="36"/>
              <w:spacing w:before="99"/>
              <w:ind w:left="107"/>
              <w:rPr>
                <w:rFonts w:ascii="黑体" w:eastAsia="黑体"/>
                <w:sz w:val="21"/>
              </w:rPr>
            </w:pPr>
            <w:r>
              <w:rPr>
                <w:rFonts w:hint="eastAsia" w:ascii="黑体" w:eastAsia="黑体"/>
                <w:sz w:val="21"/>
              </w:rPr>
              <w:t>备注：</w:t>
            </w:r>
          </w:p>
          <w:p>
            <w:pPr>
              <w:pStyle w:val="36"/>
              <w:spacing w:before="122" w:line="278" w:lineRule="auto"/>
              <w:ind w:left="107" w:right="92"/>
              <w:jc w:val="both"/>
              <w:rPr>
                <w:b/>
                <w:sz w:val="21"/>
              </w:rPr>
            </w:pPr>
            <w:r>
              <w:rPr>
                <w:sz w:val="21"/>
              </w:rPr>
              <w:t>1</w:t>
            </w:r>
            <w:r>
              <w:rPr>
                <w:spacing w:val="-10"/>
                <w:sz w:val="21"/>
              </w:rPr>
              <w:t>、本表所列的为合同主要条款，具体条款内容见本招标文件第四章。</w:t>
            </w:r>
            <w:r>
              <w:rPr>
                <w:b/>
                <w:spacing w:val="-2"/>
                <w:sz w:val="21"/>
              </w:rPr>
              <w:t>投标人须根据招标文件相关内容</w:t>
            </w:r>
            <w:r>
              <w:rPr>
                <w:b/>
                <w:spacing w:val="-4"/>
                <w:sz w:val="21"/>
              </w:rPr>
              <w:t>进行承诺，承诺内容中可填写“按招标文件执行”或填写更有利于招标人的承诺。投标人应对本表的</w:t>
            </w:r>
            <w:r>
              <w:rPr>
                <w:b/>
                <w:spacing w:val="-3"/>
                <w:sz w:val="21"/>
              </w:rPr>
              <w:t>所有条款进行承诺，否则视为未符合响应性评审中的权利义务标准；</w:t>
            </w:r>
          </w:p>
          <w:p>
            <w:pPr>
              <w:pStyle w:val="36"/>
              <w:spacing w:line="269" w:lineRule="exact"/>
              <w:ind w:left="107"/>
              <w:rPr>
                <w:sz w:val="21"/>
              </w:rPr>
            </w:pPr>
            <w:r>
              <w:rPr>
                <w:sz w:val="21"/>
              </w:rPr>
              <w:t>2、投标人在响应合同的主要条款的基础上，可做出其他有利于招标人的承诺。此类承诺可在本表中予</w:t>
            </w:r>
          </w:p>
          <w:p>
            <w:pPr>
              <w:pStyle w:val="36"/>
              <w:spacing w:before="43"/>
              <w:ind w:left="107"/>
              <w:rPr>
                <w:sz w:val="21"/>
              </w:rPr>
            </w:pPr>
            <w:r>
              <w:rPr>
                <w:sz w:val="21"/>
              </w:rPr>
              <w:t>以补充填写；</w:t>
            </w:r>
          </w:p>
          <w:p>
            <w:pPr>
              <w:pStyle w:val="36"/>
              <w:spacing w:before="43"/>
              <w:ind w:left="107"/>
              <w:rPr>
                <w:sz w:val="21"/>
              </w:rPr>
            </w:pPr>
            <w:r>
              <w:rPr>
                <w:rFonts w:hint="eastAsia"/>
                <w:b/>
                <w:sz w:val="21"/>
              </w:rPr>
              <w:t>3、</w:t>
            </w:r>
            <w:r>
              <w:rPr>
                <w:b/>
                <w:sz w:val="21"/>
              </w:rPr>
              <w:t>拟委派本工程项目经理、施工</w:t>
            </w:r>
            <w:r>
              <w:rPr>
                <w:rFonts w:hint="eastAsia"/>
                <w:b/>
                <w:sz w:val="21"/>
              </w:rPr>
              <w:t>负责人</w:t>
            </w:r>
            <w:r>
              <w:rPr>
                <w:b/>
                <w:sz w:val="21"/>
              </w:rPr>
              <w:t>可为同一人。</w:t>
            </w:r>
          </w:p>
        </w:tc>
      </w:tr>
    </w:tbl>
    <w:p>
      <w:pPr>
        <w:spacing w:before="100"/>
        <w:ind w:left="635"/>
        <w:rPr>
          <w:sz w:val="21"/>
        </w:rPr>
      </w:pPr>
      <w:r>
        <w:rPr>
          <w:b/>
          <w:spacing w:val="-1"/>
          <w:sz w:val="21"/>
        </w:rPr>
        <w:t>投标人</w:t>
      </w:r>
      <w:r>
        <w:rPr>
          <w:sz w:val="21"/>
        </w:rPr>
        <w:t>（</w:t>
      </w:r>
      <w:r>
        <w:rPr>
          <w:spacing w:val="-2"/>
          <w:sz w:val="21"/>
        </w:rPr>
        <w:t>盖章</w:t>
      </w:r>
      <w:r>
        <w:rPr>
          <w:spacing w:val="-108"/>
          <w:sz w:val="21"/>
        </w:rPr>
        <w:t>）</w:t>
      </w:r>
      <w:r>
        <w:rPr>
          <w:sz w:val="21"/>
        </w:rPr>
        <w:t>：</w:t>
      </w:r>
    </w:p>
    <w:p>
      <w:pPr>
        <w:pStyle w:val="10"/>
        <w:spacing w:before="6"/>
        <w:rPr>
          <w:sz w:val="15"/>
        </w:rPr>
      </w:pPr>
    </w:p>
    <w:p>
      <w:pPr>
        <w:ind w:firstLine="663" w:firstLineChars="300"/>
        <w:rPr>
          <w:b/>
          <w:spacing w:val="-7"/>
        </w:rPr>
      </w:pPr>
      <w:r>
        <w:rPr>
          <w:b/>
        </w:rPr>
        <w:t>法人</w:t>
      </w:r>
      <w:r>
        <w:rPr>
          <w:b/>
          <w:spacing w:val="-1"/>
        </w:rPr>
        <w:t>代</w:t>
      </w:r>
      <w:r>
        <w:rPr>
          <w:b/>
        </w:rPr>
        <w:t>表或委托代</w:t>
      </w:r>
      <w:r>
        <w:rPr>
          <w:b/>
          <w:spacing w:val="-3"/>
        </w:rPr>
        <w:t>理</w:t>
      </w:r>
      <w:r>
        <w:rPr>
          <w:b/>
          <w:spacing w:val="-1"/>
        </w:rPr>
        <w:t>人</w:t>
      </w:r>
      <w:r>
        <w:rPr>
          <w:b/>
          <w:spacing w:val="-3"/>
        </w:rPr>
        <w:t>（</w:t>
      </w:r>
      <w:r>
        <w:rPr>
          <w:b/>
        </w:rPr>
        <w:t>签字</w:t>
      </w:r>
      <w:r>
        <w:rPr>
          <w:b/>
          <w:spacing w:val="-115"/>
        </w:rPr>
        <w:t>）</w:t>
      </w:r>
      <w:r>
        <w:rPr>
          <w:b/>
          <w:spacing w:val="-7"/>
        </w:rPr>
        <w:t>：</w:t>
      </w:r>
    </w:p>
    <w:p>
      <w:pPr>
        <w:ind w:firstLine="663" w:firstLineChars="300"/>
        <w:rPr>
          <w:b/>
        </w:rPr>
      </w:pPr>
      <w:r>
        <w:rPr>
          <w:b/>
        </w:rPr>
        <w:t>日期：</w:t>
      </w:r>
      <w:r>
        <w:rPr>
          <w:rFonts w:hint="eastAsia"/>
          <w:b/>
        </w:rPr>
        <w:t xml:space="preserve">   </w:t>
      </w:r>
      <w:r>
        <w:rPr>
          <w:b/>
          <w:u w:val="single"/>
        </w:rPr>
        <w:t xml:space="preserve"> </w:t>
      </w:r>
      <w:r>
        <w:rPr>
          <w:b/>
          <w:u w:val="single"/>
        </w:rPr>
        <w:tab/>
      </w:r>
      <w:r>
        <w:rPr>
          <w:b/>
        </w:rPr>
        <w:t>年</w:t>
      </w:r>
      <w:r>
        <w:rPr>
          <w:b/>
          <w:u w:val="single"/>
        </w:rPr>
        <w:t xml:space="preserve"> </w:t>
      </w:r>
      <w:r>
        <w:rPr>
          <w:b/>
          <w:u w:val="single"/>
        </w:rPr>
        <w:tab/>
      </w:r>
      <w:r>
        <w:rPr>
          <w:b/>
        </w:rPr>
        <w:t>月</w:t>
      </w:r>
      <w:r>
        <w:rPr>
          <w:b/>
          <w:u w:val="single"/>
        </w:rPr>
        <w:t xml:space="preserve"> </w:t>
      </w:r>
      <w:r>
        <w:rPr>
          <w:b/>
          <w:u w:val="single"/>
        </w:rPr>
        <w:tab/>
      </w:r>
      <w:r>
        <w:rPr>
          <w:b/>
        </w:rPr>
        <w:t>日</w:t>
      </w:r>
    </w:p>
    <w:p>
      <w:pPr>
        <w:ind w:firstLine="663" w:firstLineChars="300"/>
        <w:rPr>
          <w:b/>
        </w:rPr>
      </w:pPr>
    </w:p>
    <w:p>
      <w:pPr>
        <w:pStyle w:val="10"/>
        <w:spacing w:before="43"/>
        <w:ind w:left="212"/>
      </w:pPr>
      <w:r>
        <w:t>注：联合体投标的，“投标人”应按要求填写联合体各方的单位全称，由联合体牵头人签字或盖章。</w:t>
      </w:r>
    </w:p>
    <w:p>
      <w:pPr>
        <w:sectPr>
          <w:pgSz w:w="11910" w:h="16840"/>
          <w:pgMar w:top="1520" w:right="580" w:bottom="1180" w:left="920" w:header="0" w:footer="995" w:gutter="0"/>
          <w:cols w:space="720" w:num="1"/>
        </w:sectPr>
      </w:pPr>
    </w:p>
    <w:p>
      <w:pPr>
        <w:pStyle w:val="4"/>
      </w:pPr>
      <w:bookmarkStart w:id="385" w:name="_bookmark290"/>
      <w:bookmarkEnd w:id="385"/>
      <w:bookmarkStart w:id="386" w:name="_Toc37926101"/>
      <w:r>
        <w:rPr>
          <w:rFonts w:hint="eastAsia"/>
        </w:rPr>
        <w:t>（三）</w:t>
      </w:r>
      <w:r>
        <w:t>价格清单</w:t>
      </w:r>
      <w:bookmarkEnd w:id="386"/>
    </w:p>
    <w:p>
      <w:pPr>
        <w:pStyle w:val="10"/>
        <w:spacing w:before="4"/>
        <w:rPr>
          <w:rFonts w:ascii="黑体"/>
          <w:b/>
          <w:sz w:val="36"/>
        </w:rPr>
      </w:pPr>
    </w:p>
    <w:p>
      <w:pPr>
        <w:pStyle w:val="10"/>
        <w:tabs>
          <w:tab w:val="left" w:pos="4413"/>
        </w:tabs>
        <w:ind w:left="212"/>
      </w:pPr>
      <w:r>
        <w:t>致：</w:t>
      </w:r>
      <w:r>
        <w:rPr>
          <w:u w:val="single"/>
        </w:rPr>
        <w:t xml:space="preserve"> </w:t>
      </w:r>
      <w:r>
        <w:rPr>
          <w:u w:val="single"/>
        </w:rPr>
        <w:tab/>
      </w:r>
      <w:r>
        <w:t>（</w:t>
      </w:r>
      <w:r>
        <w:rPr>
          <w:spacing w:val="-3"/>
        </w:rPr>
        <w:t>招标</w:t>
      </w:r>
      <w:r>
        <w:t>人）</w:t>
      </w:r>
    </w:p>
    <w:p>
      <w:pPr>
        <w:pStyle w:val="10"/>
        <w:spacing w:before="5"/>
        <w:rPr>
          <w:sz w:val="9"/>
        </w:rPr>
      </w:pPr>
    </w:p>
    <w:p>
      <w:pPr>
        <w:pStyle w:val="10"/>
        <w:tabs>
          <w:tab w:val="left" w:pos="7102"/>
        </w:tabs>
        <w:spacing w:before="79"/>
        <w:ind w:left="844"/>
        <w:rPr>
          <w:u w:val="single"/>
        </w:rPr>
      </w:pPr>
      <w:r>
        <w:t>我单位已完全理解招标文件，经研究，全部完成</w:t>
      </w:r>
      <w:r>
        <w:rPr>
          <w:u w:val="single"/>
        </w:rPr>
        <w:t xml:space="preserve"> </w:t>
      </w:r>
      <w:r>
        <w:rPr>
          <w:u w:val="single"/>
        </w:rPr>
        <w:tab/>
      </w:r>
      <w:r>
        <w:rPr>
          <w:u w:val="single"/>
        </w:rPr>
        <w:t>（项目名称）</w:t>
      </w:r>
    </w:p>
    <w:p>
      <w:pPr>
        <w:pStyle w:val="10"/>
        <w:spacing w:before="71"/>
        <w:ind w:left="212"/>
      </w:pPr>
      <w:r>
        <w:rPr>
          <w:u w:val="single"/>
        </w:rPr>
        <w:t>招</w:t>
      </w:r>
      <w:r>
        <w:t>标文件及相关资料，我单位投标报价如下：</w:t>
      </w:r>
    </w:p>
    <w:p>
      <w:pPr>
        <w:pStyle w:val="10"/>
        <w:spacing w:before="71"/>
        <w:ind w:left="212"/>
      </w:pPr>
    </w:p>
    <w:p>
      <w:pPr>
        <w:pStyle w:val="10"/>
        <w:spacing w:before="10"/>
        <w:rPr>
          <w:sz w:val="7"/>
        </w:rPr>
      </w:pPr>
    </w:p>
    <w:tbl>
      <w:tblPr>
        <w:tblStyle w:val="24"/>
        <w:tblW w:w="9818"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2362"/>
        <w:gridCol w:w="2621"/>
        <w:gridCol w:w="226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1008" w:type="dxa"/>
          </w:tcPr>
          <w:p>
            <w:pPr>
              <w:pStyle w:val="36"/>
              <w:spacing w:before="3"/>
              <w:rPr>
                <w:sz w:val="17"/>
              </w:rPr>
            </w:pPr>
          </w:p>
          <w:p>
            <w:pPr>
              <w:pStyle w:val="36"/>
              <w:spacing w:before="1"/>
              <w:ind w:left="273" w:right="264"/>
              <w:jc w:val="center"/>
              <w:rPr>
                <w:sz w:val="21"/>
              </w:rPr>
            </w:pPr>
            <w:r>
              <w:rPr>
                <w:sz w:val="21"/>
              </w:rPr>
              <w:t>序号</w:t>
            </w:r>
          </w:p>
        </w:tc>
        <w:tc>
          <w:tcPr>
            <w:tcW w:w="2362" w:type="dxa"/>
          </w:tcPr>
          <w:p>
            <w:pPr>
              <w:pStyle w:val="36"/>
              <w:spacing w:before="3"/>
              <w:rPr>
                <w:sz w:val="17"/>
              </w:rPr>
            </w:pPr>
          </w:p>
          <w:p>
            <w:pPr>
              <w:pStyle w:val="36"/>
              <w:spacing w:before="1"/>
              <w:ind w:left="217" w:right="205"/>
              <w:jc w:val="center"/>
              <w:rPr>
                <w:sz w:val="21"/>
              </w:rPr>
            </w:pPr>
            <w:r>
              <w:rPr>
                <w:sz w:val="21"/>
              </w:rPr>
              <w:t>项目名称</w:t>
            </w:r>
          </w:p>
        </w:tc>
        <w:tc>
          <w:tcPr>
            <w:tcW w:w="2621" w:type="dxa"/>
          </w:tcPr>
          <w:p>
            <w:pPr>
              <w:pStyle w:val="36"/>
              <w:spacing w:before="3"/>
              <w:rPr>
                <w:sz w:val="17"/>
              </w:rPr>
            </w:pPr>
          </w:p>
          <w:p>
            <w:pPr>
              <w:pStyle w:val="36"/>
              <w:spacing w:before="1"/>
              <w:ind w:left="242" w:leftChars="110" w:firstLine="210" w:firstLineChars="100"/>
              <w:rPr>
                <w:sz w:val="21"/>
              </w:rPr>
            </w:pPr>
            <w:r>
              <w:rPr>
                <w:sz w:val="21"/>
              </w:rPr>
              <w:t>投标</w:t>
            </w:r>
            <w:r>
              <w:rPr>
                <w:rFonts w:hint="eastAsia"/>
                <w:sz w:val="21"/>
              </w:rPr>
              <w:t>总</w:t>
            </w:r>
            <w:r>
              <w:rPr>
                <w:sz w:val="21"/>
              </w:rPr>
              <w:t>报价（元）</w:t>
            </w:r>
          </w:p>
        </w:tc>
        <w:tc>
          <w:tcPr>
            <w:tcW w:w="2268" w:type="dxa"/>
          </w:tcPr>
          <w:p>
            <w:pPr>
              <w:pStyle w:val="36"/>
              <w:spacing w:before="3"/>
              <w:rPr>
                <w:sz w:val="17"/>
              </w:rPr>
            </w:pPr>
          </w:p>
          <w:p>
            <w:pPr>
              <w:pStyle w:val="36"/>
              <w:spacing w:before="1"/>
              <w:ind w:left="293"/>
              <w:rPr>
                <w:sz w:val="21"/>
              </w:rPr>
            </w:pPr>
            <w:r>
              <w:rPr>
                <w:sz w:val="21"/>
              </w:rPr>
              <w:t>投标下浮率（%）</w:t>
            </w:r>
          </w:p>
        </w:tc>
        <w:tc>
          <w:tcPr>
            <w:tcW w:w="1559" w:type="dxa"/>
          </w:tcPr>
          <w:p>
            <w:pPr>
              <w:pStyle w:val="36"/>
              <w:spacing w:before="3"/>
              <w:rPr>
                <w:sz w:val="17"/>
              </w:rPr>
            </w:pPr>
          </w:p>
          <w:p>
            <w:pPr>
              <w:pStyle w:val="36"/>
              <w:tabs>
                <w:tab w:val="left" w:pos="918"/>
              </w:tabs>
              <w:spacing w:before="1"/>
              <w:ind w:left="495"/>
              <w:rPr>
                <w:sz w:val="21"/>
              </w:rPr>
            </w:pPr>
            <w:r>
              <w:rPr>
                <w:sz w:val="21"/>
              </w:rPr>
              <w:t>备</w:t>
            </w:r>
            <w:r>
              <w:rPr>
                <w:sz w:val="21"/>
              </w:rPr>
              <w:tab/>
            </w:r>
            <w:r>
              <w:rPr>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4" w:hRule="atLeast"/>
        </w:trPr>
        <w:tc>
          <w:tcPr>
            <w:tcW w:w="1008" w:type="dxa"/>
            <w:vAlign w:val="center"/>
          </w:tcPr>
          <w:p>
            <w:pPr>
              <w:pStyle w:val="36"/>
              <w:ind w:left="10"/>
              <w:jc w:val="center"/>
              <w:rPr>
                <w:sz w:val="21"/>
              </w:rPr>
            </w:pPr>
            <w:r>
              <w:rPr>
                <w:rFonts w:hint="eastAsia"/>
                <w:sz w:val="21"/>
              </w:rPr>
              <w:t>1</w:t>
            </w:r>
          </w:p>
        </w:tc>
        <w:tc>
          <w:tcPr>
            <w:tcW w:w="2362" w:type="dxa"/>
          </w:tcPr>
          <w:p>
            <w:pPr>
              <w:pStyle w:val="36"/>
              <w:spacing w:before="10"/>
              <w:rPr>
                <w:sz w:val="15"/>
              </w:rPr>
            </w:pPr>
          </w:p>
          <w:p>
            <w:pPr>
              <w:pStyle w:val="36"/>
              <w:ind w:left="215" w:right="205"/>
              <w:jc w:val="center"/>
              <w:rPr>
                <w:sz w:val="21"/>
              </w:rPr>
            </w:pPr>
            <w:r>
              <w:rPr>
                <w:sz w:val="21"/>
              </w:rPr>
              <w:t>投标</w:t>
            </w:r>
            <w:r>
              <w:rPr>
                <w:rFonts w:hint="eastAsia"/>
                <w:sz w:val="21"/>
              </w:rPr>
              <w:t>人</w:t>
            </w:r>
            <w:r>
              <w:rPr>
                <w:sz w:val="21"/>
              </w:rPr>
              <w:t>报价</w:t>
            </w:r>
          </w:p>
        </w:tc>
        <w:tc>
          <w:tcPr>
            <w:tcW w:w="2621" w:type="dxa"/>
          </w:tcPr>
          <w:p>
            <w:pPr>
              <w:pStyle w:val="36"/>
              <w:rPr>
                <w:rFonts w:ascii="Times New Roman"/>
                <w:sz w:val="20"/>
              </w:rPr>
            </w:pPr>
          </w:p>
        </w:tc>
        <w:tc>
          <w:tcPr>
            <w:tcW w:w="2268" w:type="dxa"/>
          </w:tcPr>
          <w:p>
            <w:pPr>
              <w:pStyle w:val="36"/>
              <w:rPr>
                <w:rFonts w:ascii="Times New Roman"/>
                <w:sz w:val="20"/>
              </w:rPr>
            </w:pPr>
          </w:p>
        </w:tc>
        <w:tc>
          <w:tcPr>
            <w:tcW w:w="1559"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atLeast"/>
        </w:trPr>
        <w:tc>
          <w:tcPr>
            <w:tcW w:w="1008" w:type="dxa"/>
            <w:vAlign w:val="center"/>
          </w:tcPr>
          <w:p>
            <w:pPr>
              <w:pStyle w:val="36"/>
              <w:ind w:left="10"/>
              <w:jc w:val="center"/>
              <w:rPr>
                <w:sz w:val="21"/>
              </w:rPr>
            </w:pPr>
            <w:r>
              <w:rPr>
                <w:rFonts w:hint="eastAsia"/>
                <w:sz w:val="21"/>
              </w:rPr>
              <w:t>2</w:t>
            </w:r>
          </w:p>
        </w:tc>
        <w:tc>
          <w:tcPr>
            <w:tcW w:w="2362" w:type="dxa"/>
          </w:tcPr>
          <w:p>
            <w:pPr>
              <w:pStyle w:val="36"/>
              <w:spacing w:before="10"/>
              <w:rPr>
                <w:sz w:val="15"/>
              </w:rPr>
            </w:pPr>
          </w:p>
          <w:p>
            <w:pPr>
              <w:pStyle w:val="36"/>
              <w:ind w:left="217" w:right="205"/>
              <w:jc w:val="center"/>
              <w:rPr>
                <w:sz w:val="21"/>
              </w:rPr>
            </w:pPr>
            <w:r>
              <w:rPr>
                <w:rFonts w:hint="eastAsia"/>
                <w:sz w:val="21"/>
              </w:rPr>
              <w:t>工期</w:t>
            </w:r>
          </w:p>
        </w:tc>
        <w:tc>
          <w:tcPr>
            <w:tcW w:w="6448" w:type="dxa"/>
            <w:gridSpan w:val="3"/>
          </w:tcPr>
          <w:p>
            <w:pPr>
              <w:pStyle w:val="36"/>
              <w:rPr>
                <w:rFonts w:ascii="Times New Roman"/>
                <w:sz w:val="20"/>
              </w:rPr>
            </w:pPr>
            <w:r>
              <w:rPr>
                <w:sz w:val="21"/>
              </w:rPr>
              <w:t>总工期</w:t>
            </w:r>
            <w:r>
              <w:rPr>
                <w:rFonts w:ascii="Times New Roman" w:eastAsia="Times New Roman"/>
                <w:sz w:val="21"/>
              </w:rPr>
              <w:t>:</w:t>
            </w:r>
            <w:r>
              <w:rPr>
                <w:rFonts w:hint="eastAsia" w:ascii="Times New Roman" w:eastAsiaTheme="minorEastAsia"/>
                <w:sz w:val="21"/>
              </w:rPr>
              <w:t xml:space="preserve"> </w:t>
            </w:r>
            <w:r>
              <w:rPr>
                <w:rFonts w:hint="eastAsia" w:ascii="Times New Roman" w:eastAsiaTheme="minorEastAsia"/>
                <w:sz w:val="21"/>
                <w:u w:val="single"/>
              </w:rPr>
              <w:t xml:space="preserve">            </w:t>
            </w:r>
            <w:r>
              <w:rPr>
                <w:rFonts w:hint="eastAsia" w:ascii="Times New Roman" w:eastAsiaTheme="minorEastAsia"/>
                <w:sz w:val="21"/>
              </w:rPr>
              <w:t xml:space="preserve"> </w:t>
            </w:r>
            <w:r>
              <w:rPr>
                <w:sz w:val="21"/>
              </w:rPr>
              <w:t>日历天（</w:t>
            </w:r>
            <w:r>
              <w:rPr>
                <w:spacing w:val="-1"/>
                <w:sz w:val="21"/>
              </w:rPr>
              <w:t>含施工图设计、施工报建、施工、竣工验收时间</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atLeast"/>
        </w:trPr>
        <w:tc>
          <w:tcPr>
            <w:tcW w:w="1008" w:type="dxa"/>
            <w:vMerge w:val="restart"/>
            <w:vAlign w:val="center"/>
          </w:tcPr>
          <w:p>
            <w:pPr>
              <w:pStyle w:val="36"/>
              <w:ind w:left="10"/>
              <w:jc w:val="center"/>
              <w:rPr>
                <w:sz w:val="21"/>
              </w:rPr>
            </w:pPr>
            <w:r>
              <w:rPr>
                <w:rFonts w:hint="eastAsia"/>
                <w:sz w:val="21"/>
              </w:rPr>
              <w:t>3</w:t>
            </w:r>
          </w:p>
        </w:tc>
        <w:tc>
          <w:tcPr>
            <w:tcW w:w="2362" w:type="dxa"/>
            <w:vMerge w:val="restart"/>
            <w:vAlign w:val="center"/>
          </w:tcPr>
          <w:p>
            <w:pPr>
              <w:pStyle w:val="36"/>
              <w:spacing w:before="10"/>
              <w:jc w:val="both"/>
              <w:rPr>
                <w:sz w:val="15"/>
              </w:rPr>
            </w:pPr>
          </w:p>
          <w:p>
            <w:pPr>
              <w:pStyle w:val="36"/>
              <w:ind w:left="218" w:leftChars="99" w:right="205" w:firstLine="525" w:firstLineChars="250"/>
              <w:jc w:val="both"/>
              <w:rPr>
                <w:sz w:val="21"/>
              </w:rPr>
            </w:pPr>
            <w:r>
              <w:rPr>
                <w:rFonts w:hint="eastAsia"/>
                <w:sz w:val="21"/>
              </w:rPr>
              <w:t>质量标准</w:t>
            </w:r>
          </w:p>
        </w:tc>
        <w:tc>
          <w:tcPr>
            <w:tcW w:w="6448" w:type="dxa"/>
            <w:gridSpan w:val="3"/>
            <w:vAlign w:val="center"/>
          </w:tcPr>
          <w:p>
            <w:pPr>
              <w:pStyle w:val="36"/>
              <w:jc w:val="both"/>
              <w:rPr>
                <w:rFonts w:ascii="Times New Roman"/>
                <w:sz w:val="20"/>
              </w:rPr>
            </w:pPr>
            <w:r>
              <w:rPr>
                <w:sz w:val="21"/>
              </w:rPr>
              <w:t>设计质量要求：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atLeast"/>
        </w:trPr>
        <w:tc>
          <w:tcPr>
            <w:tcW w:w="1008" w:type="dxa"/>
            <w:vMerge w:val="continue"/>
            <w:vAlign w:val="center"/>
          </w:tcPr>
          <w:p>
            <w:pPr>
              <w:pStyle w:val="36"/>
              <w:ind w:left="10"/>
              <w:jc w:val="center"/>
              <w:rPr>
                <w:sz w:val="21"/>
              </w:rPr>
            </w:pPr>
          </w:p>
        </w:tc>
        <w:tc>
          <w:tcPr>
            <w:tcW w:w="2362" w:type="dxa"/>
            <w:vMerge w:val="continue"/>
            <w:vAlign w:val="center"/>
          </w:tcPr>
          <w:p>
            <w:pPr>
              <w:pStyle w:val="36"/>
              <w:spacing w:before="10"/>
              <w:jc w:val="both"/>
              <w:rPr>
                <w:sz w:val="15"/>
              </w:rPr>
            </w:pPr>
          </w:p>
        </w:tc>
        <w:tc>
          <w:tcPr>
            <w:tcW w:w="6448" w:type="dxa"/>
            <w:gridSpan w:val="3"/>
            <w:vAlign w:val="center"/>
          </w:tcPr>
          <w:p>
            <w:pPr>
              <w:pStyle w:val="36"/>
              <w:jc w:val="both"/>
              <w:rPr>
                <w:rFonts w:ascii="Times New Roman"/>
                <w:sz w:val="20"/>
              </w:rPr>
            </w:pPr>
            <w:r>
              <w:rPr>
                <w:sz w:val="21"/>
              </w:rPr>
              <w:t>施工质量标准：</w:t>
            </w:r>
          </w:p>
        </w:tc>
      </w:tr>
    </w:tbl>
    <w:p>
      <w:pPr>
        <w:pStyle w:val="10"/>
        <w:rPr>
          <w:sz w:val="20"/>
        </w:rPr>
      </w:pPr>
    </w:p>
    <w:p>
      <w:pPr>
        <w:pStyle w:val="10"/>
        <w:spacing w:before="7"/>
        <w:rPr>
          <w:sz w:val="22"/>
        </w:rPr>
      </w:pPr>
    </w:p>
    <w:p>
      <w:pPr>
        <w:pStyle w:val="10"/>
        <w:spacing w:before="1"/>
        <w:ind w:left="212"/>
      </w:pPr>
      <w:r>
        <w:rPr>
          <w:spacing w:val="-53"/>
        </w:rPr>
        <w:t>注：</w:t>
      </w:r>
      <w:r>
        <w:t>（</w:t>
      </w:r>
      <w:r>
        <w:rPr>
          <w:spacing w:val="-3"/>
        </w:rPr>
        <w:t>1</w:t>
      </w:r>
      <w:r>
        <w:t>）</w:t>
      </w:r>
      <w:r>
        <w:rPr>
          <w:spacing w:val="-3"/>
        </w:rPr>
        <w:t>投标报价为人民币报价，保留</w:t>
      </w:r>
      <w:r>
        <w:t>至小数点后两位小数，第三位四舍五入</w:t>
      </w:r>
      <w:r>
        <w:rPr>
          <w:spacing w:val="-3"/>
        </w:rPr>
        <w:t>。</w:t>
      </w:r>
    </w:p>
    <w:p>
      <w:pPr>
        <w:pStyle w:val="35"/>
        <w:numPr>
          <w:ilvl w:val="0"/>
          <w:numId w:val="108"/>
        </w:numPr>
        <w:tabs>
          <w:tab w:val="left" w:pos="1057"/>
        </w:tabs>
        <w:spacing w:before="139"/>
        <w:ind w:hanging="530"/>
        <w:rPr>
          <w:sz w:val="21"/>
        </w:rPr>
      </w:pPr>
      <w:r>
        <w:rPr>
          <w:spacing w:val="-3"/>
          <w:sz w:val="21"/>
        </w:rPr>
        <w:t>投标下浮率保留小数点后两位数。</w:t>
      </w:r>
    </w:p>
    <w:p>
      <w:pPr>
        <w:pStyle w:val="35"/>
        <w:numPr>
          <w:ilvl w:val="0"/>
          <w:numId w:val="108"/>
        </w:numPr>
        <w:tabs>
          <w:tab w:val="left" w:pos="1057"/>
        </w:tabs>
        <w:spacing w:before="138" w:line="364" w:lineRule="auto"/>
        <w:ind w:left="212" w:right="546" w:firstLine="317"/>
        <w:jc w:val="both"/>
        <w:rPr>
          <w:sz w:val="21"/>
        </w:rPr>
      </w:pPr>
      <w:r>
        <w:rPr>
          <w:spacing w:val="-4"/>
          <w:sz w:val="21"/>
        </w:rPr>
        <w:t>投标总报价应包括投标人履行本项目合同</w:t>
      </w:r>
      <w:r>
        <w:rPr>
          <w:sz w:val="21"/>
        </w:rPr>
        <w:t>（</w:t>
      </w:r>
      <w:r>
        <w:rPr>
          <w:spacing w:val="-5"/>
          <w:sz w:val="21"/>
        </w:rPr>
        <w:t>含设计费、建安工程费）</w:t>
      </w:r>
      <w:r>
        <w:rPr>
          <w:spacing w:val="-3"/>
          <w:sz w:val="21"/>
        </w:rPr>
        <w:t>所必须的所有成本费</w:t>
      </w:r>
      <w:r>
        <w:rPr>
          <w:spacing w:val="-5"/>
          <w:sz w:val="21"/>
        </w:rPr>
        <w:t>用和投标人应承担的一切税费，包括但不限于办公、交通、人员、差旅、文件、税费、利润、测试工具费</w:t>
      </w:r>
      <w:r>
        <w:rPr>
          <w:spacing w:val="-4"/>
          <w:sz w:val="21"/>
        </w:rPr>
        <w:t>用及其他管理费用等。</w:t>
      </w:r>
    </w:p>
    <w:p>
      <w:pPr>
        <w:pStyle w:val="10"/>
        <w:ind w:left="530"/>
        <w:jc w:val="both"/>
      </w:pPr>
      <w:r>
        <w:t>（4）</w:t>
      </w:r>
      <w:r>
        <w:rPr>
          <w:rFonts w:hint="eastAsia"/>
          <w:spacing w:val="-3"/>
        </w:rPr>
        <w:t>投标报价</w:t>
      </w:r>
      <w:r>
        <w:rPr>
          <w:spacing w:val="-3"/>
        </w:rPr>
        <w:t xml:space="preserve"> =招标控制价×(</w:t>
      </w:r>
      <w:r>
        <w:t>1</w:t>
      </w:r>
      <w:r>
        <w:rPr>
          <w:spacing w:val="-3"/>
        </w:rPr>
        <w:t>-投标下浮率)。</w:t>
      </w:r>
    </w:p>
    <w:p>
      <w:pPr>
        <w:pStyle w:val="10"/>
        <w:spacing w:before="139"/>
        <w:ind w:left="527"/>
      </w:pPr>
      <w:r>
        <w:t>（</w:t>
      </w:r>
      <w:r>
        <w:rPr>
          <w:rFonts w:hint="eastAsia"/>
        </w:rPr>
        <w:t>5</w:t>
      </w:r>
      <w:r>
        <w:t>）报标报价优先解释顺序：1）投标下浮率；2）投标总价；3）投标总价（小写）；4）投标总价（大写）。</w:t>
      </w:r>
    </w:p>
    <w:p>
      <w:pPr>
        <w:pStyle w:val="10"/>
        <w:rPr>
          <w:sz w:val="20"/>
        </w:rPr>
      </w:pPr>
    </w:p>
    <w:p>
      <w:pPr>
        <w:pStyle w:val="10"/>
        <w:spacing w:before="1"/>
        <w:rPr>
          <w:sz w:val="27"/>
        </w:rPr>
      </w:pPr>
    </w:p>
    <w:p>
      <w:pPr>
        <w:pStyle w:val="10"/>
        <w:ind w:left="2733"/>
      </w:pPr>
      <w:r>
        <w:rPr>
          <w:spacing w:val="-2"/>
        </w:rPr>
        <w:t>投标人名称</w:t>
      </w:r>
      <w:r>
        <w:t>（</w:t>
      </w:r>
      <w:r>
        <w:rPr>
          <w:spacing w:val="-2"/>
        </w:rPr>
        <w:t>盖章</w:t>
      </w:r>
      <w:r>
        <w:rPr>
          <w:spacing w:val="-108"/>
        </w:rPr>
        <w:t>）</w:t>
      </w:r>
      <w:r>
        <w:t>：</w:t>
      </w:r>
    </w:p>
    <w:p>
      <w:pPr>
        <w:pStyle w:val="10"/>
        <w:spacing w:before="7"/>
        <w:rPr>
          <w:sz w:val="15"/>
        </w:rPr>
      </w:pPr>
    </w:p>
    <w:p>
      <w:pPr>
        <w:pStyle w:val="10"/>
        <w:tabs>
          <w:tab w:val="left" w:pos="3391"/>
          <w:tab w:val="left" w:pos="4279"/>
          <w:tab w:val="left" w:pos="4836"/>
          <w:tab w:val="left" w:pos="5392"/>
        </w:tabs>
        <w:spacing w:line="328" w:lineRule="auto"/>
        <w:ind w:left="2721" w:right="3782" w:firstLine="12"/>
      </w:pPr>
    </w:p>
    <w:p>
      <w:pPr>
        <w:pStyle w:val="10"/>
        <w:tabs>
          <w:tab w:val="left" w:pos="3391"/>
          <w:tab w:val="left" w:pos="4279"/>
          <w:tab w:val="left" w:pos="4836"/>
          <w:tab w:val="left" w:pos="5392"/>
        </w:tabs>
        <w:spacing w:line="328" w:lineRule="auto"/>
        <w:ind w:left="2721" w:right="3782" w:firstLine="12"/>
        <w:rPr>
          <w:spacing w:val="-7"/>
        </w:rPr>
      </w:pPr>
      <w:r>
        <w:t>法定</w:t>
      </w:r>
      <w:r>
        <w:rPr>
          <w:spacing w:val="-3"/>
        </w:rPr>
        <w:t>代</w:t>
      </w:r>
      <w:r>
        <w:t>表</w:t>
      </w:r>
      <w:r>
        <w:rPr>
          <w:spacing w:val="-3"/>
        </w:rPr>
        <w:t>人</w:t>
      </w:r>
      <w:r>
        <w:t>或</w:t>
      </w:r>
      <w:r>
        <w:rPr>
          <w:spacing w:val="-3"/>
        </w:rPr>
        <w:t>其</w:t>
      </w:r>
      <w:r>
        <w:t>授</w:t>
      </w:r>
      <w:r>
        <w:rPr>
          <w:spacing w:val="-3"/>
        </w:rPr>
        <w:t>权</w:t>
      </w:r>
      <w:r>
        <w:t>代</w:t>
      </w:r>
      <w:r>
        <w:rPr>
          <w:spacing w:val="-3"/>
        </w:rPr>
        <w:t>表</w:t>
      </w:r>
      <w:r>
        <w:t>（签</w:t>
      </w:r>
      <w:r>
        <w:rPr>
          <w:spacing w:val="-3"/>
        </w:rPr>
        <w:t>字</w:t>
      </w:r>
      <w:r>
        <w:t>或</w:t>
      </w:r>
      <w:r>
        <w:rPr>
          <w:spacing w:val="-3"/>
        </w:rPr>
        <w:t>盖</w:t>
      </w:r>
      <w:r>
        <w:t>章</w:t>
      </w:r>
      <w:r>
        <w:rPr>
          <w:spacing w:val="-115"/>
        </w:rPr>
        <w:t>）</w:t>
      </w:r>
      <w:r>
        <w:rPr>
          <w:spacing w:val="-7"/>
        </w:rPr>
        <w:t>：</w:t>
      </w:r>
    </w:p>
    <w:p>
      <w:pPr>
        <w:pStyle w:val="10"/>
        <w:tabs>
          <w:tab w:val="left" w:pos="3391"/>
          <w:tab w:val="left" w:pos="4279"/>
          <w:tab w:val="left" w:pos="4836"/>
          <w:tab w:val="left" w:pos="5392"/>
        </w:tabs>
        <w:spacing w:line="328" w:lineRule="auto"/>
        <w:ind w:left="2721" w:right="3782" w:firstLine="12"/>
        <w:rPr>
          <w:spacing w:val="-7"/>
        </w:rPr>
      </w:pPr>
    </w:p>
    <w:p>
      <w:pPr>
        <w:pStyle w:val="10"/>
        <w:tabs>
          <w:tab w:val="left" w:pos="3391"/>
          <w:tab w:val="left" w:pos="4279"/>
          <w:tab w:val="left" w:pos="4836"/>
          <w:tab w:val="left" w:pos="5392"/>
        </w:tabs>
        <w:spacing w:line="328" w:lineRule="auto"/>
        <w:ind w:left="2721" w:right="3782" w:firstLine="12"/>
      </w:pPr>
      <w:r>
        <w:t>日</w:t>
      </w:r>
      <w:r>
        <w:tab/>
      </w:r>
      <w:r>
        <w:rPr>
          <w:spacing w:val="7"/>
        </w:rPr>
        <w:t>期</w:t>
      </w:r>
      <w:r>
        <w:t>：</w:t>
      </w:r>
      <w:r>
        <w:tab/>
      </w:r>
      <w:r>
        <w:t>年</w:t>
      </w:r>
      <w:r>
        <w:tab/>
      </w:r>
      <w:r>
        <w:t>月</w:t>
      </w:r>
      <w:r>
        <w:tab/>
      </w:r>
      <w:r>
        <w:t>日</w:t>
      </w:r>
    </w:p>
    <w:p>
      <w:pPr>
        <w:pStyle w:val="10"/>
        <w:tabs>
          <w:tab w:val="left" w:pos="3391"/>
          <w:tab w:val="left" w:pos="4279"/>
          <w:tab w:val="left" w:pos="4836"/>
          <w:tab w:val="left" w:pos="5392"/>
        </w:tabs>
        <w:spacing w:line="328" w:lineRule="auto"/>
        <w:ind w:right="912" w:firstLine="308" w:firstLineChars="147"/>
      </w:pPr>
    </w:p>
    <w:p>
      <w:pPr>
        <w:pStyle w:val="10"/>
        <w:tabs>
          <w:tab w:val="left" w:pos="3391"/>
          <w:tab w:val="left" w:pos="4279"/>
          <w:tab w:val="left" w:pos="4836"/>
          <w:tab w:val="left" w:pos="5392"/>
        </w:tabs>
        <w:spacing w:line="328" w:lineRule="auto"/>
        <w:ind w:right="912" w:firstLine="308" w:firstLineChars="147"/>
      </w:pPr>
    </w:p>
    <w:p>
      <w:pPr>
        <w:pStyle w:val="10"/>
        <w:tabs>
          <w:tab w:val="left" w:pos="3391"/>
          <w:tab w:val="left" w:pos="4279"/>
          <w:tab w:val="left" w:pos="4836"/>
          <w:tab w:val="left" w:pos="5392"/>
        </w:tabs>
        <w:spacing w:line="328" w:lineRule="auto"/>
        <w:ind w:right="912" w:firstLine="308" w:firstLineChars="147"/>
      </w:pPr>
      <w:r>
        <w:t>注：联合体投标的，“投标人”应按要求填写联合体各方的单位全称，由联合体牵头人签字或盖章。</w:t>
      </w:r>
    </w:p>
    <w:p>
      <w:pPr>
        <w:spacing w:line="328" w:lineRule="auto"/>
        <w:sectPr>
          <w:pgSz w:w="11910" w:h="16840"/>
          <w:pgMar w:top="1500" w:right="580" w:bottom="1180" w:left="920" w:header="0" w:footer="995" w:gutter="0"/>
          <w:cols w:space="720" w:num="1"/>
        </w:sectPr>
      </w:pPr>
    </w:p>
    <w:p>
      <w:pPr>
        <w:pStyle w:val="3"/>
        <w:spacing w:before="29"/>
        <w:ind w:left="0" w:right="341" w:firstLine="0"/>
        <w:jc w:val="center"/>
      </w:pPr>
      <w:bookmarkStart w:id="387" w:name="_bookmark291"/>
      <w:bookmarkEnd w:id="387"/>
      <w:bookmarkStart w:id="388" w:name="_Toc37926102"/>
      <w:r>
        <w:rPr>
          <w:rFonts w:hint="eastAsia"/>
        </w:rPr>
        <w:t>二</w:t>
      </w:r>
      <w:r>
        <w:t>、法定代表人身份证明或授权委托书</w:t>
      </w:r>
      <w:bookmarkEnd w:id="388"/>
    </w:p>
    <w:p>
      <w:pPr>
        <w:pStyle w:val="10"/>
        <w:spacing w:before="4"/>
        <w:rPr>
          <w:rFonts w:ascii="黑体"/>
          <w:b/>
          <w:sz w:val="37"/>
        </w:rPr>
      </w:pPr>
    </w:p>
    <w:p>
      <w:pPr>
        <w:spacing w:before="1"/>
        <w:ind w:left="3016"/>
        <w:rPr>
          <w:b/>
          <w:sz w:val="24"/>
        </w:rPr>
      </w:pPr>
      <w:r>
        <w:rPr>
          <w:sz w:val="20"/>
        </w:rPr>
        <w:t>（一</w:t>
      </w:r>
      <w:r>
        <w:rPr>
          <w:spacing w:val="-101"/>
          <w:sz w:val="20"/>
        </w:rPr>
        <w:t>）</w:t>
      </w:r>
      <w:r>
        <w:rPr>
          <w:sz w:val="20"/>
        </w:rPr>
        <w:t>、</w:t>
      </w:r>
      <w:r>
        <w:rPr>
          <w:b/>
          <w:sz w:val="24"/>
        </w:rPr>
        <w:t>法定代表人身份证明</w:t>
      </w:r>
    </w:p>
    <w:p>
      <w:pPr>
        <w:pStyle w:val="10"/>
        <w:rPr>
          <w:b/>
          <w:sz w:val="24"/>
        </w:rPr>
      </w:pPr>
    </w:p>
    <w:p>
      <w:pPr>
        <w:pStyle w:val="10"/>
        <w:spacing w:before="1"/>
        <w:rPr>
          <w:b/>
          <w:sz w:val="23"/>
        </w:rPr>
      </w:pPr>
    </w:p>
    <w:p>
      <w:pPr>
        <w:pStyle w:val="10"/>
        <w:tabs>
          <w:tab w:val="left" w:pos="4463"/>
        </w:tabs>
        <w:ind w:left="212"/>
        <w:rPr>
          <w:rFonts w:ascii="Times New Roman" w:eastAsia="Times New Roman"/>
        </w:rPr>
      </w:pPr>
      <w:r>
        <w:t>投标</w:t>
      </w:r>
      <w:r>
        <w:rPr>
          <w:spacing w:val="-3"/>
        </w:rPr>
        <w:t>人</w:t>
      </w:r>
      <w:r>
        <w:t>名</w:t>
      </w:r>
      <w:r>
        <w:rPr>
          <w:spacing w:val="-3"/>
        </w:rPr>
        <w:t>称</w:t>
      </w:r>
      <w:r>
        <w:t>：</w:t>
      </w:r>
      <w:r>
        <w:rPr>
          <w:rFonts w:ascii="Times New Roman" w:eastAsia="Times New Roman"/>
          <w:u w:val="single"/>
        </w:rPr>
        <w:t xml:space="preserve"> </w:t>
      </w:r>
      <w:r>
        <w:rPr>
          <w:rFonts w:hint="eastAsia" w:ascii="Times New Roman"/>
          <w:u w:val="single"/>
        </w:rPr>
        <w:t>广东省江门市气象局</w:t>
      </w:r>
      <w:r>
        <w:rPr>
          <w:rFonts w:ascii="Times New Roman" w:eastAsia="Times New Roman"/>
          <w:u w:val="single"/>
        </w:rPr>
        <w:tab/>
      </w:r>
    </w:p>
    <w:p>
      <w:pPr>
        <w:pStyle w:val="10"/>
        <w:tabs>
          <w:tab w:val="left" w:pos="4566"/>
        </w:tabs>
        <w:spacing w:before="170"/>
        <w:ind w:left="212"/>
        <w:rPr>
          <w:rFonts w:ascii="Times New Roman" w:eastAsia="Times New Roman"/>
        </w:rPr>
      </w:pPr>
      <w:r>
        <w:t>单位</w:t>
      </w:r>
      <w:r>
        <w:rPr>
          <w:spacing w:val="-3"/>
        </w:rPr>
        <w:t>性</w:t>
      </w:r>
      <w:r>
        <w:t>质</w:t>
      </w:r>
      <w:r>
        <w:rPr>
          <w:spacing w:val="-3"/>
        </w:rPr>
        <w:t>：</w:t>
      </w:r>
      <w:r>
        <w:rPr>
          <w:rFonts w:ascii="Times New Roman" w:eastAsia="Times New Roman"/>
          <w:u w:val="single"/>
        </w:rPr>
        <w:t xml:space="preserve"> </w:t>
      </w:r>
      <w:r>
        <w:rPr>
          <w:rFonts w:hint="eastAsia" w:ascii="Times New Roman"/>
          <w:u w:val="single"/>
        </w:rPr>
        <w:t>事业单位</w:t>
      </w:r>
      <w:r>
        <w:rPr>
          <w:rFonts w:ascii="Times New Roman" w:eastAsia="Times New Roman"/>
          <w:u w:val="single"/>
        </w:rPr>
        <w:tab/>
      </w:r>
    </w:p>
    <w:p>
      <w:pPr>
        <w:pStyle w:val="10"/>
        <w:tabs>
          <w:tab w:val="left" w:pos="4566"/>
        </w:tabs>
        <w:spacing w:before="172"/>
        <w:ind w:left="212"/>
        <w:rPr>
          <w:rFonts w:ascii="Times New Roman" w:eastAsia="Times New Roman"/>
        </w:rPr>
      </w:pPr>
      <w:r>
        <w:rPr>
          <w:spacing w:val="-1"/>
        </w:rPr>
        <w:t>地址</w:t>
      </w:r>
      <w:r>
        <w:t>：</w:t>
      </w:r>
      <w:r>
        <w:rPr>
          <w:rFonts w:ascii="Times New Roman" w:eastAsia="Times New Roman"/>
          <w:u w:val="single"/>
        </w:rPr>
        <w:t xml:space="preserve"> </w:t>
      </w:r>
      <w:r>
        <w:rPr>
          <w:rFonts w:hint="eastAsia" w:ascii="Times New Roman"/>
          <w:u w:val="single"/>
        </w:rPr>
        <w:t>江门市星云路</w:t>
      </w:r>
      <w:r>
        <w:rPr>
          <w:rFonts w:hint="eastAsia" w:ascii="Times New Roman"/>
          <w:u w:val="single"/>
          <w:lang w:val="en-US"/>
        </w:rPr>
        <w:t>8号</w:t>
      </w:r>
      <w:r>
        <w:rPr>
          <w:rFonts w:ascii="Times New Roman" w:eastAsia="Times New Roman"/>
          <w:u w:val="single"/>
        </w:rPr>
        <w:tab/>
      </w:r>
    </w:p>
    <w:p>
      <w:pPr>
        <w:pStyle w:val="10"/>
        <w:tabs>
          <w:tab w:val="left" w:pos="2209"/>
          <w:tab w:val="left" w:pos="3153"/>
          <w:tab w:val="left" w:pos="4099"/>
        </w:tabs>
        <w:spacing w:before="171"/>
        <w:ind w:left="212"/>
      </w:pPr>
      <w:r>
        <w:t>成立</w:t>
      </w:r>
      <w:r>
        <w:rPr>
          <w:spacing w:val="-3"/>
        </w:rPr>
        <w:t>时</w:t>
      </w:r>
      <w:r>
        <w:t>间</w:t>
      </w:r>
      <w:r>
        <w:rPr>
          <w:spacing w:val="-3"/>
        </w:rPr>
        <w:t>：</w:t>
      </w:r>
      <w:r>
        <w:rPr>
          <w:spacing w:val="-3"/>
          <w:u w:val="single"/>
        </w:rPr>
        <w:t xml:space="preserve"> </w:t>
      </w:r>
      <w:r>
        <w:rPr>
          <w:spacing w:val="-3"/>
          <w:u w:val="single"/>
        </w:rPr>
        <w:tab/>
      </w:r>
      <w:r>
        <w:t>年</w:t>
      </w:r>
      <w:r>
        <w:rPr>
          <w:u w:val="single"/>
        </w:rPr>
        <w:t xml:space="preserve"> </w:t>
      </w:r>
      <w:r>
        <w:rPr>
          <w:u w:val="single"/>
        </w:rPr>
        <w:tab/>
      </w:r>
      <w:r>
        <w:t>月</w:t>
      </w:r>
      <w:r>
        <w:rPr>
          <w:u w:val="single"/>
        </w:rPr>
        <w:t xml:space="preserve"> </w:t>
      </w:r>
      <w:r>
        <w:rPr>
          <w:u w:val="single"/>
        </w:rPr>
        <w:tab/>
      </w:r>
      <w:r>
        <w:t>日</w:t>
      </w:r>
    </w:p>
    <w:p>
      <w:pPr>
        <w:pStyle w:val="10"/>
        <w:tabs>
          <w:tab w:val="left" w:pos="4566"/>
        </w:tabs>
        <w:spacing w:before="170"/>
        <w:ind w:left="212"/>
        <w:rPr>
          <w:rFonts w:ascii="Times New Roman" w:eastAsia="Times New Roman"/>
        </w:rPr>
      </w:pPr>
      <w:r>
        <w:t>经营</w:t>
      </w:r>
      <w:r>
        <w:rPr>
          <w:spacing w:val="-3"/>
        </w:rPr>
        <w:t>期</w:t>
      </w:r>
      <w:r>
        <w:t>限</w:t>
      </w:r>
      <w:r>
        <w:rPr>
          <w:spacing w:val="-3"/>
        </w:rPr>
        <w:t>：</w:t>
      </w:r>
      <w:r>
        <w:rPr>
          <w:rFonts w:ascii="Times New Roman" w:eastAsia="Times New Roman"/>
          <w:u w:val="single"/>
        </w:rPr>
        <w:t xml:space="preserve"> </w:t>
      </w:r>
      <w:r>
        <w:rPr>
          <w:rFonts w:ascii="Times New Roman" w:eastAsia="Times New Roman"/>
          <w:u w:val="single"/>
        </w:rPr>
        <w:tab/>
      </w:r>
    </w:p>
    <w:p>
      <w:pPr>
        <w:pStyle w:val="10"/>
        <w:tabs>
          <w:tab w:val="left" w:pos="1732"/>
          <w:tab w:val="left" w:pos="3412"/>
          <w:tab w:val="left" w:pos="4939"/>
          <w:tab w:val="left" w:pos="6458"/>
        </w:tabs>
        <w:spacing w:before="173"/>
        <w:ind w:left="212"/>
        <w:rPr>
          <w:rFonts w:ascii="Times New Roman" w:eastAsia="Times New Roman"/>
        </w:rPr>
      </w:pPr>
      <w:r>
        <w:t>姓名：</w:t>
      </w:r>
      <w:r>
        <w:rPr>
          <w:u w:val="single"/>
        </w:rPr>
        <w:t xml:space="preserve"> </w:t>
      </w:r>
      <w:r>
        <w:rPr>
          <w:rFonts w:hint="eastAsia"/>
          <w:u w:val="single"/>
        </w:rPr>
        <w:t>张晓东</w:t>
      </w:r>
      <w:r>
        <w:rPr>
          <w:u w:val="single"/>
        </w:rPr>
        <w:tab/>
      </w:r>
      <w:r>
        <w:rPr>
          <w:spacing w:val="-3"/>
        </w:rPr>
        <w:t>性</w:t>
      </w:r>
      <w:r>
        <w:t>别：</w:t>
      </w:r>
      <w:r>
        <w:rPr>
          <w:u w:val="single"/>
        </w:rPr>
        <w:t xml:space="preserve"> </w:t>
      </w:r>
      <w:r>
        <w:rPr>
          <w:rFonts w:hint="eastAsia"/>
          <w:u w:val="single"/>
        </w:rPr>
        <w:t>男</w:t>
      </w:r>
      <w:r>
        <w:rPr>
          <w:u w:val="single"/>
        </w:rPr>
        <w:tab/>
      </w:r>
      <w:r>
        <w:rPr>
          <w:spacing w:val="-3"/>
        </w:rPr>
        <w:t>年</w:t>
      </w:r>
      <w:r>
        <w:t>龄</w:t>
      </w:r>
      <w:r>
        <w:rPr>
          <w:spacing w:val="-3"/>
        </w:rPr>
        <w:t>：</w:t>
      </w:r>
      <w:r>
        <w:rPr>
          <w:spacing w:val="-3"/>
          <w:u w:val="single"/>
        </w:rPr>
        <w:t xml:space="preserve"> </w:t>
      </w:r>
      <w:r>
        <w:rPr>
          <w:rFonts w:hint="eastAsia"/>
          <w:spacing w:val="-3"/>
          <w:u w:val="single"/>
          <w:lang w:val="en-US"/>
        </w:rPr>
        <w:t>45</w:t>
      </w:r>
      <w:r>
        <w:rPr>
          <w:spacing w:val="-3"/>
          <w:u w:val="single"/>
        </w:rPr>
        <w:tab/>
      </w:r>
      <w:r>
        <w:t>职务</w:t>
      </w:r>
      <w:r>
        <w:rPr>
          <w:spacing w:val="-3"/>
        </w:rPr>
        <w:t>：</w:t>
      </w:r>
      <w:r>
        <w:rPr>
          <w:rFonts w:ascii="Times New Roman" w:eastAsia="Times New Roman"/>
          <w:u w:val="single"/>
        </w:rPr>
        <w:t xml:space="preserve"> </w:t>
      </w:r>
      <w:r>
        <w:rPr>
          <w:rFonts w:hint="eastAsia" w:ascii="Times New Roman"/>
          <w:u w:val="single"/>
        </w:rPr>
        <w:t>局长</w:t>
      </w:r>
      <w:r>
        <w:rPr>
          <w:rFonts w:ascii="Times New Roman" w:eastAsia="Times New Roman"/>
          <w:u w:val="single"/>
        </w:rPr>
        <w:tab/>
      </w:r>
    </w:p>
    <w:p>
      <w:pPr>
        <w:pStyle w:val="3"/>
        <w:spacing w:before="29"/>
        <w:ind w:left="0" w:right="341" w:firstLine="0"/>
        <w:jc w:val="center"/>
      </w:pPr>
      <w:r>
        <w:t>系</w:t>
      </w:r>
      <w:r>
        <w:rPr>
          <w:u w:val="single"/>
        </w:rPr>
        <w:t xml:space="preserve"> </w:t>
      </w:r>
      <w:r>
        <w:rPr>
          <w:rFonts w:hint="eastAsia" w:ascii="Times New Roman"/>
          <w:u w:val="single"/>
        </w:rPr>
        <w:t>广东省江门市气象局</w:t>
      </w:r>
      <w:r>
        <w:rPr>
          <w:u w:val="single"/>
        </w:rPr>
        <w:tab/>
      </w:r>
      <w:r>
        <w:t>（</w:t>
      </w:r>
      <w:r>
        <w:rPr>
          <w:spacing w:val="-3"/>
        </w:rPr>
        <w:t>投</w:t>
      </w:r>
      <w:r>
        <w:t>标</w:t>
      </w:r>
      <w:r>
        <w:rPr>
          <w:spacing w:val="-3"/>
        </w:rPr>
        <w:t>人</w:t>
      </w:r>
      <w:r>
        <w:t>名</w:t>
      </w:r>
      <w:r>
        <w:rPr>
          <w:spacing w:val="-3"/>
        </w:rPr>
        <w:t>称）</w:t>
      </w:r>
      <w:r>
        <w:t>的法</w:t>
      </w:r>
      <w:r>
        <w:rPr>
          <w:spacing w:val="-3"/>
        </w:rPr>
        <w:t>定</w:t>
      </w:r>
      <w:r>
        <w:t>代</w:t>
      </w:r>
      <w:r>
        <w:rPr>
          <w:spacing w:val="-3"/>
        </w:rPr>
        <w:t>表</w:t>
      </w:r>
      <w:r>
        <w:t>人。</w:t>
      </w:r>
    </w:p>
    <w:p>
      <w:pPr>
        <w:pStyle w:val="10"/>
        <w:spacing w:before="170"/>
        <w:ind w:left="633"/>
      </w:pPr>
      <w:r>
        <w:t>特此证明。</w:t>
      </w:r>
    </w:p>
    <w:p>
      <w:pPr>
        <w:pStyle w:val="10"/>
        <w:rPr>
          <w:sz w:val="20"/>
        </w:rPr>
      </w:pPr>
    </w:p>
    <w:p>
      <w:pPr>
        <w:pStyle w:val="10"/>
        <w:spacing w:before="9"/>
        <w:rPr>
          <w:sz w:val="27"/>
        </w:rPr>
      </w:pPr>
    </w:p>
    <w:p>
      <w:pPr>
        <w:pStyle w:val="10"/>
        <w:spacing w:before="1"/>
        <w:ind w:left="212"/>
      </w:pPr>
      <w:r>
        <w:t>附：法定代表人身份证复印件。</w:t>
      </w:r>
    </w:p>
    <w:p>
      <w:pPr>
        <w:pStyle w:val="10"/>
        <w:rPr>
          <w:sz w:val="20"/>
        </w:rPr>
      </w:pPr>
    </w:p>
    <w:p>
      <w:pPr>
        <w:pStyle w:val="10"/>
        <w:spacing w:before="9"/>
        <w:rPr>
          <w:sz w:val="27"/>
        </w:rPr>
      </w:pPr>
    </w:p>
    <w:p>
      <w:pPr>
        <w:pStyle w:val="10"/>
        <w:tabs>
          <w:tab w:val="left" w:pos="5568"/>
        </w:tabs>
        <w:ind w:left="2944"/>
      </w:pPr>
      <w:r>
        <w:rPr>
          <w:spacing w:val="-3"/>
        </w:rPr>
        <w:t>投</w:t>
      </w:r>
      <w:r>
        <w:t>标</w:t>
      </w:r>
      <w:r>
        <w:rPr>
          <w:spacing w:val="-3"/>
        </w:rPr>
        <w:t>人</w:t>
      </w:r>
      <w:r>
        <w:t>：</w:t>
      </w:r>
      <w:r>
        <w:rPr>
          <w:u w:val="single"/>
        </w:rPr>
        <w:t xml:space="preserve"> </w:t>
      </w:r>
      <w:r>
        <w:rPr>
          <w:rFonts w:hint="eastAsia"/>
          <w:u w:val="single"/>
        </w:rPr>
        <w:t>张晓东</w:t>
      </w:r>
      <w:r>
        <w:rPr>
          <w:u w:val="single"/>
        </w:rPr>
        <w:tab/>
      </w:r>
      <w:r>
        <w:t>（</w:t>
      </w:r>
      <w:r>
        <w:rPr>
          <w:spacing w:val="-3"/>
        </w:rPr>
        <w:t>盖</w:t>
      </w:r>
      <w:r>
        <w:t>单</w:t>
      </w:r>
      <w:r>
        <w:rPr>
          <w:spacing w:val="-3"/>
        </w:rPr>
        <w:t>位</w:t>
      </w:r>
      <w:r>
        <w:t>章）</w:t>
      </w:r>
    </w:p>
    <w:p>
      <w:pPr>
        <w:pStyle w:val="10"/>
        <w:tabs>
          <w:tab w:val="left" w:pos="943"/>
          <w:tab w:val="left" w:pos="1783"/>
          <w:tab w:val="left" w:pos="2356"/>
        </w:tabs>
        <w:spacing w:before="170"/>
        <w:ind w:right="628"/>
        <w:jc w:val="center"/>
      </w:pPr>
      <w:r>
        <w:rPr>
          <w:rFonts w:ascii="Times New Roman" w:eastAsia="Times New Roman"/>
          <w:u w:val="single"/>
        </w:rPr>
        <w:t xml:space="preserve"> </w:t>
      </w:r>
      <w:r>
        <w:rPr>
          <w:rFonts w:hint="eastAsia" w:ascii="Times New Roman"/>
          <w:u w:val="single"/>
          <w:lang w:val="en-US"/>
        </w:rPr>
        <w:t>2020</w:t>
      </w:r>
      <w:r>
        <w:rPr>
          <w:rFonts w:ascii="Times New Roman" w:eastAsia="Times New Roman"/>
          <w:u w:val="single"/>
        </w:rPr>
        <w:tab/>
      </w:r>
      <w:r>
        <w:t>年</w:t>
      </w:r>
      <w:r>
        <w:rPr>
          <w:u w:val="single"/>
        </w:rPr>
        <w:t xml:space="preserve"> </w:t>
      </w:r>
      <w:r>
        <w:rPr>
          <w:rFonts w:hint="eastAsia"/>
          <w:u w:val="single"/>
          <w:lang w:val="en-US"/>
        </w:rPr>
        <w:t>4</w:t>
      </w:r>
      <w:r>
        <w:rPr>
          <w:u w:val="single"/>
        </w:rPr>
        <w:tab/>
      </w:r>
      <w:r>
        <w:t>月</w:t>
      </w:r>
      <w:r>
        <w:rPr>
          <w:u w:val="single"/>
        </w:rPr>
        <w:t xml:space="preserve"> </w:t>
      </w:r>
      <w:r>
        <w:rPr>
          <w:rFonts w:hint="eastAsia"/>
          <w:u w:val="single"/>
          <w:lang w:val="en-US"/>
        </w:rPr>
        <w:t>21</w:t>
      </w:r>
      <w:r>
        <w:rPr>
          <w:u w:val="single"/>
        </w:rPr>
        <w:tab/>
      </w:r>
      <w:r>
        <w:t>日</w:t>
      </w:r>
    </w:p>
    <w:p>
      <w:pPr>
        <w:jc w:val="center"/>
        <w:sectPr>
          <w:pgSz w:w="11910" w:h="16840"/>
          <w:pgMar w:top="1500" w:right="580" w:bottom="1180" w:left="920" w:header="0" w:footer="995" w:gutter="0"/>
          <w:cols w:space="720" w:num="1"/>
        </w:sectPr>
      </w:pPr>
    </w:p>
    <w:p>
      <w:pPr>
        <w:pStyle w:val="10"/>
        <w:spacing w:before="7"/>
        <w:rPr>
          <w:sz w:val="25"/>
        </w:rPr>
      </w:pPr>
    </w:p>
    <w:p>
      <w:pPr>
        <w:spacing w:before="66"/>
        <w:ind w:right="341"/>
        <w:jc w:val="center"/>
        <w:rPr>
          <w:b/>
          <w:sz w:val="24"/>
        </w:rPr>
      </w:pPr>
      <w:r>
        <w:rPr>
          <w:b/>
          <w:sz w:val="24"/>
        </w:rPr>
        <w:t>（二</w:t>
      </w:r>
      <w:r>
        <w:rPr>
          <w:b/>
          <w:spacing w:val="-120"/>
          <w:sz w:val="24"/>
        </w:rPr>
        <w:t>）</w:t>
      </w:r>
      <w:r>
        <w:rPr>
          <w:b/>
          <w:sz w:val="24"/>
        </w:rPr>
        <w:t>、授权委托书</w:t>
      </w:r>
    </w:p>
    <w:p>
      <w:pPr>
        <w:pStyle w:val="10"/>
        <w:rPr>
          <w:b/>
          <w:sz w:val="24"/>
        </w:rPr>
      </w:pPr>
    </w:p>
    <w:p>
      <w:pPr>
        <w:pStyle w:val="10"/>
        <w:spacing w:before="1"/>
        <w:rPr>
          <w:b/>
          <w:sz w:val="23"/>
        </w:rPr>
      </w:pPr>
    </w:p>
    <w:p>
      <w:pPr>
        <w:pStyle w:val="10"/>
        <w:tabs>
          <w:tab w:val="left" w:pos="1801"/>
          <w:tab w:val="left" w:pos="3715"/>
          <w:tab w:val="left" w:pos="8162"/>
        </w:tabs>
        <w:ind w:left="633"/>
      </w:pPr>
      <w:r>
        <w:t>本人</w:t>
      </w:r>
      <w:r>
        <w:rPr>
          <w:u w:val="single"/>
        </w:rPr>
        <w:t xml:space="preserve"> </w:t>
      </w:r>
      <w:r>
        <w:rPr>
          <w:rFonts w:hint="eastAsia"/>
          <w:u w:val="single"/>
        </w:rPr>
        <w:t>张晓东</w:t>
      </w:r>
      <w:r>
        <w:rPr>
          <w:u w:val="single"/>
        </w:rPr>
        <w:tab/>
      </w:r>
      <w:r>
        <w:t>（姓名）系</w:t>
      </w:r>
      <w:r>
        <w:rPr>
          <w:u w:val="single"/>
        </w:rPr>
        <w:t xml:space="preserve"> </w:t>
      </w:r>
      <w:r>
        <w:rPr>
          <w:rFonts w:hint="eastAsia" w:ascii="Times New Roman"/>
          <w:u w:val="single"/>
        </w:rPr>
        <w:t>广东省江门市气象局</w:t>
      </w:r>
      <w:r>
        <w:t>（投标人名称）的法定代表人，现委</w:t>
      </w:r>
      <w:r>
        <w:rPr>
          <w:spacing w:val="3"/>
        </w:rPr>
        <w:t>托</w:t>
      </w:r>
      <w:r>
        <w:rPr>
          <w:spacing w:val="3"/>
          <w:u w:val="single"/>
        </w:rPr>
        <w:t xml:space="preserve"> </w:t>
      </w:r>
      <w:r>
        <w:rPr>
          <w:rFonts w:hint="eastAsia"/>
          <w:spacing w:val="3"/>
          <w:u w:val="single"/>
        </w:rPr>
        <w:t>关荣溢</w:t>
      </w:r>
      <w:r>
        <w:rPr>
          <w:spacing w:val="3"/>
          <w:u w:val="single"/>
        </w:rPr>
        <w:tab/>
      </w:r>
      <w:r>
        <w:t>（姓名）为我方代理人。代理人根据授权，以我方名义签署、澄清、说明、补正、递交、撤回、修改</w:t>
      </w:r>
      <w:r>
        <w:rPr>
          <w:u w:val="single"/>
        </w:rPr>
        <w:t xml:space="preserve"> </w:t>
      </w:r>
      <w:r>
        <w:rPr>
          <w:spacing w:val="-3"/>
          <w:u w:val="single"/>
        </w:rPr>
        <w:t>广东省江门市气象局上川岛国家天气雷达项目设计施工总承包</w:t>
      </w:r>
      <w:r>
        <w:t>（项目名称）设</w:t>
      </w:r>
      <w:r>
        <w:rPr>
          <w:spacing w:val="-3"/>
        </w:rPr>
        <w:t>计</w:t>
      </w:r>
      <w:r>
        <w:t>、</w:t>
      </w:r>
      <w:r>
        <w:rPr>
          <w:spacing w:val="-3"/>
        </w:rPr>
        <w:t>施</w:t>
      </w:r>
      <w:r>
        <w:t>工</w:t>
      </w:r>
      <w:r>
        <w:rPr>
          <w:spacing w:val="-3"/>
        </w:rPr>
        <w:t>总</w:t>
      </w:r>
      <w:r>
        <w:t>承包</w:t>
      </w:r>
      <w:r>
        <w:rPr>
          <w:spacing w:val="-3"/>
        </w:rPr>
        <w:t>投</w:t>
      </w:r>
      <w:r>
        <w:t>标</w:t>
      </w:r>
      <w:r>
        <w:rPr>
          <w:spacing w:val="-3"/>
        </w:rPr>
        <w:t>文</w:t>
      </w:r>
      <w:r>
        <w:t>件</w:t>
      </w:r>
      <w:r>
        <w:rPr>
          <w:spacing w:val="-3"/>
        </w:rPr>
        <w:t>、</w:t>
      </w:r>
      <w:r>
        <w:t>签</w:t>
      </w:r>
      <w:r>
        <w:rPr>
          <w:spacing w:val="-3"/>
        </w:rPr>
        <w:t>订</w:t>
      </w:r>
      <w:r>
        <w:t>合</w:t>
      </w:r>
      <w:r>
        <w:rPr>
          <w:spacing w:val="-3"/>
        </w:rPr>
        <w:t>同</w:t>
      </w:r>
      <w:r>
        <w:t>和处</w:t>
      </w:r>
      <w:r>
        <w:rPr>
          <w:spacing w:val="-3"/>
        </w:rPr>
        <w:t>理</w:t>
      </w:r>
      <w:r>
        <w:t>有</w:t>
      </w:r>
      <w:r>
        <w:rPr>
          <w:spacing w:val="-3"/>
        </w:rPr>
        <w:t>关</w:t>
      </w:r>
      <w:r>
        <w:t>事</w:t>
      </w:r>
      <w:r>
        <w:rPr>
          <w:spacing w:val="-3"/>
        </w:rPr>
        <w:t>宜</w:t>
      </w:r>
      <w:r>
        <w:t>，</w:t>
      </w:r>
      <w:r>
        <w:rPr>
          <w:spacing w:val="-3"/>
        </w:rPr>
        <w:t>其</w:t>
      </w:r>
      <w:r>
        <w:t>法</w:t>
      </w:r>
      <w:r>
        <w:rPr>
          <w:spacing w:val="-3"/>
        </w:rPr>
        <w:t>律</w:t>
      </w:r>
      <w:r>
        <w:t>后果</w:t>
      </w:r>
      <w:r>
        <w:rPr>
          <w:spacing w:val="-3"/>
        </w:rPr>
        <w:t>由</w:t>
      </w:r>
      <w:r>
        <w:t>我</w:t>
      </w:r>
      <w:r>
        <w:rPr>
          <w:spacing w:val="-3"/>
        </w:rPr>
        <w:t>方</w:t>
      </w:r>
      <w:r>
        <w:t>承</w:t>
      </w:r>
      <w:r>
        <w:rPr>
          <w:spacing w:val="-3"/>
        </w:rPr>
        <w:t>担</w:t>
      </w:r>
      <w:r>
        <w:t>。</w:t>
      </w:r>
    </w:p>
    <w:p>
      <w:pPr>
        <w:pStyle w:val="10"/>
        <w:tabs>
          <w:tab w:val="left" w:pos="3049"/>
        </w:tabs>
        <w:spacing w:before="71" w:line="391" w:lineRule="auto"/>
        <w:ind w:left="634" w:leftChars="288" w:right="1574"/>
      </w:pPr>
      <w:r>
        <w:rPr>
          <w:spacing w:val="-3"/>
        </w:rPr>
        <w:t>委</w:t>
      </w:r>
      <w:r>
        <w:t>托</w:t>
      </w:r>
      <w:r>
        <w:rPr>
          <w:spacing w:val="-3"/>
        </w:rPr>
        <w:t>期</w:t>
      </w:r>
      <w:r>
        <w:t>限</w:t>
      </w:r>
      <w:r>
        <w:rPr>
          <w:spacing w:val="-3"/>
        </w:rPr>
        <w:t>：</w:t>
      </w:r>
      <w:r>
        <w:rPr>
          <w:spacing w:val="-3"/>
          <w:u w:val="single"/>
        </w:rPr>
        <w:t xml:space="preserve"> </w:t>
      </w:r>
      <w:r>
        <w:rPr>
          <w:rFonts w:hint="eastAsia"/>
          <w:spacing w:val="-3"/>
          <w:u w:val="single"/>
          <w:lang w:val="en-US"/>
        </w:rPr>
        <w:t>2020.4.21－2020.7.21</w:t>
      </w:r>
      <w:r>
        <w:rPr>
          <w:spacing w:val="-3"/>
          <w:u w:val="single"/>
        </w:rPr>
        <w:tab/>
      </w:r>
      <w:r>
        <w:t>。</w:t>
      </w:r>
    </w:p>
    <w:p>
      <w:pPr>
        <w:pStyle w:val="10"/>
        <w:spacing w:before="2"/>
        <w:ind w:left="633"/>
      </w:pPr>
      <w:r>
        <w:t>代理人无转委托权。</w:t>
      </w:r>
    </w:p>
    <w:p>
      <w:pPr>
        <w:pStyle w:val="10"/>
        <w:spacing w:before="172"/>
        <w:ind w:left="633"/>
      </w:pPr>
      <w:r>
        <w:t>附：法定代表人身份证明</w:t>
      </w:r>
    </w:p>
    <w:p>
      <w:pPr>
        <w:pStyle w:val="10"/>
        <w:rPr>
          <w:sz w:val="20"/>
        </w:rPr>
      </w:pPr>
    </w:p>
    <w:p>
      <w:pPr>
        <w:pStyle w:val="10"/>
        <w:rPr>
          <w:sz w:val="20"/>
        </w:rPr>
      </w:pPr>
    </w:p>
    <w:p>
      <w:pPr>
        <w:pStyle w:val="10"/>
        <w:rPr>
          <w:sz w:val="20"/>
        </w:rPr>
      </w:pPr>
    </w:p>
    <w:p>
      <w:pPr>
        <w:pStyle w:val="10"/>
        <w:spacing w:before="1"/>
        <w:rPr>
          <w:sz w:val="22"/>
        </w:rPr>
      </w:pPr>
    </w:p>
    <w:p>
      <w:pPr>
        <w:pStyle w:val="10"/>
        <w:tabs>
          <w:tab w:val="left" w:pos="4939"/>
        </w:tabs>
        <w:ind w:left="212"/>
      </w:pPr>
      <w:r>
        <w:t>投标</w:t>
      </w:r>
      <w:r>
        <w:rPr>
          <w:spacing w:val="-3"/>
        </w:rPr>
        <w:t>人</w:t>
      </w:r>
      <w:r>
        <w:t>：</w:t>
      </w:r>
      <w:r>
        <w:rPr>
          <w:u w:val="single"/>
        </w:rPr>
        <w:t xml:space="preserve"> </w:t>
      </w:r>
      <w:r>
        <w:rPr>
          <w:rFonts w:hint="eastAsia" w:ascii="Times New Roman"/>
          <w:u w:val="single"/>
        </w:rPr>
        <w:t>广东省江门市气象局</w:t>
      </w:r>
      <w:r>
        <w:rPr>
          <w:u w:val="single"/>
        </w:rPr>
        <w:tab/>
      </w:r>
      <w:r>
        <w:t>（盖</w:t>
      </w:r>
      <w:r>
        <w:rPr>
          <w:spacing w:val="-3"/>
        </w:rPr>
        <w:t>单</w:t>
      </w:r>
      <w:r>
        <w:t>位</w:t>
      </w:r>
      <w:r>
        <w:rPr>
          <w:spacing w:val="-3"/>
        </w:rPr>
        <w:t>章</w:t>
      </w:r>
      <w:r>
        <w:t>）</w:t>
      </w:r>
    </w:p>
    <w:p>
      <w:pPr>
        <w:pStyle w:val="10"/>
        <w:rPr>
          <w:sz w:val="20"/>
        </w:rPr>
      </w:pPr>
    </w:p>
    <w:p>
      <w:pPr>
        <w:pStyle w:val="10"/>
        <w:spacing w:before="6"/>
      </w:pPr>
    </w:p>
    <w:p>
      <w:pPr>
        <w:pStyle w:val="10"/>
        <w:tabs>
          <w:tab w:val="left" w:pos="4730"/>
        </w:tabs>
        <w:spacing w:before="78"/>
        <w:ind w:left="212"/>
      </w:pPr>
      <w:r>
        <w:t>法定</w:t>
      </w:r>
      <w:r>
        <w:rPr>
          <w:spacing w:val="-3"/>
        </w:rPr>
        <w:t>代</w:t>
      </w:r>
      <w:r>
        <w:t>表</w:t>
      </w:r>
      <w:r>
        <w:rPr>
          <w:spacing w:val="-3"/>
        </w:rPr>
        <w:t>人</w:t>
      </w:r>
      <w:r>
        <w:t>：</w:t>
      </w:r>
      <w:r>
        <w:rPr>
          <w:u w:val="single"/>
        </w:rPr>
        <w:t xml:space="preserve"> </w:t>
      </w:r>
      <w:r>
        <w:rPr>
          <w:rFonts w:hint="eastAsia"/>
          <w:u w:val="single"/>
        </w:rPr>
        <w:t>张晓东</w:t>
      </w:r>
      <w:r>
        <w:rPr>
          <w:u w:val="single"/>
        </w:rPr>
        <w:tab/>
      </w:r>
      <w:r>
        <w:rPr>
          <w:spacing w:val="-3"/>
        </w:rPr>
        <w:t>（</w:t>
      </w:r>
      <w:r>
        <w:rPr>
          <w:spacing w:val="-1"/>
        </w:rPr>
        <w:t>签</w:t>
      </w:r>
      <w:r>
        <w:t>字</w:t>
      </w:r>
      <w:r>
        <w:rPr>
          <w:spacing w:val="-3"/>
        </w:rPr>
        <w:t>或</w:t>
      </w:r>
      <w:r>
        <w:t>盖</w:t>
      </w:r>
      <w:r>
        <w:rPr>
          <w:spacing w:val="-3"/>
        </w:rPr>
        <w:t>章</w:t>
      </w:r>
      <w:r>
        <w:t>）</w:t>
      </w:r>
    </w:p>
    <w:p>
      <w:pPr>
        <w:pStyle w:val="10"/>
        <w:rPr>
          <w:sz w:val="20"/>
        </w:rPr>
      </w:pPr>
    </w:p>
    <w:p>
      <w:pPr>
        <w:pStyle w:val="10"/>
        <w:spacing w:before="8"/>
      </w:pPr>
    </w:p>
    <w:p>
      <w:pPr>
        <w:pStyle w:val="10"/>
        <w:tabs>
          <w:tab w:val="left" w:pos="5404"/>
        </w:tabs>
        <w:spacing w:before="79"/>
        <w:ind w:left="212"/>
        <w:rPr>
          <w:rFonts w:ascii="Times New Roman" w:eastAsia="Times New Roman"/>
        </w:rPr>
      </w:pPr>
      <w:r>
        <w:t>身份</w:t>
      </w:r>
      <w:r>
        <w:rPr>
          <w:spacing w:val="-3"/>
        </w:rPr>
        <w:t>证</w:t>
      </w:r>
      <w:r>
        <w:t>号</w:t>
      </w:r>
      <w:r>
        <w:rPr>
          <w:spacing w:val="-3"/>
        </w:rPr>
        <w:t>码</w:t>
      </w:r>
      <w:r>
        <w:t>：</w:t>
      </w:r>
      <w:r>
        <w:rPr>
          <w:rFonts w:ascii="Times New Roman" w:eastAsia="Times New Roman"/>
          <w:u w:val="single"/>
        </w:rPr>
        <w:t xml:space="preserve"> </w:t>
      </w:r>
      <w:r>
        <w:rPr>
          <w:rFonts w:hint="eastAsia" w:ascii="Times New Roman"/>
          <w:u w:val="single"/>
          <w:lang w:val="en-US"/>
        </w:rPr>
        <w:t>441502197511213038</w:t>
      </w:r>
      <w:r>
        <w:rPr>
          <w:rFonts w:ascii="Times New Roman" w:eastAsia="Times New Roman"/>
          <w:u w:val="single"/>
        </w:rPr>
        <w:tab/>
      </w:r>
    </w:p>
    <w:p>
      <w:pPr>
        <w:pStyle w:val="10"/>
        <w:rPr>
          <w:rFonts w:ascii="Times New Roman"/>
          <w:sz w:val="20"/>
        </w:rPr>
      </w:pPr>
    </w:p>
    <w:p>
      <w:pPr>
        <w:pStyle w:val="10"/>
        <w:spacing w:before="4"/>
        <w:rPr>
          <w:rFonts w:ascii="Times New Roman"/>
          <w:sz w:val="26"/>
        </w:rPr>
      </w:pPr>
    </w:p>
    <w:p>
      <w:pPr>
        <w:pStyle w:val="10"/>
        <w:tabs>
          <w:tab w:val="left" w:pos="4833"/>
        </w:tabs>
        <w:spacing w:before="78"/>
        <w:ind w:left="212"/>
      </w:pPr>
      <w:r>
        <w:t>委托</w:t>
      </w:r>
      <w:r>
        <w:rPr>
          <w:spacing w:val="-3"/>
        </w:rPr>
        <w:t>代</w:t>
      </w:r>
      <w:r>
        <w:t>理</w:t>
      </w:r>
      <w:r>
        <w:rPr>
          <w:spacing w:val="-3"/>
        </w:rPr>
        <w:t>人</w:t>
      </w:r>
      <w:r>
        <w:t>：</w:t>
      </w:r>
      <w:r>
        <w:rPr>
          <w:u w:val="single"/>
        </w:rPr>
        <w:t xml:space="preserve"> </w:t>
      </w:r>
      <w:r>
        <w:rPr>
          <w:rFonts w:hint="eastAsia"/>
          <w:u w:val="single"/>
        </w:rPr>
        <w:t>关荣溢</w:t>
      </w:r>
      <w:r>
        <w:rPr>
          <w:u w:val="single"/>
        </w:rPr>
        <w:tab/>
      </w:r>
      <w:r>
        <w:rPr>
          <w:spacing w:val="-3"/>
        </w:rPr>
        <w:t>（</w:t>
      </w:r>
      <w:r>
        <w:t>签字</w:t>
      </w:r>
      <w:r>
        <w:rPr>
          <w:spacing w:val="-3"/>
        </w:rPr>
        <w:t>或</w:t>
      </w:r>
      <w:r>
        <w:t>盖</w:t>
      </w:r>
      <w:r>
        <w:rPr>
          <w:spacing w:val="-3"/>
        </w:rPr>
        <w:t>章</w:t>
      </w:r>
      <w:r>
        <w:t>）</w:t>
      </w:r>
    </w:p>
    <w:p>
      <w:pPr>
        <w:pStyle w:val="10"/>
        <w:rPr>
          <w:sz w:val="20"/>
        </w:rPr>
      </w:pPr>
    </w:p>
    <w:p>
      <w:pPr>
        <w:pStyle w:val="10"/>
        <w:spacing w:before="6"/>
      </w:pPr>
    </w:p>
    <w:p>
      <w:pPr>
        <w:pStyle w:val="10"/>
        <w:tabs>
          <w:tab w:val="left" w:pos="4413"/>
        </w:tabs>
        <w:spacing w:before="79"/>
        <w:ind w:left="212"/>
      </w:pPr>
      <w:r>
        <w:t>身份</w:t>
      </w:r>
      <w:r>
        <w:rPr>
          <w:spacing w:val="-3"/>
        </w:rPr>
        <w:t>证</w:t>
      </w:r>
      <w:r>
        <w:t>号</w:t>
      </w:r>
      <w:r>
        <w:rPr>
          <w:spacing w:val="-3"/>
        </w:rPr>
        <w:t>码</w:t>
      </w:r>
      <w:r>
        <w:t>：</w:t>
      </w:r>
      <w:r>
        <w:rPr>
          <w:u w:val="single"/>
        </w:rPr>
        <w:t xml:space="preserve"> </w:t>
      </w:r>
      <w:r>
        <w:rPr>
          <w:rFonts w:hint="eastAsia"/>
          <w:u w:val="single"/>
          <w:lang w:val="en-US"/>
        </w:rPr>
        <w:t>440724196302197258</w:t>
      </w:r>
      <w:r>
        <w:rPr>
          <w:u w:val="single"/>
        </w:rPr>
        <w:tab/>
      </w:r>
      <w:r>
        <w:t>附</w:t>
      </w:r>
      <w:r>
        <w:rPr>
          <w:spacing w:val="-3"/>
        </w:rPr>
        <w:t>身份</w:t>
      </w:r>
      <w:r>
        <w:t>证复</w:t>
      </w:r>
      <w:r>
        <w:rPr>
          <w:spacing w:val="-3"/>
        </w:rPr>
        <w:t>印</w:t>
      </w:r>
      <w:r>
        <w:t>件</w:t>
      </w:r>
    </w:p>
    <w:p>
      <w:pPr>
        <w:pStyle w:val="10"/>
        <w:rPr>
          <w:sz w:val="20"/>
        </w:rPr>
      </w:pPr>
    </w:p>
    <w:p>
      <w:pPr>
        <w:pStyle w:val="10"/>
        <w:rPr>
          <w:sz w:val="20"/>
        </w:rPr>
      </w:pPr>
    </w:p>
    <w:p>
      <w:pPr>
        <w:pStyle w:val="10"/>
        <w:rPr>
          <w:sz w:val="20"/>
        </w:rPr>
      </w:pPr>
    </w:p>
    <w:p>
      <w:pPr>
        <w:pStyle w:val="10"/>
        <w:spacing w:before="5"/>
        <w:rPr>
          <w:sz w:val="16"/>
        </w:rPr>
      </w:pPr>
    </w:p>
    <w:p>
      <w:pPr>
        <w:pStyle w:val="10"/>
        <w:tabs>
          <w:tab w:val="left" w:pos="2524"/>
          <w:tab w:val="left" w:pos="3470"/>
          <w:tab w:val="left" w:pos="4413"/>
        </w:tabs>
        <w:spacing w:before="72"/>
        <w:ind w:left="1787"/>
      </w:pPr>
      <w:r>
        <w:rPr>
          <w:rFonts w:ascii="Times New Roman" w:eastAsia="Times New Roman"/>
          <w:u w:val="single"/>
        </w:rPr>
        <w:t xml:space="preserve"> </w:t>
      </w:r>
      <w:r>
        <w:rPr>
          <w:rFonts w:hint="eastAsia" w:ascii="Times New Roman"/>
          <w:u w:val="single"/>
          <w:lang w:val="en-US"/>
        </w:rPr>
        <w:t>2020</w:t>
      </w:r>
      <w:r>
        <w:rPr>
          <w:rFonts w:ascii="Times New Roman" w:eastAsia="Times New Roman"/>
          <w:u w:val="single"/>
        </w:rPr>
        <w:tab/>
      </w:r>
      <w:r>
        <w:t>年</w:t>
      </w:r>
      <w:r>
        <w:rPr>
          <w:u w:val="single"/>
        </w:rPr>
        <w:t xml:space="preserve"> </w:t>
      </w:r>
      <w:r>
        <w:rPr>
          <w:rFonts w:hint="eastAsia"/>
          <w:u w:val="single"/>
          <w:lang w:val="en-US"/>
        </w:rPr>
        <w:t>4</w:t>
      </w:r>
      <w:r>
        <w:rPr>
          <w:u w:val="single"/>
        </w:rPr>
        <w:tab/>
      </w:r>
      <w:r>
        <w:rPr>
          <w:spacing w:val="-3"/>
        </w:rPr>
        <w:t>月</w:t>
      </w:r>
      <w:r>
        <w:rPr>
          <w:spacing w:val="-3"/>
          <w:u w:val="single"/>
        </w:rPr>
        <w:t xml:space="preserve"> </w:t>
      </w:r>
      <w:r>
        <w:rPr>
          <w:rFonts w:hint="eastAsia"/>
          <w:spacing w:val="-3"/>
          <w:u w:val="single"/>
          <w:lang w:val="en-US"/>
        </w:rPr>
        <w:t>21</w:t>
      </w:r>
      <w:r>
        <w:rPr>
          <w:spacing w:val="-3"/>
          <w:u w:val="single"/>
        </w:rPr>
        <w:tab/>
      </w:r>
      <w:r>
        <w:t>日</w:t>
      </w:r>
    </w:p>
    <w:p>
      <w:pPr>
        <w:sectPr>
          <w:pgSz w:w="11910" w:h="16840"/>
          <w:pgMar w:top="1580" w:right="580" w:bottom="1180" w:left="920" w:header="0" w:footer="995" w:gutter="0"/>
          <w:cols w:space="720" w:num="1"/>
        </w:sectPr>
      </w:pPr>
    </w:p>
    <w:p>
      <w:pPr>
        <w:pStyle w:val="3"/>
        <w:spacing w:before="29"/>
        <w:ind w:left="0" w:right="344" w:firstLine="0"/>
        <w:jc w:val="center"/>
      </w:pPr>
      <w:bookmarkStart w:id="389" w:name="_bookmark292"/>
      <w:bookmarkEnd w:id="389"/>
      <w:bookmarkStart w:id="390" w:name="_Toc37926103"/>
      <w:r>
        <w:rPr>
          <w:rFonts w:hint="eastAsia"/>
        </w:rPr>
        <w:t>三</w:t>
      </w:r>
      <w:r>
        <w:t>、联合体协议书</w:t>
      </w:r>
      <w:bookmarkEnd w:id="390"/>
    </w:p>
    <w:p>
      <w:pPr>
        <w:pStyle w:val="10"/>
        <w:spacing w:before="4"/>
        <w:rPr>
          <w:rFonts w:ascii="黑体"/>
          <w:b/>
          <w:sz w:val="30"/>
        </w:rPr>
      </w:pPr>
    </w:p>
    <w:p>
      <w:pPr>
        <w:pStyle w:val="10"/>
        <w:ind w:right="335"/>
        <w:jc w:val="center"/>
      </w:pPr>
      <w:r>
        <w:t>（仅供参考，内容或格式投标人可自定）</w:t>
      </w:r>
    </w:p>
    <w:p>
      <w:pPr>
        <w:tabs>
          <w:tab w:val="left" w:pos="4108"/>
        </w:tabs>
        <w:spacing w:before="100" w:line="364" w:lineRule="auto"/>
        <w:ind w:left="212" w:right="6295"/>
        <w:jc w:val="both"/>
        <w:rPr>
          <w:sz w:val="24"/>
        </w:rPr>
      </w:pPr>
      <w:r>
        <w:rPr>
          <w:sz w:val="24"/>
        </w:rPr>
        <w:t>甲公司（全称</w:t>
      </w:r>
      <w:r>
        <w:rPr>
          <w:spacing w:val="-120"/>
          <w:sz w:val="24"/>
        </w:rPr>
        <w:t>）</w:t>
      </w:r>
      <w:r>
        <w:rPr>
          <w:sz w:val="24"/>
        </w:rPr>
        <w:t>：</w:t>
      </w:r>
      <w:r>
        <w:rPr>
          <w:rFonts w:ascii="Times New Roman" w:eastAsia="Times New Roman"/>
          <w:sz w:val="24"/>
          <w:u w:val="single"/>
        </w:rPr>
        <w:tab/>
      </w:r>
    </w:p>
    <w:p>
      <w:pPr>
        <w:tabs>
          <w:tab w:val="left" w:pos="4108"/>
        </w:tabs>
        <w:spacing w:before="100" w:line="364" w:lineRule="auto"/>
        <w:ind w:left="212" w:right="6295"/>
        <w:jc w:val="both"/>
        <w:rPr>
          <w:rFonts w:ascii="Times New Roman" w:eastAsia="Times New Roman"/>
          <w:sz w:val="24"/>
        </w:rPr>
      </w:pPr>
      <w:r>
        <w:rPr>
          <w:sz w:val="24"/>
        </w:rPr>
        <w:t>乙公司（全称</w:t>
      </w:r>
      <w:r>
        <w:rPr>
          <w:spacing w:val="-120"/>
          <w:sz w:val="24"/>
        </w:rPr>
        <w:t>）</w:t>
      </w:r>
      <w:r>
        <w:rPr>
          <w:sz w:val="24"/>
        </w:rPr>
        <w:t>：</w:t>
      </w:r>
      <w:r>
        <w:rPr>
          <w:rFonts w:ascii="Times New Roman" w:eastAsia="Times New Roman"/>
          <w:sz w:val="24"/>
          <w:u w:val="single"/>
        </w:rPr>
        <w:t xml:space="preserve"> </w:t>
      </w:r>
      <w:r>
        <w:rPr>
          <w:rFonts w:ascii="Times New Roman" w:eastAsia="Times New Roman"/>
          <w:sz w:val="24"/>
          <w:u w:val="single"/>
        </w:rPr>
        <w:tab/>
      </w:r>
    </w:p>
    <w:p>
      <w:pPr>
        <w:spacing w:before="1"/>
        <w:ind w:left="693"/>
        <w:rPr>
          <w:sz w:val="24"/>
        </w:rPr>
      </w:pPr>
      <w:r>
        <w:rPr>
          <w:sz w:val="24"/>
        </w:rPr>
        <w:t>本协议书各方遵循平等、自愿、公平和诚实信用的原则，共同愿意组成联合体，参加</w:t>
      </w:r>
    </w:p>
    <w:p>
      <w:pPr>
        <w:spacing w:before="161"/>
        <w:ind w:left="212"/>
        <w:rPr>
          <w:sz w:val="24"/>
        </w:rPr>
      </w:pPr>
      <w:r>
        <w:rPr>
          <w:sz w:val="24"/>
        </w:rPr>
        <w:t>（</w:t>
      </w:r>
      <w:r>
        <w:rPr>
          <w:spacing w:val="-14"/>
          <w:sz w:val="24"/>
        </w:rPr>
        <w:t>以下简称“本工程”</w:t>
      </w:r>
      <w:r>
        <w:rPr>
          <w:sz w:val="24"/>
        </w:rPr>
        <w:t>）的投标。现就下列有关事宜，订立本协议书。</w:t>
      </w:r>
    </w:p>
    <w:p>
      <w:pPr>
        <w:pStyle w:val="35"/>
        <w:numPr>
          <w:ilvl w:val="1"/>
          <w:numId w:val="108"/>
        </w:numPr>
        <w:tabs>
          <w:tab w:val="left" w:pos="991"/>
        </w:tabs>
        <w:spacing w:before="160" w:line="364" w:lineRule="auto"/>
        <w:ind w:right="548" w:firstLine="480"/>
        <w:jc w:val="both"/>
        <w:rPr>
          <w:sz w:val="24"/>
        </w:rPr>
      </w:pPr>
      <w:r>
        <w:rPr>
          <w:sz w:val="24"/>
          <w:u w:val="single"/>
        </w:rPr>
        <w:t>（甲公司名称</w:t>
      </w:r>
      <w:r>
        <w:rPr>
          <w:spacing w:val="-3"/>
          <w:sz w:val="24"/>
          <w:u w:val="single"/>
        </w:rPr>
        <w:t>）</w:t>
      </w:r>
      <w:r>
        <w:rPr>
          <w:spacing w:val="-1"/>
          <w:sz w:val="24"/>
        </w:rPr>
        <w:t>为联合体牵头人</w:t>
      </w:r>
      <w:r>
        <w:rPr>
          <w:sz w:val="24"/>
        </w:rPr>
        <w:t>（</w:t>
      </w:r>
      <w:r>
        <w:rPr>
          <w:spacing w:val="-3"/>
          <w:sz w:val="24"/>
        </w:rPr>
        <w:t>以下简称“牵头人”或“联合体牵头人</w:t>
      </w:r>
      <w:r>
        <w:rPr>
          <w:spacing w:val="-120"/>
          <w:sz w:val="24"/>
        </w:rPr>
        <w:t>”）</w:t>
      </w:r>
      <w:r>
        <w:rPr>
          <w:spacing w:val="-1"/>
          <w:sz w:val="24"/>
        </w:rPr>
        <w:t>，</w:t>
      </w:r>
      <w:r>
        <w:rPr>
          <w:sz w:val="24"/>
          <w:u w:val="single"/>
        </w:rPr>
        <w:t>（</w:t>
      </w:r>
      <w:r>
        <w:rPr>
          <w:rFonts w:hint="eastAsia"/>
          <w:sz w:val="24"/>
          <w:u w:val="single"/>
        </w:rPr>
        <w:t>乙</w:t>
      </w:r>
      <w:r>
        <w:rPr>
          <w:sz w:val="24"/>
          <w:u w:val="single"/>
        </w:rPr>
        <w:t>公司名称）</w:t>
      </w:r>
      <w:r>
        <w:rPr>
          <w:sz w:val="24"/>
        </w:rPr>
        <w:t>为联合体成员；</w:t>
      </w:r>
    </w:p>
    <w:p>
      <w:pPr>
        <w:pStyle w:val="35"/>
        <w:numPr>
          <w:ilvl w:val="1"/>
          <w:numId w:val="108"/>
        </w:numPr>
        <w:tabs>
          <w:tab w:val="left" w:pos="994"/>
        </w:tabs>
        <w:spacing w:before="2"/>
        <w:ind w:left="993" w:hanging="301"/>
        <w:jc w:val="both"/>
        <w:rPr>
          <w:sz w:val="24"/>
        </w:rPr>
      </w:pPr>
      <w:r>
        <w:rPr>
          <w:sz w:val="24"/>
        </w:rPr>
        <w:t>联合体内部有关事项规定如下：</w:t>
      </w:r>
    </w:p>
    <w:p>
      <w:pPr>
        <w:pStyle w:val="35"/>
        <w:numPr>
          <w:ilvl w:val="2"/>
          <w:numId w:val="108"/>
        </w:numPr>
        <w:tabs>
          <w:tab w:val="left" w:pos="1055"/>
          <w:tab w:val="left" w:pos="4272"/>
        </w:tabs>
        <w:spacing w:before="161" w:line="364" w:lineRule="auto"/>
        <w:ind w:right="552" w:firstLine="480"/>
        <w:jc w:val="both"/>
        <w:rPr>
          <w:sz w:val="24"/>
        </w:rPr>
      </w:pPr>
      <w:r>
        <w:rPr>
          <w:sz w:val="24"/>
        </w:rPr>
        <w:t>联合体由牵头人负责与</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（以下</w:t>
      </w:r>
      <w:r>
        <w:rPr>
          <w:spacing w:val="2"/>
          <w:sz w:val="24"/>
        </w:rPr>
        <w:t>简</w:t>
      </w:r>
      <w:r>
        <w:rPr>
          <w:spacing w:val="-22"/>
          <w:sz w:val="24"/>
        </w:rPr>
        <w:t>称</w:t>
      </w:r>
      <w:r>
        <w:rPr>
          <w:sz w:val="24"/>
        </w:rPr>
        <w:t>“招标人</w:t>
      </w:r>
      <w:r>
        <w:rPr>
          <w:spacing w:val="-120"/>
          <w:sz w:val="24"/>
        </w:rPr>
        <w:t>”</w:t>
      </w:r>
      <w:r>
        <w:rPr>
          <w:spacing w:val="-22"/>
          <w:sz w:val="24"/>
        </w:rPr>
        <w:t>）</w:t>
      </w:r>
      <w:r>
        <w:rPr>
          <w:sz w:val="24"/>
        </w:rPr>
        <w:t>联系</w:t>
      </w:r>
      <w:r>
        <w:rPr>
          <w:spacing w:val="-20"/>
          <w:sz w:val="24"/>
        </w:rPr>
        <w:t>，</w:t>
      </w:r>
      <w:r>
        <w:rPr>
          <w:sz w:val="24"/>
        </w:rPr>
        <w:t>联合体各方一致授权</w:t>
      </w:r>
      <w:r>
        <w:rPr>
          <w:spacing w:val="-16"/>
          <w:sz w:val="24"/>
        </w:rPr>
        <w:t>委</w:t>
      </w:r>
      <w:r>
        <w:rPr>
          <w:sz w:val="24"/>
        </w:rPr>
        <w:t>托牵头人负责投标工程的获取招标文件、投标文件编制、提交投标文件、参加开标会、合同谈判及相关文件的签署等工作；</w:t>
      </w:r>
    </w:p>
    <w:p>
      <w:pPr>
        <w:pStyle w:val="35"/>
        <w:numPr>
          <w:ilvl w:val="2"/>
          <w:numId w:val="108"/>
        </w:numPr>
        <w:tabs>
          <w:tab w:val="left" w:pos="1055"/>
        </w:tabs>
        <w:spacing w:before="2" w:line="364" w:lineRule="auto"/>
        <w:ind w:right="552" w:firstLine="480"/>
        <w:rPr>
          <w:sz w:val="24"/>
        </w:rPr>
      </w:pPr>
      <w:r>
        <w:rPr>
          <w:spacing w:val="-7"/>
          <w:sz w:val="24"/>
        </w:rPr>
        <w:t>联合体牵头人在投标、合同谈判及改造合同过程中所签署的与本工程有关的事项，联</w:t>
      </w:r>
      <w:r>
        <w:rPr>
          <w:sz w:val="24"/>
        </w:rPr>
        <w:t>合体各方均予承认，并对联合体各方均具有约束力；</w:t>
      </w:r>
    </w:p>
    <w:p>
      <w:pPr>
        <w:pStyle w:val="35"/>
        <w:numPr>
          <w:ilvl w:val="2"/>
          <w:numId w:val="108"/>
        </w:numPr>
        <w:tabs>
          <w:tab w:val="left" w:pos="1055"/>
        </w:tabs>
        <w:spacing w:before="1"/>
        <w:ind w:left="1054" w:hanging="362"/>
        <w:rPr>
          <w:sz w:val="24"/>
        </w:rPr>
      </w:pPr>
      <w:r>
        <w:rPr>
          <w:sz w:val="24"/>
        </w:rPr>
        <w:t>本工程一切工作由联合体牵头人负责组织，由联合体各方按内部分工负责具体实施；</w:t>
      </w:r>
    </w:p>
    <w:p>
      <w:pPr>
        <w:pStyle w:val="35"/>
        <w:numPr>
          <w:ilvl w:val="2"/>
          <w:numId w:val="108"/>
        </w:numPr>
        <w:tabs>
          <w:tab w:val="left" w:pos="1055"/>
        </w:tabs>
        <w:spacing w:before="161" w:line="364" w:lineRule="auto"/>
        <w:ind w:right="552" w:firstLine="480"/>
        <w:jc w:val="both"/>
        <w:rPr>
          <w:sz w:val="24"/>
        </w:rPr>
      </w:pPr>
      <w:r>
        <w:rPr>
          <w:spacing w:val="-6"/>
          <w:sz w:val="24"/>
        </w:rPr>
        <w:t>联合体将严格按照招标文件的各项要求，切实执行一切合同文件，对招标人共同连带</w:t>
      </w:r>
      <w:r>
        <w:rPr>
          <w:sz w:val="24"/>
        </w:rPr>
        <w:t>承担合同约定的一切义务和责任。联合体各方同时按照内部分工承担所对应的职责，在对招标人共同承担连带义务和责任后，再互相承担自身在联合体中应承担的责任和风险；</w:t>
      </w:r>
    </w:p>
    <w:p>
      <w:pPr>
        <w:pStyle w:val="35"/>
        <w:numPr>
          <w:ilvl w:val="2"/>
          <w:numId w:val="108"/>
        </w:numPr>
        <w:tabs>
          <w:tab w:val="left" w:pos="1235"/>
        </w:tabs>
        <w:spacing w:before="1"/>
        <w:ind w:left="1234" w:hanging="542"/>
        <w:rPr>
          <w:sz w:val="24"/>
        </w:rPr>
      </w:pPr>
      <w:r>
        <w:rPr>
          <w:sz w:val="24"/>
        </w:rPr>
        <w:t>联合体内部各自按下列分工负责：</w:t>
      </w:r>
    </w:p>
    <w:p>
      <w:pPr>
        <w:tabs>
          <w:tab w:val="left" w:pos="6694"/>
        </w:tabs>
        <w:spacing w:before="161"/>
        <w:ind w:left="1293"/>
        <w:rPr>
          <w:sz w:val="24"/>
        </w:rPr>
      </w:pPr>
      <w:r>
        <w:rPr>
          <w:sz w:val="24"/>
        </w:rPr>
        <w:t>牵头人</w:t>
      </w:r>
      <w:r>
        <w:rPr>
          <w:rFonts w:ascii="Times New Roman" w:eastAsia="Times New Roman"/>
          <w:sz w:val="24"/>
          <w:u w:val="single"/>
        </w:rPr>
        <w:t xml:space="preserve">  </w:t>
      </w:r>
      <w:r>
        <w:rPr>
          <w:sz w:val="24"/>
          <w:u w:val="single"/>
        </w:rPr>
        <w:t>（甲公司名称）</w:t>
      </w:r>
      <w:r>
        <w:rPr>
          <w:sz w:val="24"/>
        </w:rPr>
        <w:t>承担</w:t>
      </w:r>
      <w:r>
        <w:rPr>
          <w:sz w:val="24"/>
          <w:u w:val="single"/>
        </w:rPr>
        <w:t>（负责的工程内容：</w:t>
      </w:r>
      <w:r>
        <w:rPr>
          <w:sz w:val="24"/>
          <w:u w:val="single"/>
        </w:rPr>
        <w:tab/>
      </w:r>
      <w:r>
        <w:rPr>
          <w:sz w:val="24"/>
          <w:u w:val="single"/>
        </w:rPr>
        <w:t>工作</w:t>
      </w:r>
      <w:r>
        <w:rPr>
          <w:spacing w:val="-120"/>
          <w:sz w:val="24"/>
          <w:u w:val="single"/>
        </w:rPr>
        <w:t>）</w:t>
      </w:r>
      <w:r>
        <w:rPr>
          <w:sz w:val="24"/>
        </w:rPr>
        <w:t>，</w:t>
      </w:r>
    </w:p>
    <w:p>
      <w:pPr>
        <w:tabs>
          <w:tab w:val="left" w:pos="7054"/>
        </w:tabs>
        <w:spacing w:before="160" w:line="364" w:lineRule="auto"/>
        <w:ind w:left="1293" w:right="2510"/>
        <w:rPr>
          <w:sz w:val="24"/>
        </w:rPr>
      </w:pPr>
      <w:r>
        <w:rPr>
          <w:sz w:val="24"/>
        </w:rPr>
        <w:t>联合体成员</w:t>
      </w:r>
      <w:r>
        <w:rPr>
          <w:sz w:val="24"/>
          <w:u w:val="single"/>
        </w:rPr>
        <w:t>（乙公司名称）</w:t>
      </w:r>
      <w:r>
        <w:rPr>
          <w:sz w:val="24"/>
        </w:rPr>
        <w:t>承担</w:t>
      </w:r>
      <w:r>
        <w:rPr>
          <w:sz w:val="24"/>
          <w:u w:val="single"/>
        </w:rPr>
        <w:t>（负责的工作内容：</w:t>
      </w:r>
      <w:r>
        <w:rPr>
          <w:sz w:val="24"/>
          <w:u w:val="single"/>
        </w:rPr>
        <w:tab/>
      </w:r>
      <w:r>
        <w:rPr>
          <w:sz w:val="24"/>
          <w:u w:val="single"/>
        </w:rPr>
        <w:t>工作</w:t>
      </w:r>
      <w:r>
        <w:rPr>
          <w:spacing w:val="-129"/>
          <w:sz w:val="24"/>
          <w:u w:val="single"/>
        </w:rPr>
        <w:t>）</w:t>
      </w:r>
      <w:r>
        <w:rPr>
          <w:spacing w:val="-9"/>
          <w:sz w:val="24"/>
        </w:rPr>
        <w:t>，</w:t>
      </w:r>
    </w:p>
    <w:p>
      <w:pPr>
        <w:pStyle w:val="35"/>
        <w:numPr>
          <w:ilvl w:val="2"/>
          <w:numId w:val="108"/>
        </w:numPr>
        <w:tabs>
          <w:tab w:val="left" w:pos="1055"/>
        </w:tabs>
        <w:spacing w:before="2"/>
        <w:ind w:left="1054" w:hanging="362"/>
        <w:rPr>
          <w:sz w:val="24"/>
        </w:rPr>
      </w:pPr>
      <w:r>
        <w:rPr>
          <w:sz w:val="24"/>
        </w:rPr>
        <w:t>联合体在合同工程实施过程中的有关费用按各自承担的工作量分摊。</w:t>
      </w:r>
    </w:p>
    <w:p>
      <w:pPr>
        <w:pStyle w:val="35"/>
        <w:numPr>
          <w:ilvl w:val="1"/>
          <w:numId w:val="108"/>
        </w:numPr>
        <w:tabs>
          <w:tab w:val="left" w:pos="994"/>
        </w:tabs>
        <w:spacing w:before="161"/>
        <w:ind w:left="993" w:hanging="301"/>
        <w:rPr>
          <w:sz w:val="24"/>
        </w:rPr>
      </w:pPr>
      <w:r>
        <w:rPr>
          <w:sz w:val="24"/>
        </w:rPr>
        <w:t>联合体牵头人应将本协议书送交招标人一份；</w:t>
      </w:r>
    </w:p>
    <w:p>
      <w:pPr>
        <w:pStyle w:val="35"/>
        <w:numPr>
          <w:ilvl w:val="1"/>
          <w:numId w:val="108"/>
        </w:numPr>
        <w:tabs>
          <w:tab w:val="left" w:pos="1055"/>
        </w:tabs>
        <w:spacing w:before="160" w:line="364" w:lineRule="auto"/>
        <w:ind w:right="552" w:firstLine="480"/>
        <w:rPr>
          <w:sz w:val="24"/>
        </w:rPr>
      </w:pPr>
      <w:r>
        <w:rPr>
          <w:spacing w:val="-4"/>
          <w:sz w:val="24"/>
        </w:rPr>
        <w:t>本协议书自签署之日起生效，联合体未中标或者中标至各方履行完合同全部业务后自动失效。</w:t>
      </w:r>
    </w:p>
    <w:p>
      <w:pPr>
        <w:pStyle w:val="35"/>
        <w:numPr>
          <w:ilvl w:val="1"/>
          <w:numId w:val="108"/>
        </w:numPr>
        <w:tabs>
          <w:tab w:val="left" w:pos="1055"/>
          <w:tab w:val="left" w:pos="3933"/>
        </w:tabs>
        <w:spacing w:before="1"/>
        <w:ind w:left="1054" w:hanging="362"/>
        <w:rPr>
          <w:sz w:val="24"/>
        </w:rPr>
      </w:pPr>
      <w:r>
        <w:rPr>
          <w:sz w:val="24"/>
        </w:rPr>
        <w:t>本协议书一式</w:t>
      </w:r>
      <w:r>
        <w:rPr>
          <w:sz w:val="24"/>
          <w:u w:val="single"/>
        </w:rPr>
        <w:t xml:space="preserve"> </w:t>
      </w:r>
      <w:r>
        <w:rPr>
          <w:sz w:val="24"/>
          <w:u w:val="single"/>
        </w:rPr>
        <w:tab/>
      </w:r>
      <w:r>
        <w:rPr>
          <w:sz w:val="24"/>
        </w:rPr>
        <w:t>份，联合体成员各执一份、送交招标人一份。</w:t>
      </w:r>
    </w:p>
    <w:p>
      <w:pPr>
        <w:tabs>
          <w:tab w:val="left" w:pos="1055"/>
          <w:tab w:val="left" w:pos="3933"/>
        </w:tabs>
        <w:spacing w:before="1"/>
        <w:rPr>
          <w:sz w:val="24"/>
        </w:rPr>
      </w:pPr>
    </w:p>
    <w:p>
      <w:pPr>
        <w:tabs>
          <w:tab w:val="left" w:pos="1055"/>
          <w:tab w:val="left" w:pos="3933"/>
        </w:tabs>
        <w:spacing w:before="1"/>
        <w:rPr>
          <w:sz w:val="24"/>
        </w:rPr>
      </w:pPr>
    </w:p>
    <w:p>
      <w:pPr>
        <w:tabs>
          <w:tab w:val="left" w:pos="1055"/>
          <w:tab w:val="left" w:pos="3933"/>
        </w:tabs>
        <w:spacing w:before="1"/>
        <w:rPr>
          <w:sz w:val="24"/>
        </w:rPr>
      </w:pPr>
    </w:p>
    <w:p>
      <w:pPr>
        <w:tabs>
          <w:tab w:val="left" w:pos="1055"/>
          <w:tab w:val="left" w:pos="3933"/>
        </w:tabs>
        <w:spacing w:before="1"/>
        <w:rPr>
          <w:sz w:val="24"/>
        </w:rPr>
      </w:pPr>
    </w:p>
    <w:p>
      <w:pPr>
        <w:tabs>
          <w:tab w:val="left" w:pos="1055"/>
          <w:tab w:val="left" w:pos="3933"/>
        </w:tabs>
        <w:spacing w:before="1"/>
        <w:rPr>
          <w:sz w:val="24"/>
        </w:rPr>
      </w:pPr>
    </w:p>
    <w:p>
      <w:pPr>
        <w:tabs>
          <w:tab w:val="left" w:pos="6094"/>
          <w:tab w:val="left" w:pos="6214"/>
          <w:tab w:val="left" w:pos="6269"/>
        </w:tabs>
        <w:spacing w:before="40" w:line="364" w:lineRule="auto"/>
        <w:ind w:left="2253" w:right="3230"/>
        <w:rPr>
          <w:rFonts w:ascii="Times New Roman" w:eastAsia="Times New Roman"/>
          <w:sz w:val="24"/>
        </w:rPr>
      </w:pPr>
      <w:r>
        <w:rPr>
          <w:sz w:val="24"/>
        </w:rPr>
        <w:t>甲公司名称：</w:t>
      </w:r>
      <w:r>
        <w:rPr>
          <w:sz w:val="24"/>
          <w:u w:val="single"/>
        </w:rPr>
        <w:t xml:space="preserve"> </w:t>
      </w:r>
      <w:r>
        <w:rPr>
          <w:sz w:val="24"/>
          <w:u w:val="single"/>
        </w:rPr>
        <w:tab/>
      </w:r>
      <w:r>
        <w:rPr>
          <w:sz w:val="24"/>
        </w:rPr>
        <w:t>（公章） 法定代表人：</w:t>
      </w:r>
      <w:r>
        <w:rPr>
          <w:sz w:val="24"/>
          <w:u w:val="single"/>
        </w:rPr>
        <w:t xml:space="preserve"> </w:t>
      </w:r>
      <w:r>
        <w:rPr>
          <w:sz w:val="24"/>
          <w:u w:val="single"/>
        </w:rPr>
        <w:tab/>
      </w:r>
      <w:r>
        <w:rPr>
          <w:sz w:val="24"/>
          <w:u w:val="single"/>
        </w:rPr>
        <w:tab/>
      </w:r>
      <w:r>
        <w:rPr>
          <w:sz w:val="24"/>
        </w:rPr>
        <w:t>（签字</w:t>
      </w:r>
      <w:r>
        <w:rPr>
          <w:spacing w:val="-18"/>
          <w:sz w:val="24"/>
        </w:rPr>
        <w:t xml:space="preserve">） </w:t>
      </w:r>
      <w:r>
        <w:rPr>
          <w:sz w:val="24"/>
        </w:rPr>
        <w:t>联系电话：</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p>
    <w:p>
      <w:pPr>
        <w:tabs>
          <w:tab w:val="left" w:pos="3693"/>
          <w:tab w:val="left" w:pos="4173"/>
          <w:tab w:val="left" w:pos="4773"/>
        </w:tabs>
        <w:spacing w:before="3"/>
        <w:ind w:left="2253"/>
        <w:rPr>
          <w:sz w:val="24"/>
        </w:rPr>
      </w:pPr>
      <w:r>
        <w:rPr>
          <w:sz w:val="24"/>
        </w:rPr>
        <w:t>日 期：</w:t>
      </w:r>
      <w:r>
        <w:rPr>
          <w:sz w:val="24"/>
        </w:rPr>
        <w:tab/>
      </w:r>
      <w:r>
        <w:rPr>
          <w:sz w:val="24"/>
        </w:rPr>
        <w:t>年</w:t>
      </w:r>
      <w:r>
        <w:rPr>
          <w:sz w:val="24"/>
        </w:rPr>
        <w:tab/>
      </w:r>
      <w:r>
        <w:rPr>
          <w:sz w:val="24"/>
        </w:rPr>
        <w:t>月</w:t>
      </w:r>
      <w:r>
        <w:rPr>
          <w:sz w:val="24"/>
        </w:rPr>
        <w:tab/>
      </w:r>
      <w:r>
        <w:rPr>
          <w:sz w:val="24"/>
        </w:rPr>
        <w:t>日</w:t>
      </w:r>
    </w:p>
    <w:p>
      <w:pPr>
        <w:pStyle w:val="10"/>
        <w:rPr>
          <w:sz w:val="24"/>
        </w:rPr>
      </w:pPr>
    </w:p>
    <w:p>
      <w:pPr>
        <w:pStyle w:val="10"/>
        <w:rPr>
          <w:sz w:val="25"/>
        </w:rPr>
      </w:pPr>
    </w:p>
    <w:p>
      <w:pPr>
        <w:tabs>
          <w:tab w:val="left" w:pos="6214"/>
          <w:tab w:val="left" w:pos="6269"/>
        </w:tabs>
        <w:spacing w:line="364" w:lineRule="auto"/>
        <w:ind w:left="2253" w:right="3230"/>
        <w:jc w:val="both"/>
        <w:rPr>
          <w:rFonts w:ascii="Times New Roman" w:eastAsia="Times New Roman"/>
          <w:sz w:val="24"/>
        </w:rPr>
      </w:pPr>
      <w:r>
        <w:rPr>
          <w:sz w:val="24"/>
        </w:rPr>
        <w:t>乙公司名称：</w:t>
      </w:r>
      <w:r>
        <w:rPr>
          <w:sz w:val="24"/>
          <w:u w:val="single"/>
        </w:rPr>
        <w:t xml:space="preserve"> </w:t>
      </w:r>
      <w:r>
        <w:rPr>
          <w:sz w:val="24"/>
          <w:u w:val="single"/>
        </w:rPr>
        <w:tab/>
      </w:r>
      <w:r>
        <w:rPr>
          <w:sz w:val="24"/>
        </w:rPr>
        <w:t>（公章</w:t>
      </w:r>
      <w:r>
        <w:rPr>
          <w:spacing w:val="-18"/>
          <w:sz w:val="24"/>
        </w:rPr>
        <w:t xml:space="preserve">） </w:t>
      </w:r>
      <w:r>
        <w:rPr>
          <w:sz w:val="24"/>
        </w:rPr>
        <w:t>法定代表人：</w:t>
      </w:r>
      <w:r>
        <w:rPr>
          <w:sz w:val="24"/>
          <w:u w:val="single"/>
        </w:rPr>
        <w:t xml:space="preserve"> </w:t>
      </w:r>
      <w:r>
        <w:rPr>
          <w:sz w:val="24"/>
          <w:u w:val="single"/>
        </w:rPr>
        <w:tab/>
      </w:r>
      <w:r>
        <w:rPr>
          <w:sz w:val="24"/>
        </w:rPr>
        <w:t>（签字</w:t>
      </w:r>
      <w:r>
        <w:rPr>
          <w:spacing w:val="-18"/>
          <w:sz w:val="24"/>
        </w:rPr>
        <w:t xml:space="preserve">） </w:t>
      </w:r>
      <w:r>
        <w:rPr>
          <w:sz w:val="24"/>
        </w:rPr>
        <w:t>联系电话：</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pPr>
        <w:spacing w:before="2"/>
        <w:ind w:left="2253"/>
        <w:jc w:val="both"/>
        <w:rPr>
          <w:sz w:val="24"/>
        </w:rPr>
      </w:pPr>
      <w:r>
        <w:rPr>
          <w:sz w:val="24"/>
        </w:rPr>
        <w:t>日 期 ： 年 月 日</w:t>
      </w:r>
    </w:p>
    <w:p>
      <w:pPr>
        <w:pStyle w:val="10"/>
        <w:rPr>
          <w:sz w:val="24"/>
        </w:rPr>
      </w:pPr>
    </w:p>
    <w:p>
      <w:pPr>
        <w:pStyle w:val="10"/>
        <w:spacing w:before="1"/>
        <w:rPr>
          <w:sz w:val="25"/>
        </w:rPr>
      </w:pPr>
    </w:p>
    <w:p>
      <w:pPr>
        <w:tabs>
          <w:tab w:val="left" w:pos="1055"/>
          <w:tab w:val="left" w:pos="3933"/>
        </w:tabs>
        <w:spacing w:before="1"/>
        <w:rPr>
          <w:sz w:val="24"/>
        </w:rPr>
      </w:pPr>
    </w:p>
    <w:p>
      <w:pPr>
        <w:widowControl/>
        <w:autoSpaceDE/>
        <w:autoSpaceDN/>
        <w:rPr>
          <w:b/>
          <w:bCs/>
          <w:sz w:val="44"/>
          <w:szCs w:val="44"/>
        </w:rPr>
      </w:pPr>
      <w:r>
        <w:rPr>
          <w:sz w:val="21"/>
        </w:rPr>
        <w:t>注：1.单独投标的，无需提交本协议书。</w:t>
      </w:r>
    </w:p>
    <w:p>
      <w:pPr>
        <w:jc w:val="both"/>
        <w:rPr>
          <w:sz w:val="24"/>
        </w:rPr>
        <w:sectPr>
          <w:pgSz w:w="11910" w:h="16840"/>
          <w:pgMar w:top="1460" w:right="580" w:bottom="1180" w:left="920" w:header="0" w:footer="995" w:gutter="0"/>
          <w:cols w:space="720" w:num="1"/>
        </w:sectPr>
      </w:pPr>
    </w:p>
    <w:p>
      <w:pPr>
        <w:pStyle w:val="10"/>
        <w:rPr>
          <w:sz w:val="12"/>
        </w:rPr>
      </w:pPr>
    </w:p>
    <w:p>
      <w:pPr>
        <w:pStyle w:val="3"/>
        <w:spacing w:before="29"/>
        <w:ind w:left="0" w:right="344" w:firstLine="0"/>
        <w:jc w:val="center"/>
      </w:pPr>
      <w:bookmarkStart w:id="391" w:name="_bookmark293"/>
      <w:bookmarkEnd w:id="391"/>
      <w:bookmarkStart w:id="392" w:name="_Toc37926104"/>
      <w:r>
        <w:rPr>
          <w:rFonts w:hint="eastAsia"/>
        </w:rPr>
        <w:t>四、投标保证金</w:t>
      </w:r>
      <w:bookmarkEnd w:id="392"/>
    </w:p>
    <w:p>
      <w:pPr>
        <w:pStyle w:val="10"/>
        <w:rPr>
          <w:rFonts w:ascii="黑体"/>
          <w:b/>
          <w:sz w:val="20"/>
        </w:rPr>
      </w:pPr>
    </w:p>
    <w:p>
      <w:pPr>
        <w:pStyle w:val="10"/>
        <w:spacing w:before="12"/>
        <w:rPr>
          <w:rFonts w:ascii="黑体"/>
          <w:b/>
          <w:sz w:val="19"/>
        </w:rPr>
      </w:pPr>
    </w:p>
    <w:p>
      <w:pPr>
        <w:pStyle w:val="10"/>
        <w:tabs>
          <w:tab w:val="left" w:pos="2104"/>
        </w:tabs>
        <w:ind w:left="212"/>
      </w:pPr>
      <w:r>
        <w:rPr>
          <w:rFonts w:ascii="Times New Roman" w:eastAsia="Times New Roman"/>
          <w:u w:val="single"/>
        </w:rPr>
        <w:t xml:space="preserve"> </w:t>
      </w:r>
      <w:r>
        <w:rPr>
          <w:rFonts w:ascii="Times New Roman" w:eastAsia="Times New Roman"/>
          <w:u w:val="single"/>
        </w:rPr>
        <w:tab/>
      </w:r>
      <w:r>
        <w:t>（</w:t>
      </w:r>
      <w:r>
        <w:rPr>
          <w:spacing w:val="-3"/>
        </w:rPr>
        <w:t>招标人名称</w:t>
      </w:r>
      <w:r>
        <w:rPr>
          <w:spacing w:val="-106"/>
        </w:rPr>
        <w:t>）</w:t>
      </w:r>
      <w:r>
        <w:t>：</w:t>
      </w:r>
    </w:p>
    <w:p>
      <w:pPr>
        <w:pStyle w:val="10"/>
        <w:rPr>
          <w:sz w:val="20"/>
        </w:rPr>
      </w:pPr>
    </w:p>
    <w:p>
      <w:pPr>
        <w:pStyle w:val="10"/>
        <w:spacing w:before="5"/>
      </w:pPr>
    </w:p>
    <w:p>
      <w:pPr>
        <w:pStyle w:val="10"/>
        <w:tabs>
          <w:tab w:val="left" w:pos="1902"/>
          <w:tab w:val="left" w:pos="2754"/>
          <w:tab w:val="left" w:pos="3604"/>
          <w:tab w:val="left" w:pos="5623"/>
        </w:tabs>
        <w:spacing w:before="79"/>
        <w:ind w:left="633"/>
      </w:pPr>
      <w:r>
        <w:t>我方于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日参加</w:t>
      </w:r>
      <w:r>
        <w:rPr>
          <w:u w:val="single"/>
        </w:rPr>
        <w:t xml:space="preserve"> </w:t>
      </w:r>
      <w:r>
        <w:rPr>
          <w:u w:val="single"/>
        </w:rPr>
        <w:tab/>
      </w:r>
      <w:r>
        <w:t>（项目名称）的投标，现保证：我方在规定的</w:t>
      </w:r>
    </w:p>
    <w:p>
      <w:pPr>
        <w:pStyle w:val="10"/>
        <w:spacing w:before="11"/>
        <w:rPr>
          <w:sz w:val="7"/>
        </w:rPr>
      </w:pPr>
    </w:p>
    <w:p>
      <w:pPr>
        <w:pStyle w:val="10"/>
        <w:spacing w:before="72" w:line="391" w:lineRule="auto"/>
        <w:ind w:left="212" w:right="546"/>
      </w:pPr>
      <w:r>
        <w:rPr>
          <w:spacing w:val="-5"/>
        </w:rPr>
        <w:t>投标有效期内撤销或修改投标文件的，或者在收到中标通知书后无正当理由拒签合同或拒交规定履约担保</w:t>
      </w:r>
      <w:r>
        <w:rPr>
          <w:spacing w:val="-4"/>
        </w:rPr>
        <w:t>的，投标保证金不予退还。</w:t>
      </w: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8"/>
        <w:rPr>
          <w:sz w:val="17"/>
        </w:rPr>
      </w:pPr>
    </w:p>
    <w:p>
      <w:pPr>
        <w:pStyle w:val="10"/>
        <w:tabs>
          <w:tab w:val="left" w:pos="4424"/>
        </w:tabs>
        <w:ind w:left="12"/>
        <w:jc w:val="center"/>
      </w:pPr>
      <w:r>
        <w:t>投标</w:t>
      </w:r>
      <w:r>
        <w:rPr>
          <w:spacing w:val="-3"/>
        </w:rPr>
        <w:t>人</w:t>
      </w:r>
      <w:r>
        <w:t>名</w:t>
      </w:r>
      <w:r>
        <w:rPr>
          <w:spacing w:val="-3"/>
        </w:rPr>
        <w:t>称</w:t>
      </w:r>
      <w:r>
        <w:t>：</w:t>
      </w:r>
      <w:r>
        <w:rPr>
          <w:u w:val="single"/>
        </w:rPr>
        <w:t xml:space="preserve"> </w:t>
      </w:r>
      <w:r>
        <w:rPr>
          <w:u w:val="single"/>
        </w:rPr>
        <w:tab/>
      </w:r>
      <w:r>
        <w:rPr>
          <w:spacing w:val="-3"/>
        </w:rPr>
        <w:t>（盖</w:t>
      </w:r>
      <w:r>
        <w:t>单位</w:t>
      </w:r>
      <w:r>
        <w:rPr>
          <w:spacing w:val="-3"/>
        </w:rPr>
        <w:t>章</w:t>
      </w:r>
      <w:r>
        <w:t>）</w:t>
      </w:r>
    </w:p>
    <w:p>
      <w:pPr>
        <w:pStyle w:val="10"/>
        <w:tabs>
          <w:tab w:val="left" w:pos="7202"/>
        </w:tabs>
        <w:spacing w:before="170"/>
        <w:ind w:left="2373"/>
      </w:pPr>
      <w:r>
        <w:t>法定</w:t>
      </w:r>
      <w:r>
        <w:rPr>
          <w:spacing w:val="-3"/>
        </w:rPr>
        <w:t>代</w:t>
      </w:r>
      <w:r>
        <w:t>表</w:t>
      </w:r>
      <w:r>
        <w:rPr>
          <w:spacing w:val="-3"/>
        </w:rPr>
        <w:t>人</w:t>
      </w:r>
      <w:r>
        <w:t>或</w:t>
      </w:r>
      <w:r>
        <w:rPr>
          <w:spacing w:val="-3"/>
        </w:rPr>
        <w:t>授</w:t>
      </w:r>
      <w:r>
        <w:t>权</w:t>
      </w:r>
      <w:r>
        <w:rPr>
          <w:spacing w:val="-3"/>
        </w:rPr>
        <w:t>人</w:t>
      </w:r>
      <w:r>
        <w:t>：</w:t>
      </w:r>
      <w:r>
        <w:rPr>
          <w:u w:val="single"/>
        </w:rPr>
        <w:t xml:space="preserve"> </w:t>
      </w:r>
      <w:r>
        <w:rPr>
          <w:u w:val="single"/>
        </w:rPr>
        <w:tab/>
      </w:r>
      <w:r>
        <w:t>（签</w:t>
      </w:r>
      <w:r>
        <w:rPr>
          <w:spacing w:val="-3"/>
        </w:rPr>
        <w:t>字</w:t>
      </w:r>
      <w:r>
        <w:t>或</w:t>
      </w:r>
      <w:r>
        <w:rPr>
          <w:spacing w:val="-3"/>
        </w:rPr>
        <w:t>盖</w:t>
      </w:r>
      <w:r>
        <w:t>章）</w:t>
      </w:r>
    </w:p>
    <w:p>
      <w:pPr>
        <w:pStyle w:val="10"/>
        <w:tabs>
          <w:tab w:val="left" w:pos="631"/>
          <w:tab w:val="left" w:pos="5448"/>
        </w:tabs>
        <w:spacing w:before="170"/>
        <w:ind w:right="209"/>
        <w:jc w:val="center"/>
        <w:rPr>
          <w:rFonts w:ascii="Times New Roman" w:eastAsia="Times New Roman"/>
        </w:rPr>
      </w:pPr>
      <w:r>
        <w:t>地</w:t>
      </w:r>
      <w:r>
        <w:tab/>
      </w:r>
      <w:r>
        <w:rPr>
          <w:spacing w:val="-1"/>
        </w:rPr>
        <w:t>址：</w:t>
      </w:r>
      <w:r>
        <w:rPr>
          <w:rFonts w:ascii="Times New Roman" w:eastAsia="Times New Roman"/>
          <w:u w:val="single"/>
        </w:rPr>
        <w:t xml:space="preserve"> </w:t>
      </w:r>
      <w:r>
        <w:rPr>
          <w:rFonts w:ascii="Times New Roman" w:eastAsia="Times New Roman"/>
          <w:u w:val="single"/>
        </w:rPr>
        <w:tab/>
      </w:r>
    </w:p>
    <w:p>
      <w:pPr>
        <w:pStyle w:val="10"/>
        <w:tabs>
          <w:tab w:val="left" w:pos="5448"/>
        </w:tabs>
        <w:spacing w:before="173"/>
        <w:ind w:right="209"/>
        <w:jc w:val="center"/>
        <w:rPr>
          <w:rFonts w:ascii="Times New Roman" w:eastAsia="Times New Roman"/>
        </w:rPr>
      </w:pPr>
      <w:r>
        <w:rPr>
          <w:spacing w:val="-1"/>
        </w:rPr>
        <w:t>邮政</w:t>
      </w:r>
      <w:r>
        <w:rPr>
          <w:spacing w:val="-3"/>
        </w:rPr>
        <w:t>编</w:t>
      </w:r>
      <w:r>
        <w:t>码：</w:t>
      </w:r>
      <w:r>
        <w:rPr>
          <w:rFonts w:ascii="Times New Roman" w:eastAsia="Times New Roman"/>
          <w:u w:val="single"/>
        </w:rPr>
        <w:t xml:space="preserve"> </w:t>
      </w:r>
      <w:r>
        <w:rPr>
          <w:rFonts w:ascii="Times New Roman" w:eastAsia="Times New Roman"/>
          <w:u w:val="single"/>
        </w:rPr>
        <w:tab/>
      </w:r>
    </w:p>
    <w:p>
      <w:pPr>
        <w:pStyle w:val="10"/>
        <w:tabs>
          <w:tab w:val="left" w:pos="631"/>
          <w:tab w:val="left" w:pos="5508"/>
        </w:tabs>
        <w:spacing w:before="170"/>
        <w:ind w:right="149"/>
        <w:jc w:val="center"/>
        <w:rPr>
          <w:rFonts w:ascii="Times New Roman" w:eastAsia="Times New Roman"/>
        </w:rPr>
      </w:pPr>
      <w:r>
        <w:t>电</w:t>
      </w:r>
      <w:r>
        <w:tab/>
      </w:r>
      <w:r>
        <w:rPr>
          <w:spacing w:val="-1"/>
        </w:rPr>
        <w:t>话：</w:t>
      </w:r>
      <w:r>
        <w:rPr>
          <w:rFonts w:ascii="Times New Roman" w:eastAsia="Times New Roman"/>
          <w:u w:val="single"/>
        </w:rPr>
        <w:t xml:space="preserve"> </w:t>
      </w:r>
      <w:r>
        <w:rPr>
          <w:rFonts w:ascii="Times New Roman" w:eastAsia="Times New Roman"/>
          <w:u w:val="single"/>
        </w:rPr>
        <w:tab/>
      </w:r>
    </w:p>
    <w:p>
      <w:pPr>
        <w:pStyle w:val="10"/>
        <w:tabs>
          <w:tab w:val="left" w:pos="4896"/>
          <w:tab w:val="left" w:pos="5839"/>
          <w:tab w:val="left" w:pos="6785"/>
        </w:tabs>
        <w:spacing w:before="170"/>
        <w:ind w:left="4053"/>
      </w:pPr>
      <w:r>
        <w:rPr>
          <w:rFonts w:ascii="Times New Roman" w:eastAsia="Times New Roman"/>
          <w:u w:val="single"/>
        </w:rPr>
        <w:t xml:space="preserve"> </w:t>
      </w:r>
      <w:r>
        <w:rPr>
          <w:rFonts w:ascii="Times New Roman" w:eastAsia="Times New Roman"/>
          <w:u w:val="single"/>
        </w:rPr>
        <w:tab/>
      </w:r>
      <w:r>
        <w:rPr>
          <w:spacing w:val="-3"/>
        </w:rPr>
        <w:t>年</w:t>
      </w:r>
      <w:r>
        <w:rPr>
          <w:spacing w:val="-3"/>
          <w:u w:val="single"/>
        </w:rPr>
        <w:t xml:space="preserve"> </w:t>
      </w:r>
      <w:r>
        <w:rPr>
          <w:spacing w:val="-3"/>
          <w:u w:val="single"/>
        </w:rPr>
        <w:tab/>
      </w:r>
      <w:r>
        <w:t>月</w:t>
      </w:r>
      <w:r>
        <w:rPr>
          <w:u w:val="single"/>
        </w:rPr>
        <w:t xml:space="preserve"> </w:t>
      </w:r>
      <w:r>
        <w:rPr>
          <w:u w:val="single"/>
        </w:rPr>
        <w:tab/>
      </w:r>
      <w:r>
        <w:t>日</w:t>
      </w:r>
    </w:p>
    <w:p>
      <w:pPr>
        <w:spacing w:before="143"/>
        <w:ind w:left="212"/>
        <w:rPr>
          <w:b/>
          <w:sz w:val="24"/>
        </w:rPr>
      </w:pPr>
      <w:r>
        <w:rPr>
          <w:b/>
          <w:sz w:val="24"/>
        </w:rPr>
        <w:t>附：投标保证金的递交证明文件。</w:t>
      </w:r>
    </w:p>
    <w:p>
      <w:pPr>
        <w:spacing w:before="143"/>
        <w:ind w:left="212"/>
        <w:rPr>
          <w:b/>
          <w:sz w:val="24"/>
        </w:rPr>
      </w:pPr>
    </w:p>
    <w:p>
      <w:pPr>
        <w:spacing w:before="143"/>
        <w:ind w:left="212"/>
        <w:rPr>
          <w:b/>
          <w:sz w:val="24"/>
        </w:rPr>
      </w:pPr>
    </w:p>
    <w:p>
      <w:pPr>
        <w:ind w:left="415"/>
        <w:rPr>
          <w:sz w:val="21"/>
        </w:rPr>
      </w:pPr>
      <w:r>
        <w:rPr>
          <w:sz w:val="21"/>
        </w:rPr>
        <w:t>注：联合体投标的，由联合体牵头人盖章。</w:t>
      </w:r>
    </w:p>
    <w:p>
      <w:pPr>
        <w:spacing w:before="143"/>
        <w:ind w:left="212"/>
        <w:rPr>
          <w:b/>
          <w:sz w:val="24"/>
        </w:rPr>
      </w:pPr>
    </w:p>
    <w:p>
      <w:pPr>
        <w:rPr>
          <w:sz w:val="24"/>
        </w:rPr>
        <w:sectPr>
          <w:pgSz w:w="11910" w:h="16840"/>
          <w:pgMar w:top="1580" w:right="580" w:bottom="1180" w:left="920" w:header="0" w:footer="995" w:gutter="0"/>
          <w:cols w:space="720" w:num="1"/>
        </w:sectPr>
      </w:pPr>
    </w:p>
    <w:p>
      <w:pPr>
        <w:pStyle w:val="10"/>
        <w:rPr>
          <w:sz w:val="20"/>
        </w:rPr>
      </w:pPr>
      <w:bookmarkStart w:id="393" w:name="_bookmark294"/>
      <w:bookmarkEnd w:id="393"/>
    </w:p>
    <w:p>
      <w:pPr>
        <w:pStyle w:val="10"/>
        <w:spacing w:before="3"/>
        <w:rPr>
          <w:sz w:val="26"/>
        </w:rPr>
      </w:pPr>
    </w:p>
    <w:p>
      <w:pPr>
        <w:pStyle w:val="3"/>
        <w:spacing w:before="55"/>
        <w:ind w:left="0" w:right="339" w:firstLine="0"/>
        <w:jc w:val="center"/>
      </w:pPr>
      <w:bookmarkStart w:id="394" w:name="_bookmark296"/>
      <w:bookmarkEnd w:id="394"/>
      <w:bookmarkStart w:id="395" w:name="_Toc37926105"/>
      <w:bookmarkStart w:id="396" w:name="_Toc36742122"/>
      <w:r>
        <w:rPr>
          <w:rFonts w:hint="eastAsia"/>
        </w:rPr>
        <w:t>五</w:t>
      </w:r>
      <w:r>
        <w:t>、</w:t>
      </w:r>
      <w:r>
        <w:rPr>
          <w:b w:val="0"/>
        </w:rPr>
        <w:t>资格审查资料</w:t>
      </w:r>
      <w:bookmarkEnd w:id="395"/>
      <w:bookmarkEnd w:id="396"/>
    </w:p>
    <w:p>
      <w:pPr>
        <w:pStyle w:val="10"/>
        <w:spacing w:before="9" w:after="1"/>
        <w:rPr>
          <w:rFonts w:ascii="黑体"/>
          <w:b/>
          <w:sz w:val="28"/>
        </w:rPr>
      </w:pPr>
    </w:p>
    <w:p>
      <w:pPr>
        <w:pStyle w:val="10"/>
        <w:spacing w:before="9" w:after="1"/>
        <w:rPr>
          <w:rFonts w:ascii="黑体"/>
          <w:b/>
          <w:sz w:val="28"/>
        </w:rPr>
      </w:pPr>
    </w:p>
    <w:p>
      <w:pPr>
        <w:spacing w:before="1" w:line="427" w:lineRule="auto"/>
        <w:ind w:left="415" w:right="463" w:firstLine="136"/>
        <w:rPr>
          <w:b/>
          <w:sz w:val="24"/>
        </w:rPr>
      </w:pPr>
      <w:r>
        <w:rPr>
          <w:b/>
          <w:sz w:val="24"/>
        </w:rPr>
        <w:t>（一）企业营业执照、资质证书和安全生产许可证复印件、广东省以外的投标企业的进粤企业和人员信息登记网上公开信息打印件</w:t>
      </w:r>
    </w:p>
    <w:p>
      <w:pPr>
        <w:pStyle w:val="10"/>
        <w:spacing w:before="5"/>
        <w:rPr>
          <w:sz w:val="20"/>
        </w:rPr>
      </w:pPr>
    </w:p>
    <w:p>
      <w:pPr>
        <w:pStyle w:val="10"/>
        <w:spacing w:before="142"/>
        <w:ind w:left="212"/>
      </w:pPr>
      <w:r>
        <w:t>（如联合体投标的，联合体各方根据联合体协议书的约定，提供各自营业执照、资质证书等资料，并   由联合体牵头人盖单位公章）。</w:t>
      </w:r>
    </w:p>
    <w:p>
      <w:pPr>
        <w:spacing w:line="391" w:lineRule="auto"/>
        <w:ind w:left="415" w:right="468"/>
        <w:rPr>
          <w:sz w:val="21"/>
        </w:rPr>
      </w:pPr>
    </w:p>
    <w:p>
      <w:pPr>
        <w:pStyle w:val="10"/>
        <w:spacing w:before="142"/>
        <w:ind w:left="212"/>
      </w:pPr>
    </w:p>
    <w:p>
      <w:pPr>
        <w:pStyle w:val="10"/>
        <w:spacing w:before="142"/>
        <w:ind w:left="212"/>
      </w:pPr>
    </w:p>
    <w:p>
      <w:pPr>
        <w:pStyle w:val="10"/>
        <w:spacing w:before="142"/>
        <w:ind w:left="212"/>
      </w:pPr>
    </w:p>
    <w:p>
      <w:pPr>
        <w:pStyle w:val="10"/>
        <w:spacing w:before="142"/>
        <w:ind w:left="212"/>
      </w:pPr>
    </w:p>
    <w:p>
      <w:pPr>
        <w:pStyle w:val="10"/>
        <w:spacing w:before="142"/>
        <w:ind w:left="212"/>
      </w:pPr>
    </w:p>
    <w:p>
      <w:pPr>
        <w:sectPr>
          <w:footerReference r:id="rId11" w:type="default"/>
          <w:pgSz w:w="11910" w:h="16840"/>
          <w:pgMar w:top="1580" w:right="580" w:bottom="1180" w:left="920" w:header="0" w:footer="995" w:gutter="0"/>
          <w:cols w:space="720" w:num="1"/>
        </w:sectPr>
      </w:pPr>
    </w:p>
    <w:p>
      <w:pPr>
        <w:rPr>
          <w:b/>
          <w:sz w:val="24"/>
        </w:rPr>
      </w:pPr>
      <w:bookmarkStart w:id="397" w:name="_bookmark297"/>
      <w:bookmarkEnd w:id="397"/>
      <w:r>
        <w:rPr>
          <w:b/>
          <w:sz w:val="24"/>
        </w:rPr>
        <w:t>（二）扩大承包工程范围承诺书（如需）（只供参考） 扩大承包工程范围承诺书</w:t>
      </w:r>
    </w:p>
    <w:p>
      <w:pPr>
        <w:spacing w:before="85"/>
        <w:ind w:left="958"/>
        <w:rPr>
          <w:b/>
          <w:sz w:val="24"/>
        </w:rPr>
      </w:pPr>
      <w:r>
        <w:rPr>
          <w:b/>
          <w:sz w:val="24"/>
        </w:rPr>
        <w:t>（投标人应在本格式基础上，可根据工程项目实际情况对相关条款进行增加）</w:t>
      </w:r>
    </w:p>
    <w:p>
      <w:pPr>
        <w:pStyle w:val="10"/>
        <w:rPr>
          <w:b/>
        </w:rPr>
      </w:pPr>
    </w:p>
    <w:p>
      <w:pPr>
        <w:pStyle w:val="10"/>
        <w:rPr>
          <w:b/>
        </w:rPr>
      </w:pPr>
    </w:p>
    <w:p>
      <w:pPr>
        <w:tabs>
          <w:tab w:val="left" w:pos="6437"/>
        </w:tabs>
        <w:spacing w:before="156"/>
        <w:ind w:left="415"/>
        <w:rPr>
          <w:sz w:val="28"/>
        </w:rPr>
      </w:pPr>
      <w:r>
        <w:rPr>
          <w:sz w:val="28"/>
        </w:rPr>
        <w:t>江</w:t>
      </w:r>
      <w:r>
        <w:rPr>
          <w:spacing w:val="-3"/>
          <w:sz w:val="28"/>
        </w:rPr>
        <w:t>门</w:t>
      </w:r>
      <w:r>
        <w:rPr>
          <w:sz w:val="28"/>
        </w:rPr>
        <w:t>市住</w:t>
      </w:r>
      <w:r>
        <w:rPr>
          <w:spacing w:val="-3"/>
          <w:sz w:val="28"/>
        </w:rPr>
        <w:t>房</w:t>
      </w:r>
      <w:r>
        <w:rPr>
          <w:sz w:val="28"/>
        </w:rPr>
        <w:t>和城</w:t>
      </w:r>
      <w:r>
        <w:rPr>
          <w:spacing w:val="-3"/>
          <w:sz w:val="28"/>
        </w:rPr>
        <w:t>乡</w:t>
      </w:r>
      <w:r>
        <w:rPr>
          <w:sz w:val="28"/>
        </w:rPr>
        <w:t>建设</w:t>
      </w:r>
      <w:r>
        <w:rPr>
          <w:spacing w:val="-3"/>
          <w:sz w:val="28"/>
        </w:rPr>
        <w:t>局</w:t>
      </w:r>
      <w:r>
        <w:rPr>
          <w:sz w:val="28"/>
        </w:rPr>
        <w:t>、</w:t>
      </w:r>
      <w:r>
        <w:rPr>
          <w:sz w:val="28"/>
          <w:u w:val="single"/>
        </w:rPr>
        <w:t xml:space="preserve"> </w:t>
      </w:r>
      <w:r>
        <w:rPr>
          <w:sz w:val="28"/>
          <w:u w:val="single"/>
        </w:rPr>
        <w:tab/>
      </w:r>
      <w:r>
        <w:rPr>
          <w:sz w:val="28"/>
          <w:u w:val="single"/>
        </w:rPr>
        <w:t>（</w:t>
      </w:r>
      <w:r>
        <w:rPr>
          <w:spacing w:val="-3"/>
          <w:sz w:val="28"/>
          <w:u w:val="single"/>
        </w:rPr>
        <w:t>招</w:t>
      </w:r>
      <w:r>
        <w:rPr>
          <w:sz w:val="28"/>
          <w:u w:val="single"/>
        </w:rPr>
        <w:t>标人）</w:t>
      </w:r>
      <w:r>
        <w:rPr>
          <w:sz w:val="28"/>
        </w:rPr>
        <w:t>：</w:t>
      </w:r>
    </w:p>
    <w:p>
      <w:pPr>
        <w:spacing w:before="203" w:line="374" w:lineRule="auto"/>
        <w:ind w:left="415" w:right="463" w:firstLine="645"/>
        <w:jc w:val="both"/>
        <w:rPr>
          <w:sz w:val="28"/>
        </w:rPr>
      </w:pPr>
      <w:r>
        <w:rPr>
          <w:spacing w:val="-10"/>
          <w:sz w:val="28"/>
        </w:rPr>
        <w:t>根据《广东省住房和城乡建设厅关于印发建筑业企业等资质管理“放管</w:t>
      </w:r>
      <w:r>
        <w:rPr>
          <w:spacing w:val="-7"/>
          <w:sz w:val="28"/>
        </w:rPr>
        <w:t>服”改革试点实施意见的通知</w:t>
      </w:r>
      <w:r>
        <w:rPr>
          <w:sz w:val="28"/>
        </w:rPr>
        <w:t>（</w:t>
      </w:r>
      <w:r>
        <w:rPr>
          <w:spacing w:val="-3"/>
          <w:sz w:val="28"/>
        </w:rPr>
        <w:t>粤建规范〔</w:t>
      </w:r>
      <w:r>
        <w:rPr>
          <w:sz w:val="28"/>
        </w:rPr>
        <w:t>2018〕7</w:t>
      </w:r>
      <w:r>
        <w:rPr>
          <w:spacing w:val="-34"/>
          <w:sz w:val="28"/>
        </w:rPr>
        <w:t xml:space="preserve"> 号</w:t>
      </w:r>
      <w:r>
        <w:rPr>
          <w:spacing w:val="-3"/>
          <w:sz w:val="28"/>
        </w:rPr>
        <w:t>）</w:t>
      </w:r>
      <w:r>
        <w:rPr>
          <w:spacing w:val="-2"/>
          <w:sz w:val="28"/>
        </w:rPr>
        <w:t>》文件精神，现承诺如下：</w:t>
      </w:r>
    </w:p>
    <w:p>
      <w:pPr>
        <w:spacing w:before="1" w:line="374" w:lineRule="auto"/>
        <w:ind w:left="415" w:right="326" w:firstLine="645"/>
        <w:jc w:val="both"/>
        <w:rPr>
          <w:sz w:val="28"/>
        </w:rPr>
      </w:pPr>
      <w:r>
        <w:rPr>
          <w:spacing w:val="-3"/>
          <w:sz w:val="28"/>
        </w:rPr>
        <w:t>我单位已取得广东省资质许可的二级建筑工程</w:t>
      </w:r>
      <w:r>
        <w:rPr>
          <w:sz w:val="28"/>
        </w:rPr>
        <w:t>/</w:t>
      </w:r>
      <w:r>
        <w:rPr>
          <w:spacing w:val="-2"/>
          <w:sz w:val="28"/>
        </w:rPr>
        <w:t>市政公用</w:t>
      </w:r>
      <w:r>
        <w:rPr>
          <w:spacing w:val="-3"/>
          <w:sz w:val="28"/>
        </w:rPr>
        <w:t>（</w:t>
      </w:r>
      <w:r>
        <w:rPr>
          <w:sz w:val="28"/>
        </w:rPr>
        <w:t>选填</w:t>
      </w:r>
      <w:r>
        <w:rPr>
          <w:spacing w:val="-3"/>
          <w:sz w:val="28"/>
        </w:rPr>
        <w:t>）</w:t>
      </w:r>
      <w:r>
        <w:rPr>
          <w:sz w:val="28"/>
        </w:rPr>
        <w:t>施工</w:t>
      </w:r>
      <w:r>
        <w:rPr>
          <w:spacing w:val="-3"/>
          <w:sz w:val="28"/>
        </w:rPr>
        <w:t>总承包资质，诚实守法，三年内无发生过质量安全事故、三年内无不良行为记录，我单位可以承包</w:t>
      </w:r>
      <w:r>
        <w:rPr>
          <w:spacing w:val="-3"/>
          <w:sz w:val="28"/>
          <w:u w:val="single"/>
        </w:rPr>
        <w:t>一级建筑工程</w:t>
      </w:r>
      <w:r>
        <w:rPr>
          <w:sz w:val="28"/>
          <w:u w:val="single"/>
        </w:rPr>
        <w:t>/</w:t>
      </w:r>
      <w:r>
        <w:rPr>
          <w:spacing w:val="-2"/>
          <w:sz w:val="28"/>
          <w:u w:val="single"/>
        </w:rPr>
        <w:t>市政公用</w:t>
      </w:r>
      <w:r>
        <w:rPr>
          <w:sz w:val="28"/>
        </w:rPr>
        <w:t>（</w:t>
      </w:r>
      <w:r>
        <w:rPr>
          <w:spacing w:val="-2"/>
          <w:sz w:val="28"/>
        </w:rPr>
        <w:t>选填</w:t>
      </w:r>
      <w:r>
        <w:rPr>
          <w:sz w:val="28"/>
        </w:rPr>
        <w:t>）</w:t>
      </w:r>
      <w:r>
        <w:rPr>
          <w:spacing w:val="-3"/>
          <w:sz w:val="28"/>
        </w:rPr>
        <w:t>总承包资质的工程。</w:t>
      </w:r>
    </w:p>
    <w:p>
      <w:pPr>
        <w:spacing w:before="1"/>
        <w:ind w:left="1061"/>
        <w:rPr>
          <w:sz w:val="28"/>
        </w:rPr>
      </w:pPr>
      <w:r>
        <w:rPr>
          <w:sz w:val="28"/>
        </w:rPr>
        <w:t>如承诺不实，我单位愿意承担相应的法律责任。</w:t>
      </w:r>
    </w:p>
    <w:p>
      <w:pPr>
        <w:pStyle w:val="10"/>
        <w:rPr>
          <w:sz w:val="28"/>
        </w:rPr>
      </w:pPr>
    </w:p>
    <w:p>
      <w:pPr>
        <w:pStyle w:val="10"/>
        <w:rPr>
          <w:sz w:val="28"/>
        </w:rPr>
      </w:pPr>
    </w:p>
    <w:p>
      <w:pPr>
        <w:pStyle w:val="10"/>
        <w:rPr>
          <w:sz w:val="28"/>
        </w:rPr>
      </w:pPr>
    </w:p>
    <w:p>
      <w:pPr>
        <w:rPr>
          <w:b/>
          <w:spacing w:val="-6"/>
        </w:rPr>
      </w:pPr>
      <w:r>
        <w:rPr>
          <w:b/>
        </w:rPr>
        <w:t>承诺单位（盖章</w:t>
      </w:r>
      <w:r>
        <w:rPr>
          <w:b/>
          <w:spacing w:val="-6"/>
        </w:rPr>
        <w:t>）：</w:t>
      </w:r>
    </w:p>
    <w:p>
      <w:pPr>
        <w:rPr>
          <w:b/>
          <w:spacing w:val="-6"/>
        </w:rPr>
      </w:pPr>
    </w:p>
    <w:p>
      <w:pPr>
        <w:rPr>
          <w:b/>
        </w:rPr>
      </w:pPr>
      <w:r>
        <w:rPr>
          <w:b/>
          <w:spacing w:val="-6"/>
        </w:rPr>
        <w:t xml:space="preserve"> </w:t>
      </w:r>
      <w:r>
        <w:rPr>
          <w:b/>
        </w:rPr>
        <w:t>年</w:t>
      </w:r>
      <w:r>
        <w:rPr>
          <w:rFonts w:hint="eastAsia"/>
          <w:b/>
        </w:rPr>
        <w:t xml:space="preserve">         </w:t>
      </w:r>
      <w:r>
        <w:rPr>
          <w:b/>
        </w:rPr>
        <w:t>月</w:t>
      </w:r>
      <w:r>
        <w:rPr>
          <w:rFonts w:hint="eastAsia"/>
          <w:b/>
        </w:rPr>
        <w:t xml:space="preserve">        </w:t>
      </w:r>
      <w:r>
        <w:rPr>
          <w:b/>
          <w:spacing w:val="-17"/>
        </w:rPr>
        <w:t>日</w:t>
      </w:r>
    </w:p>
    <w:p>
      <w:pPr>
        <w:pStyle w:val="10"/>
        <w:rPr>
          <w:sz w:val="32"/>
        </w:rPr>
      </w:pPr>
    </w:p>
    <w:p>
      <w:pPr>
        <w:pStyle w:val="10"/>
        <w:rPr>
          <w:sz w:val="32"/>
        </w:rPr>
      </w:pPr>
    </w:p>
    <w:p>
      <w:pPr>
        <w:pStyle w:val="10"/>
        <w:spacing w:before="12"/>
        <w:rPr>
          <w:sz w:val="29"/>
        </w:rPr>
      </w:pPr>
    </w:p>
    <w:p>
      <w:pPr>
        <w:pStyle w:val="10"/>
        <w:spacing w:line="436" w:lineRule="auto"/>
        <w:ind w:left="415" w:right="465" w:firstLine="645"/>
        <w:jc w:val="both"/>
      </w:pPr>
      <w:r>
        <w:rPr>
          <w:spacing w:val="-7"/>
        </w:rPr>
        <w:t>注：不良行为记录是指收到县级以上住房城乡建设主管部门行政处罚、以及被地级</w:t>
      </w:r>
      <w:r>
        <w:rPr>
          <w:spacing w:val="-6"/>
        </w:rPr>
        <w:t>市以上住房城乡建设主管部门工作平台公布的其他不良行为信息。符合扩大承包范围条件</w:t>
      </w:r>
      <w:r>
        <w:t>的广东省二级建筑工程/市政公用工程施工总承包企业填写此承诺。</w:t>
      </w:r>
    </w:p>
    <w:p>
      <w:pPr>
        <w:widowControl/>
        <w:autoSpaceDE/>
        <w:autoSpaceDN/>
        <w:rPr>
          <w:rFonts w:ascii="黑体" w:hAnsi="黑体" w:eastAsia="黑体" w:cs="黑体"/>
          <w:b/>
          <w:bCs/>
          <w:sz w:val="32"/>
          <w:szCs w:val="32"/>
        </w:rPr>
      </w:pPr>
    </w:p>
    <w:p/>
    <w:p>
      <w:pPr>
        <w:widowControl/>
        <w:autoSpaceDE/>
        <w:autoSpaceDN/>
        <w:rPr>
          <w:rFonts w:ascii="黑体" w:hAnsi="黑体" w:eastAsia="黑体" w:cs="黑体"/>
          <w:b/>
          <w:bCs/>
          <w:sz w:val="32"/>
          <w:szCs w:val="32"/>
        </w:rPr>
      </w:pPr>
      <w:r>
        <w:br w:type="page"/>
      </w:r>
    </w:p>
    <w:p>
      <w:pPr>
        <w:spacing w:before="62"/>
        <w:ind w:left="552"/>
        <w:rPr>
          <w:b/>
          <w:sz w:val="24"/>
        </w:rPr>
      </w:pPr>
      <w:r>
        <w:rPr>
          <w:b/>
          <w:sz w:val="24"/>
        </w:rPr>
        <w:t>（</w:t>
      </w:r>
      <w:r>
        <w:rPr>
          <w:rFonts w:hint="eastAsia"/>
          <w:b/>
          <w:sz w:val="24"/>
        </w:rPr>
        <w:t>三</w:t>
      </w:r>
      <w:r>
        <w:rPr>
          <w:b/>
          <w:sz w:val="24"/>
        </w:rPr>
        <w:t>）拟派项目</w:t>
      </w:r>
      <w:r>
        <w:rPr>
          <w:rFonts w:hint="eastAsia"/>
          <w:b/>
          <w:sz w:val="24"/>
        </w:rPr>
        <w:t>经理</w:t>
      </w:r>
      <w:r>
        <w:rPr>
          <w:b/>
          <w:sz w:val="24"/>
        </w:rPr>
        <w:t>等人员基本情况表</w:t>
      </w:r>
    </w:p>
    <w:p>
      <w:pPr>
        <w:pStyle w:val="10"/>
        <w:rPr>
          <w:sz w:val="20"/>
        </w:rPr>
      </w:pPr>
    </w:p>
    <w:p>
      <w:pPr>
        <w:pStyle w:val="10"/>
        <w:spacing w:before="3"/>
        <w:rPr>
          <w:sz w:val="11"/>
        </w:rPr>
      </w:pPr>
    </w:p>
    <w:tbl>
      <w:tblPr>
        <w:tblStyle w:val="24"/>
        <w:tblW w:w="9356" w:type="dxa"/>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674"/>
        <w:gridCol w:w="816"/>
        <w:gridCol w:w="1190"/>
        <w:gridCol w:w="670"/>
        <w:gridCol w:w="706"/>
        <w:gridCol w:w="750"/>
        <w:gridCol w:w="1276"/>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148" w:type="dxa"/>
            <w:vMerge w:val="restart"/>
          </w:tcPr>
          <w:p>
            <w:pPr>
              <w:pStyle w:val="36"/>
              <w:spacing w:before="5"/>
              <w:rPr>
                <w:sz w:val="25"/>
              </w:rPr>
            </w:pPr>
          </w:p>
          <w:p>
            <w:pPr>
              <w:pStyle w:val="36"/>
              <w:spacing w:before="1"/>
              <w:ind w:left="107"/>
              <w:rPr>
                <w:sz w:val="21"/>
              </w:rPr>
            </w:pPr>
            <w:r>
              <w:rPr>
                <w:sz w:val="21"/>
              </w:rPr>
              <w:t>岗位</w:t>
            </w:r>
          </w:p>
        </w:tc>
        <w:tc>
          <w:tcPr>
            <w:tcW w:w="674" w:type="dxa"/>
            <w:vMerge w:val="restart"/>
          </w:tcPr>
          <w:p>
            <w:pPr>
              <w:pStyle w:val="36"/>
              <w:spacing w:before="5"/>
              <w:rPr>
                <w:sz w:val="25"/>
              </w:rPr>
            </w:pPr>
          </w:p>
          <w:p>
            <w:pPr>
              <w:pStyle w:val="36"/>
              <w:spacing w:before="1"/>
              <w:ind w:left="108"/>
              <w:rPr>
                <w:sz w:val="21"/>
              </w:rPr>
            </w:pPr>
            <w:r>
              <w:rPr>
                <w:sz w:val="21"/>
              </w:rPr>
              <w:t>姓名</w:t>
            </w:r>
          </w:p>
        </w:tc>
        <w:tc>
          <w:tcPr>
            <w:tcW w:w="816" w:type="dxa"/>
            <w:vMerge w:val="restart"/>
          </w:tcPr>
          <w:p>
            <w:pPr>
              <w:pStyle w:val="36"/>
              <w:spacing w:before="5"/>
              <w:rPr>
                <w:sz w:val="25"/>
              </w:rPr>
            </w:pPr>
          </w:p>
          <w:p>
            <w:pPr>
              <w:pStyle w:val="36"/>
              <w:spacing w:before="1"/>
              <w:ind w:left="106"/>
              <w:rPr>
                <w:sz w:val="21"/>
              </w:rPr>
            </w:pPr>
            <w:r>
              <w:rPr>
                <w:sz w:val="21"/>
              </w:rPr>
              <w:t>职称</w:t>
            </w:r>
          </w:p>
        </w:tc>
        <w:tc>
          <w:tcPr>
            <w:tcW w:w="4592" w:type="dxa"/>
            <w:gridSpan w:val="5"/>
          </w:tcPr>
          <w:p>
            <w:pPr>
              <w:pStyle w:val="36"/>
              <w:spacing w:before="98"/>
              <w:ind w:left="1349"/>
              <w:rPr>
                <w:sz w:val="21"/>
              </w:rPr>
            </w:pPr>
            <w:r>
              <w:rPr>
                <w:sz w:val="21"/>
              </w:rPr>
              <w:t>执业或职业资格证明</w:t>
            </w:r>
          </w:p>
        </w:tc>
        <w:tc>
          <w:tcPr>
            <w:tcW w:w="2126" w:type="dxa"/>
            <w:vMerge w:val="restart"/>
          </w:tcPr>
          <w:p>
            <w:pPr>
              <w:pStyle w:val="36"/>
              <w:spacing w:before="5"/>
              <w:rPr>
                <w:sz w:val="25"/>
              </w:rPr>
            </w:pPr>
          </w:p>
          <w:p>
            <w:pPr>
              <w:pStyle w:val="36"/>
              <w:spacing w:before="1"/>
              <w:ind w:left="831" w:right="825"/>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1148"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816" w:type="dxa"/>
            <w:vMerge w:val="continue"/>
            <w:tcBorders>
              <w:top w:val="nil"/>
            </w:tcBorders>
          </w:tcPr>
          <w:p>
            <w:pPr>
              <w:rPr>
                <w:sz w:val="2"/>
                <w:szCs w:val="2"/>
              </w:rPr>
            </w:pPr>
          </w:p>
        </w:tc>
        <w:tc>
          <w:tcPr>
            <w:tcW w:w="1190" w:type="dxa"/>
          </w:tcPr>
          <w:p>
            <w:pPr>
              <w:pStyle w:val="36"/>
              <w:spacing w:before="87"/>
              <w:ind w:left="106"/>
              <w:rPr>
                <w:sz w:val="21"/>
              </w:rPr>
            </w:pPr>
            <w:r>
              <w:rPr>
                <w:sz w:val="21"/>
              </w:rPr>
              <w:t>证书名称</w:t>
            </w:r>
          </w:p>
        </w:tc>
        <w:tc>
          <w:tcPr>
            <w:tcW w:w="670" w:type="dxa"/>
          </w:tcPr>
          <w:p>
            <w:pPr>
              <w:pStyle w:val="36"/>
              <w:spacing w:before="87"/>
              <w:ind w:left="107"/>
              <w:rPr>
                <w:sz w:val="21"/>
              </w:rPr>
            </w:pPr>
            <w:r>
              <w:rPr>
                <w:sz w:val="21"/>
              </w:rPr>
              <w:t>级别</w:t>
            </w:r>
          </w:p>
        </w:tc>
        <w:tc>
          <w:tcPr>
            <w:tcW w:w="706" w:type="dxa"/>
          </w:tcPr>
          <w:p>
            <w:pPr>
              <w:pStyle w:val="36"/>
              <w:spacing w:before="87"/>
              <w:ind w:left="106"/>
              <w:rPr>
                <w:sz w:val="21"/>
              </w:rPr>
            </w:pPr>
            <w:r>
              <w:rPr>
                <w:sz w:val="21"/>
              </w:rPr>
              <w:t>证号</w:t>
            </w:r>
          </w:p>
        </w:tc>
        <w:tc>
          <w:tcPr>
            <w:tcW w:w="750" w:type="dxa"/>
          </w:tcPr>
          <w:p>
            <w:pPr>
              <w:pStyle w:val="36"/>
              <w:spacing w:before="87"/>
              <w:ind w:left="108"/>
              <w:rPr>
                <w:sz w:val="21"/>
              </w:rPr>
            </w:pPr>
            <w:r>
              <w:rPr>
                <w:sz w:val="21"/>
              </w:rPr>
              <w:t>专业</w:t>
            </w:r>
          </w:p>
        </w:tc>
        <w:tc>
          <w:tcPr>
            <w:tcW w:w="1276" w:type="dxa"/>
          </w:tcPr>
          <w:p>
            <w:pPr>
              <w:pStyle w:val="36"/>
              <w:spacing w:before="87"/>
              <w:ind w:left="107"/>
              <w:rPr>
                <w:sz w:val="21"/>
              </w:rPr>
            </w:pPr>
            <w:r>
              <w:rPr>
                <w:sz w:val="21"/>
              </w:rPr>
              <w:t>服务单位</w:t>
            </w:r>
          </w:p>
        </w:tc>
        <w:tc>
          <w:tcPr>
            <w:tcW w:w="21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1148" w:type="dxa"/>
          </w:tcPr>
          <w:p>
            <w:pPr>
              <w:pStyle w:val="36"/>
              <w:spacing w:before="24"/>
              <w:ind w:left="107"/>
              <w:rPr>
                <w:sz w:val="21"/>
              </w:rPr>
            </w:pPr>
            <w:r>
              <w:rPr>
                <w:sz w:val="21"/>
              </w:rPr>
              <w:t>项目</w:t>
            </w:r>
            <w:r>
              <w:rPr>
                <w:rFonts w:hint="eastAsia"/>
                <w:sz w:val="21"/>
              </w:rPr>
              <w:t>经理</w:t>
            </w:r>
          </w:p>
        </w:tc>
        <w:tc>
          <w:tcPr>
            <w:tcW w:w="674" w:type="dxa"/>
          </w:tcPr>
          <w:p>
            <w:pPr>
              <w:pStyle w:val="36"/>
              <w:rPr>
                <w:rFonts w:ascii="Times New Roman"/>
                <w:sz w:val="20"/>
              </w:rPr>
            </w:pPr>
          </w:p>
        </w:tc>
        <w:tc>
          <w:tcPr>
            <w:tcW w:w="816" w:type="dxa"/>
          </w:tcPr>
          <w:p>
            <w:pPr>
              <w:pStyle w:val="36"/>
              <w:rPr>
                <w:rFonts w:ascii="Times New Roman"/>
                <w:sz w:val="20"/>
              </w:rPr>
            </w:pPr>
          </w:p>
        </w:tc>
        <w:tc>
          <w:tcPr>
            <w:tcW w:w="1190" w:type="dxa"/>
          </w:tcPr>
          <w:p>
            <w:pPr>
              <w:pStyle w:val="36"/>
              <w:rPr>
                <w:rFonts w:ascii="Times New Roman"/>
                <w:sz w:val="20"/>
              </w:rPr>
            </w:pPr>
          </w:p>
        </w:tc>
        <w:tc>
          <w:tcPr>
            <w:tcW w:w="670" w:type="dxa"/>
          </w:tcPr>
          <w:p>
            <w:pPr>
              <w:pStyle w:val="36"/>
              <w:rPr>
                <w:rFonts w:ascii="Times New Roman"/>
                <w:sz w:val="20"/>
              </w:rPr>
            </w:pPr>
          </w:p>
        </w:tc>
        <w:tc>
          <w:tcPr>
            <w:tcW w:w="706" w:type="dxa"/>
          </w:tcPr>
          <w:p>
            <w:pPr>
              <w:pStyle w:val="36"/>
              <w:rPr>
                <w:rFonts w:ascii="Times New Roman"/>
                <w:sz w:val="20"/>
              </w:rPr>
            </w:pPr>
          </w:p>
        </w:tc>
        <w:tc>
          <w:tcPr>
            <w:tcW w:w="750" w:type="dxa"/>
          </w:tcPr>
          <w:p>
            <w:pPr>
              <w:pStyle w:val="36"/>
              <w:rPr>
                <w:rFonts w:ascii="Times New Roman"/>
                <w:sz w:val="20"/>
              </w:rPr>
            </w:pPr>
          </w:p>
        </w:tc>
        <w:tc>
          <w:tcPr>
            <w:tcW w:w="1276" w:type="dxa"/>
          </w:tcPr>
          <w:p>
            <w:pPr>
              <w:pStyle w:val="36"/>
              <w:rPr>
                <w:rFonts w:ascii="Times New Roman"/>
                <w:sz w:val="20"/>
              </w:rPr>
            </w:pPr>
          </w:p>
        </w:tc>
        <w:tc>
          <w:tcPr>
            <w:tcW w:w="2126"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1148" w:type="dxa"/>
          </w:tcPr>
          <w:p>
            <w:pPr>
              <w:pStyle w:val="36"/>
              <w:spacing w:before="24"/>
              <w:ind w:left="107"/>
              <w:rPr>
                <w:sz w:val="21"/>
              </w:rPr>
            </w:pPr>
            <w:r>
              <w:rPr>
                <w:sz w:val="21"/>
              </w:rPr>
              <w:t>施工负责</w:t>
            </w:r>
          </w:p>
          <w:p>
            <w:pPr>
              <w:pStyle w:val="36"/>
              <w:spacing w:before="50"/>
              <w:ind w:left="140"/>
              <w:rPr>
                <w:sz w:val="21"/>
              </w:rPr>
            </w:pPr>
            <w:r>
              <w:rPr>
                <w:w w:val="99"/>
                <w:sz w:val="21"/>
              </w:rPr>
              <w:t>人</w:t>
            </w:r>
          </w:p>
        </w:tc>
        <w:tc>
          <w:tcPr>
            <w:tcW w:w="674" w:type="dxa"/>
          </w:tcPr>
          <w:p>
            <w:pPr>
              <w:pStyle w:val="36"/>
              <w:rPr>
                <w:rFonts w:ascii="Times New Roman"/>
                <w:sz w:val="20"/>
              </w:rPr>
            </w:pPr>
          </w:p>
        </w:tc>
        <w:tc>
          <w:tcPr>
            <w:tcW w:w="816" w:type="dxa"/>
          </w:tcPr>
          <w:p>
            <w:pPr>
              <w:pStyle w:val="36"/>
              <w:rPr>
                <w:rFonts w:ascii="Times New Roman"/>
                <w:sz w:val="20"/>
              </w:rPr>
            </w:pPr>
          </w:p>
        </w:tc>
        <w:tc>
          <w:tcPr>
            <w:tcW w:w="1190" w:type="dxa"/>
          </w:tcPr>
          <w:p>
            <w:pPr>
              <w:pStyle w:val="36"/>
              <w:rPr>
                <w:rFonts w:ascii="Times New Roman"/>
                <w:sz w:val="20"/>
              </w:rPr>
            </w:pPr>
          </w:p>
        </w:tc>
        <w:tc>
          <w:tcPr>
            <w:tcW w:w="670" w:type="dxa"/>
          </w:tcPr>
          <w:p>
            <w:pPr>
              <w:pStyle w:val="36"/>
              <w:rPr>
                <w:rFonts w:ascii="Times New Roman"/>
                <w:sz w:val="20"/>
              </w:rPr>
            </w:pPr>
          </w:p>
        </w:tc>
        <w:tc>
          <w:tcPr>
            <w:tcW w:w="706" w:type="dxa"/>
          </w:tcPr>
          <w:p>
            <w:pPr>
              <w:pStyle w:val="36"/>
              <w:rPr>
                <w:rFonts w:ascii="Times New Roman"/>
                <w:sz w:val="20"/>
              </w:rPr>
            </w:pPr>
          </w:p>
        </w:tc>
        <w:tc>
          <w:tcPr>
            <w:tcW w:w="750" w:type="dxa"/>
          </w:tcPr>
          <w:p>
            <w:pPr>
              <w:pStyle w:val="36"/>
              <w:rPr>
                <w:rFonts w:ascii="Times New Roman"/>
                <w:sz w:val="20"/>
              </w:rPr>
            </w:pPr>
          </w:p>
        </w:tc>
        <w:tc>
          <w:tcPr>
            <w:tcW w:w="1276" w:type="dxa"/>
          </w:tcPr>
          <w:p>
            <w:pPr>
              <w:pStyle w:val="36"/>
              <w:rPr>
                <w:rFonts w:ascii="Times New Roman"/>
                <w:sz w:val="20"/>
              </w:rPr>
            </w:pPr>
          </w:p>
        </w:tc>
        <w:tc>
          <w:tcPr>
            <w:tcW w:w="2126"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1148" w:type="dxa"/>
          </w:tcPr>
          <w:p>
            <w:pPr>
              <w:pStyle w:val="36"/>
              <w:spacing w:before="24"/>
              <w:ind w:left="107"/>
              <w:rPr>
                <w:sz w:val="21"/>
              </w:rPr>
            </w:pPr>
            <w:r>
              <w:rPr>
                <w:rFonts w:hint="eastAsia"/>
                <w:sz w:val="21"/>
              </w:rPr>
              <w:t>设计经理</w:t>
            </w:r>
          </w:p>
        </w:tc>
        <w:tc>
          <w:tcPr>
            <w:tcW w:w="674" w:type="dxa"/>
          </w:tcPr>
          <w:p>
            <w:pPr>
              <w:pStyle w:val="36"/>
              <w:rPr>
                <w:rFonts w:ascii="Times New Roman"/>
                <w:sz w:val="20"/>
              </w:rPr>
            </w:pPr>
          </w:p>
        </w:tc>
        <w:tc>
          <w:tcPr>
            <w:tcW w:w="816" w:type="dxa"/>
          </w:tcPr>
          <w:p>
            <w:pPr>
              <w:pStyle w:val="36"/>
              <w:rPr>
                <w:rFonts w:ascii="Times New Roman"/>
                <w:sz w:val="20"/>
              </w:rPr>
            </w:pPr>
          </w:p>
        </w:tc>
        <w:tc>
          <w:tcPr>
            <w:tcW w:w="1190" w:type="dxa"/>
          </w:tcPr>
          <w:p>
            <w:pPr>
              <w:pStyle w:val="36"/>
              <w:rPr>
                <w:rFonts w:ascii="Times New Roman"/>
                <w:sz w:val="20"/>
              </w:rPr>
            </w:pPr>
          </w:p>
        </w:tc>
        <w:tc>
          <w:tcPr>
            <w:tcW w:w="670" w:type="dxa"/>
          </w:tcPr>
          <w:p>
            <w:pPr>
              <w:pStyle w:val="36"/>
              <w:rPr>
                <w:rFonts w:ascii="Times New Roman"/>
                <w:sz w:val="20"/>
              </w:rPr>
            </w:pPr>
          </w:p>
        </w:tc>
        <w:tc>
          <w:tcPr>
            <w:tcW w:w="706" w:type="dxa"/>
          </w:tcPr>
          <w:p>
            <w:pPr>
              <w:pStyle w:val="36"/>
              <w:rPr>
                <w:rFonts w:ascii="Times New Roman"/>
                <w:sz w:val="20"/>
              </w:rPr>
            </w:pPr>
          </w:p>
        </w:tc>
        <w:tc>
          <w:tcPr>
            <w:tcW w:w="750" w:type="dxa"/>
          </w:tcPr>
          <w:p>
            <w:pPr>
              <w:pStyle w:val="36"/>
              <w:rPr>
                <w:rFonts w:ascii="Times New Roman"/>
                <w:sz w:val="20"/>
              </w:rPr>
            </w:pPr>
          </w:p>
        </w:tc>
        <w:tc>
          <w:tcPr>
            <w:tcW w:w="1276" w:type="dxa"/>
          </w:tcPr>
          <w:p>
            <w:pPr>
              <w:pStyle w:val="36"/>
              <w:rPr>
                <w:rFonts w:ascii="Times New Roman"/>
                <w:sz w:val="20"/>
              </w:rPr>
            </w:pPr>
          </w:p>
        </w:tc>
        <w:tc>
          <w:tcPr>
            <w:tcW w:w="2126"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356" w:type="dxa"/>
            <w:gridSpan w:val="9"/>
          </w:tcPr>
          <w:p>
            <w:pPr>
              <w:pStyle w:val="36"/>
              <w:spacing w:before="44"/>
              <w:ind w:left="289"/>
              <w:rPr>
                <w:sz w:val="18"/>
              </w:rPr>
            </w:pPr>
            <w:r>
              <w:rPr>
                <w:sz w:val="21"/>
              </w:rPr>
              <w:t>一旦我单位中标，将实行总承包项目负责人负责制，我方保证并配备上述项目管理机构。上述填报内容真实，若不真实，愿按有关规定接受处理。项目管理班子机构设置、职责分工等情况另附资料说明。</w:t>
            </w:r>
          </w:p>
        </w:tc>
      </w:tr>
    </w:tbl>
    <w:p>
      <w:pPr>
        <w:spacing w:before="136" w:line="364" w:lineRule="auto"/>
        <w:ind w:left="415" w:right="780" w:firstLine="424"/>
        <w:rPr>
          <w:sz w:val="21"/>
        </w:rPr>
      </w:pPr>
      <w:r>
        <w:rPr>
          <w:sz w:val="21"/>
        </w:rPr>
        <w:t>附：1）拟派</w:t>
      </w:r>
      <w:r>
        <w:rPr>
          <w:rFonts w:hint="eastAsia"/>
          <w:sz w:val="21"/>
        </w:rPr>
        <w:t>项目总负责人（</w:t>
      </w:r>
      <w:r>
        <w:rPr>
          <w:sz w:val="21"/>
        </w:rPr>
        <w:t>设计</w:t>
      </w:r>
      <w:r>
        <w:rPr>
          <w:rFonts w:hint="eastAsia"/>
          <w:sz w:val="21"/>
        </w:rPr>
        <w:t>经理）</w:t>
      </w:r>
      <w:r>
        <w:rPr>
          <w:sz w:val="21"/>
        </w:rPr>
        <w:t>：具备</w:t>
      </w:r>
      <w:r>
        <w:rPr>
          <w:sz w:val="21"/>
          <w:u w:val="single"/>
        </w:rPr>
        <w:t>一级注册建筑师资格证书</w:t>
      </w:r>
      <w:r>
        <w:rPr>
          <w:sz w:val="21"/>
        </w:rPr>
        <w:t>复印件，本人身份证正反面复印件</w:t>
      </w:r>
      <w:r>
        <w:rPr>
          <w:rFonts w:hint="eastAsia"/>
          <w:sz w:val="21"/>
        </w:rPr>
        <w:t>。</w:t>
      </w:r>
    </w:p>
    <w:p>
      <w:pPr>
        <w:spacing w:before="136" w:line="364" w:lineRule="auto"/>
        <w:ind w:left="415" w:right="780" w:firstLine="424"/>
        <w:rPr>
          <w:sz w:val="21"/>
        </w:rPr>
      </w:pPr>
      <w:r>
        <w:rPr>
          <w:rFonts w:hint="eastAsia"/>
          <w:sz w:val="21"/>
        </w:rPr>
        <w:t>2)</w:t>
      </w:r>
      <w:r>
        <w:rPr>
          <w:sz w:val="21"/>
        </w:rPr>
        <w:t>拟派项目</w:t>
      </w:r>
      <w:r>
        <w:rPr>
          <w:rFonts w:hint="eastAsia"/>
          <w:sz w:val="21"/>
        </w:rPr>
        <w:t>经理2名</w:t>
      </w:r>
      <w:r>
        <w:rPr>
          <w:sz w:val="21"/>
        </w:rPr>
        <w:t>：有效的</w:t>
      </w:r>
      <w:r>
        <w:rPr>
          <w:sz w:val="21"/>
          <w:u w:val="single"/>
        </w:rPr>
        <w:t>建筑工程</w:t>
      </w:r>
      <w:r>
        <w:rPr>
          <w:rFonts w:hint="eastAsia"/>
          <w:sz w:val="21"/>
          <w:u w:val="single"/>
        </w:rPr>
        <w:t>二</w:t>
      </w:r>
      <w:r>
        <w:rPr>
          <w:sz w:val="21"/>
          <w:u w:val="single"/>
        </w:rPr>
        <w:t>级的注册建造师注册证</w:t>
      </w:r>
      <w:r>
        <w:rPr>
          <w:sz w:val="21"/>
        </w:rPr>
        <w:t>复印件，施工负责人的安全生产考核合格证书（B证）复印件、本人身份证正反面复印件。</w:t>
      </w:r>
    </w:p>
    <w:p>
      <w:pPr>
        <w:tabs>
          <w:tab w:val="left" w:pos="1574"/>
        </w:tabs>
        <w:spacing w:line="364" w:lineRule="auto"/>
        <w:ind w:right="782" w:firstLine="840" w:firstLineChars="400"/>
        <w:rPr>
          <w:sz w:val="21"/>
        </w:rPr>
      </w:pPr>
      <w:r>
        <w:rPr>
          <w:rFonts w:hint="eastAsia"/>
          <w:sz w:val="21"/>
        </w:rPr>
        <w:t>3)</w:t>
      </w:r>
      <w:r>
        <w:rPr>
          <w:sz w:val="21"/>
        </w:rPr>
        <w:t>拟派施工负责人</w:t>
      </w:r>
      <w:r>
        <w:rPr>
          <w:rFonts w:hint="eastAsia"/>
          <w:sz w:val="21"/>
        </w:rPr>
        <w:t>2名</w:t>
      </w:r>
      <w:r>
        <w:rPr>
          <w:sz w:val="21"/>
        </w:rPr>
        <w:t>：有效的</w:t>
      </w:r>
      <w:r>
        <w:rPr>
          <w:sz w:val="21"/>
          <w:u w:val="single"/>
        </w:rPr>
        <w:t>建筑工程</w:t>
      </w:r>
      <w:r>
        <w:rPr>
          <w:rFonts w:hint="eastAsia"/>
          <w:sz w:val="21"/>
          <w:u w:val="single"/>
        </w:rPr>
        <w:t>二</w:t>
      </w:r>
      <w:r>
        <w:rPr>
          <w:sz w:val="21"/>
          <w:u w:val="single"/>
        </w:rPr>
        <w:t>级的注册建造师注册证</w:t>
      </w:r>
      <w:r>
        <w:rPr>
          <w:sz w:val="21"/>
        </w:rPr>
        <w:t>复印件，施工负责人的安全生产考核合格证书（B证）复印件、本人身份证正反面复印件。</w:t>
      </w:r>
    </w:p>
    <w:p>
      <w:pPr>
        <w:spacing w:line="236" w:lineRule="exact"/>
        <w:ind w:firstLine="826" w:firstLineChars="392"/>
        <w:rPr>
          <w:sz w:val="21"/>
        </w:rPr>
      </w:pPr>
      <w:r>
        <w:rPr>
          <w:rFonts w:hint="eastAsia"/>
          <w:b/>
          <w:sz w:val="21"/>
        </w:rPr>
        <w:t>4)</w:t>
      </w:r>
      <w:r>
        <w:rPr>
          <w:b/>
          <w:sz w:val="21"/>
        </w:rPr>
        <w:t>拟委派本工程项目经理、施工</w:t>
      </w:r>
      <w:r>
        <w:rPr>
          <w:rFonts w:hint="eastAsia"/>
          <w:b/>
          <w:sz w:val="21"/>
        </w:rPr>
        <w:t>负责人</w:t>
      </w:r>
      <w:r>
        <w:rPr>
          <w:b/>
          <w:sz w:val="21"/>
        </w:rPr>
        <w:t>可为同一人。</w:t>
      </w:r>
    </w:p>
    <w:p>
      <w:pPr>
        <w:pStyle w:val="10"/>
        <w:spacing w:before="2"/>
        <w:rPr>
          <w:sz w:val="16"/>
        </w:rPr>
      </w:pPr>
    </w:p>
    <w:p>
      <w:pPr>
        <w:ind w:left="871"/>
        <w:rPr>
          <w:sz w:val="21"/>
        </w:rPr>
      </w:pPr>
      <w:r>
        <w:rPr>
          <w:sz w:val="21"/>
        </w:rPr>
        <w:t>注：如联合体投标的，上述证书由联合体牵头人盖单位公章。</w:t>
      </w:r>
    </w:p>
    <w:p>
      <w:pPr>
        <w:ind w:left="871"/>
        <w:rPr>
          <w:sz w:val="21"/>
        </w:rPr>
      </w:pPr>
    </w:p>
    <w:p>
      <w:pPr>
        <w:ind w:left="871"/>
        <w:rPr>
          <w:sz w:val="21"/>
        </w:rPr>
      </w:pPr>
    </w:p>
    <w:p>
      <w:pPr>
        <w:sectPr>
          <w:pgSz w:w="11910" w:h="16840"/>
          <w:pgMar w:top="1500" w:right="580" w:bottom="1180" w:left="920" w:header="0" w:footer="995" w:gutter="0"/>
          <w:cols w:space="720" w:num="1"/>
        </w:sectPr>
      </w:pPr>
    </w:p>
    <w:p>
      <w:pPr>
        <w:pStyle w:val="10"/>
        <w:spacing w:before="4"/>
        <w:rPr>
          <w:sz w:val="26"/>
        </w:rPr>
      </w:pPr>
    </w:p>
    <w:p>
      <w:pPr>
        <w:pStyle w:val="10"/>
        <w:spacing w:before="72"/>
        <w:ind w:left="212"/>
        <w:rPr>
          <w:sz w:val="30"/>
          <w:szCs w:val="30"/>
        </w:rPr>
      </w:pPr>
      <w:r>
        <w:rPr>
          <w:rFonts w:hint="eastAsia"/>
          <w:sz w:val="30"/>
          <w:szCs w:val="30"/>
        </w:rPr>
        <w:t>附件：承诺书</w:t>
      </w:r>
    </w:p>
    <w:p>
      <w:pPr>
        <w:pStyle w:val="10"/>
        <w:rPr>
          <w:rFonts w:ascii="黑体"/>
          <w:sz w:val="20"/>
        </w:rPr>
      </w:pPr>
    </w:p>
    <w:p>
      <w:pPr>
        <w:pStyle w:val="10"/>
        <w:spacing w:before="9"/>
        <w:rPr>
          <w:rFonts w:ascii="黑体"/>
          <w:sz w:val="17"/>
        </w:rPr>
      </w:pPr>
    </w:p>
    <w:p>
      <w:pPr>
        <w:jc w:val="center"/>
        <w:rPr>
          <w:sz w:val="30"/>
          <w:szCs w:val="30"/>
        </w:rPr>
      </w:pPr>
      <w:r>
        <w:rPr>
          <w:sz w:val="30"/>
          <w:szCs w:val="30"/>
        </w:rPr>
        <w:t>承诺书</w:t>
      </w:r>
    </w:p>
    <w:p>
      <w:pPr>
        <w:pStyle w:val="10"/>
        <w:rPr>
          <w:rFonts w:ascii="黑体"/>
          <w:sz w:val="20"/>
        </w:rPr>
      </w:pPr>
    </w:p>
    <w:p>
      <w:pPr>
        <w:pStyle w:val="10"/>
        <w:spacing w:before="3"/>
        <w:rPr>
          <w:rFonts w:ascii="黑体"/>
          <w:sz w:val="20"/>
        </w:rPr>
      </w:pPr>
    </w:p>
    <w:p>
      <w:pPr>
        <w:pStyle w:val="10"/>
        <w:spacing w:before="72"/>
        <w:ind w:left="212"/>
      </w:pPr>
      <w:r>
        <w:rPr>
          <w:spacing w:val="-3"/>
          <w:position w:val="-6"/>
        </w:rPr>
        <w:t>————————</w:t>
      </w:r>
      <w:r>
        <w:rPr>
          <w:spacing w:val="-3"/>
        </w:rPr>
        <w:t>（招标人名称</w:t>
      </w:r>
      <w:r>
        <w:rPr>
          <w:spacing w:val="-106"/>
        </w:rPr>
        <w:t>）</w:t>
      </w:r>
      <w:r>
        <w:t>：</w:t>
      </w:r>
    </w:p>
    <w:p>
      <w:pPr>
        <w:pStyle w:val="10"/>
        <w:rPr>
          <w:sz w:val="28"/>
        </w:rPr>
      </w:pPr>
    </w:p>
    <w:p>
      <w:pPr>
        <w:pStyle w:val="10"/>
        <w:tabs>
          <w:tab w:val="left" w:pos="4879"/>
        </w:tabs>
        <w:spacing w:before="195"/>
        <w:ind w:left="633"/>
      </w:pPr>
      <w:r>
        <w:t>我</w:t>
      </w:r>
      <w:r>
        <w:rPr>
          <w:spacing w:val="2"/>
        </w:rPr>
        <w:t>方</w:t>
      </w:r>
      <w:r>
        <w:t>在此声明，</w:t>
      </w:r>
      <w:r>
        <w:rPr>
          <w:spacing w:val="2"/>
        </w:rPr>
        <w:t>我</w:t>
      </w:r>
      <w:r>
        <w:t>方拟派</w:t>
      </w:r>
      <w:r>
        <w:rPr>
          <w:spacing w:val="3"/>
        </w:rPr>
        <w:t>往</w:t>
      </w:r>
      <w:r>
        <w:rPr>
          <w:rFonts w:ascii="Times New Roman" w:hAnsi="Times New Roman" w:eastAsia="Times New Roman"/>
          <w:u w:val="single"/>
        </w:rPr>
        <w:t xml:space="preserve"> </w:t>
      </w:r>
      <w:r>
        <w:rPr>
          <w:rFonts w:ascii="Times New Roman" w:hAnsi="Times New Roman" w:eastAsia="Times New Roman"/>
          <w:u w:val="single"/>
        </w:rPr>
        <w:tab/>
      </w:r>
      <w:r>
        <w:t>（项目</w:t>
      </w:r>
      <w:r>
        <w:rPr>
          <w:spacing w:val="2"/>
        </w:rPr>
        <w:t>名</w:t>
      </w:r>
      <w:r>
        <w:t>称</w:t>
      </w:r>
      <w:r>
        <w:rPr>
          <w:spacing w:val="-106"/>
        </w:rPr>
        <w:t>）</w:t>
      </w:r>
      <w:r>
        <w:t>（以</w:t>
      </w:r>
      <w:r>
        <w:rPr>
          <w:spacing w:val="2"/>
        </w:rPr>
        <w:t>下</w:t>
      </w:r>
      <w:r>
        <w:t>简称“本工</w:t>
      </w:r>
      <w:r>
        <w:rPr>
          <w:spacing w:val="2"/>
        </w:rPr>
        <w:t>程</w:t>
      </w:r>
      <w:r>
        <w:rPr>
          <w:spacing w:val="-106"/>
        </w:rPr>
        <w:t>”</w:t>
      </w:r>
      <w:r>
        <w:t>）</w:t>
      </w:r>
      <w:r>
        <w:rPr>
          <w:spacing w:val="1"/>
        </w:rPr>
        <w:t>的</w:t>
      </w:r>
      <w:r>
        <w:t>项目</w:t>
      </w:r>
      <w:r>
        <w:rPr>
          <w:spacing w:val="2"/>
        </w:rPr>
        <w:t>经</w:t>
      </w:r>
      <w:r>
        <w:t>理(</w:t>
      </w:r>
      <w:r>
        <w:rPr>
          <w:spacing w:val="2"/>
        </w:rPr>
        <w:t>或</w:t>
      </w:r>
      <w:r>
        <w:t>施</w:t>
      </w:r>
    </w:p>
    <w:p>
      <w:pPr>
        <w:pStyle w:val="10"/>
        <w:spacing w:before="5"/>
        <w:rPr>
          <w:sz w:val="9"/>
        </w:rPr>
      </w:pPr>
    </w:p>
    <w:p>
      <w:pPr>
        <w:pStyle w:val="10"/>
        <w:tabs>
          <w:tab w:val="left" w:pos="2020"/>
        </w:tabs>
        <w:spacing w:before="79"/>
        <w:ind w:left="212"/>
      </w:pPr>
      <w:r>
        <w:t>工经理)</w:t>
      </w:r>
      <w:r>
        <w:rPr>
          <w:u w:val="single"/>
        </w:rPr>
        <w:t xml:space="preserve"> </w:t>
      </w:r>
      <w:r>
        <w:rPr>
          <w:u w:val="single"/>
        </w:rPr>
        <w:tab/>
      </w:r>
      <w:r>
        <w:t>（项目经理姓名或施工负责人姓名）现阶段没有担任任何在建建设工程项目的施工负责</w:t>
      </w:r>
    </w:p>
    <w:p>
      <w:pPr>
        <w:pStyle w:val="10"/>
        <w:spacing w:before="12"/>
        <w:rPr>
          <w:sz w:val="9"/>
        </w:rPr>
      </w:pPr>
    </w:p>
    <w:p>
      <w:pPr>
        <w:pStyle w:val="10"/>
        <w:spacing w:before="72"/>
        <w:ind w:left="212"/>
      </w:pPr>
      <w:r>
        <w:t>人。</w:t>
      </w:r>
    </w:p>
    <w:p>
      <w:pPr>
        <w:pStyle w:val="10"/>
        <w:spacing w:before="6"/>
        <w:rPr>
          <w:sz w:val="15"/>
        </w:rPr>
      </w:pPr>
    </w:p>
    <w:p>
      <w:pPr>
        <w:pStyle w:val="10"/>
        <w:spacing w:before="1"/>
        <w:ind w:left="633"/>
      </w:pPr>
      <w:r>
        <w:t>我方保证上述信息的真实和准确，并愿意承担因我方就此弄虚作假所引起的一切法律后果。</w:t>
      </w:r>
    </w:p>
    <w:p>
      <w:pPr>
        <w:pStyle w:val="10"/>
        <w:rPr>
          <w:sz w:val="20"/>
        </w:rPr>
      </w:pPr>
    </w:p>
    <w:p>
      <w:pPr>
        <w:pStyle w:val="10"/>
        <w:rPr>
          <w:sz w:val="20"/>
        </w:rPr>
      </w:pPr>
    </w:p>
    <w:p>
      <w:pPr>
        <w:pStyle w:val="10"/>
        <w:rPr>
          <w:sz w:val="20"/>
        </w:rPr>
      </w:pPr>
    </w:p>
    <w:p>
      <w:pPr>
        <w:pStyle w:val="10"/>
        <w:spacing w:before="7"/>
        <w:rPr>
          <w:sz w:val="28"/>
        </w:rPr>
      </w:pPr>
    </w:p>
    <w:p>
      <w:pPr>
        <w:pStyle w:val="10"/>
        <w:ind w:left="633"/>
      </w:pPr>
      <w:r>
        <w:t>特此承诺</w:t>
      </w: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9"/>
        <w:rPr>
          <w:sz w:val="14"/>
        </w:rPr>
      </w:pPr>
    </w:p>
    <w:p>
      <w:pPr>
        <w:pStyle w:val="10"/>
        <w:tabs>
          <w:tab w:val="left" w:pos="8593"/>
        </w:tabs>
        <w:ind w:left="4706"/>
      </w:pPr>
      <w:r>
        <w:t>投标</w:t>
      </w:r>
      <w:r>
        <w:rPr>
          <w:spacing w:val="-3"/>
        </w:rPr>
        <w:t>人</w:t>
      </w:r>
      <w:r>
        <w:t>：</w:t>
      </w:r>
      <w:r>
        <w:rPr>
          <w:u w:val="single"/>
        </w:rPr>
        <w:t xml:space="preserve"> </w:t>
      </w:r>
      <w:r>
        <w:rPr>
          <w:u w:val="single"/>
        </w:rPr>
        <w:tab/>
      </w:r>
      <w:r>
        <w:t>（</w:t>
      </w:r>
      <w:r>
        <w:rPr>
          <w:spacing w:val="-3"/>
        </w:rPr>
        <w:t>盖</w:t>
      </w:r>
      <w:r>
        <w:t>单</w:t>
      </w:r>
      <w:r>
        <w:rPr>
          <w:spacing w:val="-3"/>
        </w:rPr>
        <w:t>位</w:t>
      </w:r>
      <w:r>
        <w:t>章）</w:t>
      </w:r>
    </w:p>
    <w:p>
      <w:pPr>
        <w:pStyle w:val="10"/>
        <w:spacing w:before="5"/>
        <w:rPr>
          <w:sz w:val="9"/>
        </w:rPr>
      </w:pPr>
    </w:p>
    <w:p>
      <w:pPr>
        <w:pStyle w:val="10"/>
        <w:tabs>
          <w:tab w:val="left" w:pos="8383"/>
        </w:tabs>
        <w:spacing w:before="79"/>
        <w:ind w:left="4706"/>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 xml:space="preserve"> </w:t>
      </w:r>
      <w:r>
        <w:rPr>
          <w:u w:val="single"/>
        </w:rPr>
        <w:tab/>
      </w:r>
      <w:r>
        <w:t>（</w:t>
      </w:r>
      <w:r>
        <w:rPr>
          <w:spacing w:val="-3"/>
        </w:rPr>
        <w:t>签</w:t>
      </w:r>
      <w:r>
        <w:t>字</w:t>
      </w:r>
      <w:r>
        <w:rPr>
          <w:spacing w:val="-3"/>
        </w:rPr>
        <w:t>或盖</w:t>
      </w:r>
      <w:r>
        <w:t>章）</w:t>
      </w:r>
    </w:p>
    <w:p>
      <w:pPr>
        <w:pStyle w:val="10"/>
        <w:rPr>
          <w:sz w:val="20"/>
        </w:rPr>
      </w:pPr>
    </w:p>
    <w:p>
      <w:pPr>
        <w:pStyle w:val="10"/>
        <w:spacing w:before="12"/>
        <w:rPr>
          <w:sz w:val="25"/>
        </w:rPr>
      </w:pPr>
    </w:p>
    <w:p>
      <w:pPr>
        <w:pStyle w:val="10"/>
        <w:tabs>
          <w:tab w:val="left" w:pos="7543"/>
          <w:tab w:val="left" w:pos="8595"/>
          <w:tab w:val="left" w:pos="9644"/>
        </w:tabs>
        <w:spacing w:before="78"/>
        <w:ind w:left="6492"/>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pStyle w:val="10"/>
        <w:rPr>
          <w:sz w:val="20"/>
        </w:rPr>
      </w:pPr>
    </w:p>
    <w:p>
      <w:pPr>
        <w:pStyle w:val="10"/>
        <w:rPr>
          <w:sz w:val="20"/>
        </w:rPr>
      </w:pPr>
    </w:p>
    <w:p>
      <w:pPr>
        <w:pStyle w:val="10"/>
        <w:spacing w:before="8"/>
        <w:rPr>
          <w:sz w:val="16"/>
        </w:rPr>
      </w:pPr>
    </w:p>
    <w:p>
      <w:pPr>
        <w:pStyle w:val="10"/>
        <w:ind w:left="633"/>
      </w:pPr>
      <w:r>
        <w:t>注：联合体投标的由施工方提供。</w:t>
      </w:r>
    </w:p>
    <w:p>
      <w:pPr>
        <w:ind w:left="871"/>
        <w:rPr>
          <w:sz w:val="21"/>
        </w:rPr>
      </w:pPr>
    </w:p>
    <w:p>
      <w:pPr>
        <w:widowControl/>
        <w:autoSpaceDE/>
        <w:autoSpaceDN/>
        <w:rPr>
          <w:rFonts w:ascii="黑体" w:hAnsi="黑体" w:eastAsia="黑体" w:cs="黑体"/>
          <w:b/>
          <w:bCs/>
          <w:sz w:val="32"/>
          <w:szCs w:val="32"/>
        </w:rPr>
      </w:pPr>
    </w:p>
    <w:p/>
    <w:p/>
    <w:p>
      <w:pPr>
        <w:widowControl/>
        <w:autoSpaceDE/>
        <w:autoSpaceDN/>
        <w:rPr>
          <w:rFonts w:ascii="黑体" w:hAnsi="黑体" w:eastAsia="黑体" w:cs="黑体"/>
          <w:b/>
          <w:bCs/>
          <w:sz w:val="32"/>
          <w:szCs w:val="32"/>
        </w:rPr>
      </w:pPr>
      <w:r>
        <w:br w:type="page"/>
      </w:r>
    </w:p>
    <w:p>
      <w:pPr>
        <w:spacing w:before="39"/>
        <w:ind w:left="552"/>
        <w:rPr>
          <w:b/>
          <w:sz w:val="24"/>
        </w:rPr>
      </w:pPr>
      <w:r>
        <w:rPr>
          <w:b/>
          <w:sz w:val="24"/>
        </w:rPr>
        <w:t>（</w:t>
      </w:r>
      <w:r>
        <w:rPr>
          <w:rFonts w:hint="eastAsia"/>
          <w:b/>
          <w:sz w:val="24"/>
        </w:rPr>
        <w:t>四</w:t>
      </w:r>
      <w:r>
        <w:rPr>
          <w:b/>
          <w:sz w:val="24"/>
        </w:rPr>
        <w:t>）投标人基本情况表</w:t>
      </w:r>
    </w:p>
    <w:p>
      <w:pPr>
        <w:spacing w:before="39"/>
        <w:ind w:left="552"/>
        <w:rPr>
          <w:sz w:val="28"/>
        </w:rPr>
      </w:pPr>
    </w:p>
    <w:tbl>
      <w:tblPr>
        <w:tblStyle w:val="24"/>
        <w:tblW w:w="8568" w:type="dxa"/>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8"/>
        <w:gridCol w:w="898"/>
        <w:gridCol w:w="951"/>
        <w:gridCol w:w="840"/>
        <w:gridCol w:w="420"/>
        <w:gridCol w:w="311"/>
        <w:gridCol w:w="1078"/>
        <w:gridCol w:w="490"/>
        <w:gridCol w:w="86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728" w:type="dxa"/>
          </w:tcPr>
          <w:p>
            <w:pPr>
              <w:pStyle w:val="36"/>
              <w:spacing w:before="9"/>
              <w:rPr>
                <w:sz w:val="15"/>
              </w:rPr>
            </w:pPr>
          </w:p>
          <w:p>
            <w:pPr>
              <w:pStyle w:val="36"/>
              <w:ind w:left="339"/>
              <w:rPr>
                <w:sz w:val="21"/>
              </w:rPr>
            </w:pPr>
            <w:r>
              <w:rPr>
                <w:sz w:val="21"/>
              </w:rPr>
              <w:t>投标人名称</w:t>
            </w:r>
          </w:p>
        </w:tc>
        <w:tc>
          <w:tcPr>
            <w:tcW w:w="6840" w:type="dxa"/>
            <w:gridSpan w:val="9"/>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1" w:hRule="atLeast"/>
        </w:trPr>
        <w:tc>
          <w:tcPr>
            <w:tcW w:w="1728" w:type="dxa"/>
          </w:tcPr>
          <w:p>
            <w:pPr>
              <w:pStyle w:val="36"/>
              <w:spacing w:before="10"/>
              <w:rPr>
                <w:sz w:val="17"/>
              </w:rPr>
            </w:pPr>
          </w:p>
          <w:p>
            <w:pPr>
              <w:pStyle w:val="36"/>
              <w:ind w:left="442"/>
              <w:rPr>
                <w:sz w:val="21"/>
              </w:rPr>
            </w:pPr>
            <w:r>
              <w:rPr>
                <w:sz w:val="21"/>
              </w:rPr>
              <w:t>注册地址</w:t>
            </w:r>
          </w:p>
        </w:tc>
        <w:tc>
          <w:tcPr>
            <w:tcW w:w="3420" w:type="dxa"/>
            <w:gridSpan w:val="5"/>
          </w:tcPr>
          <w:p>
            <w:pPr>
              <w:pStyle w:val="36"/>
              <w:rPr>
                <w:rFonts w:ascii="Times New Roman"/>
                <w:sz w:val="20"/>
              </w:rPr>
            </w:pPr>
          </w:p>
        </w:tc>
        <w:tc>
          <w:tcPr>
            <w:tcW w:w="1078" w:type="dxa"/>
          </w:tcPr>
          <w:p>
            <w:pPr>
              <w:pStyle w:val="36"/>
              <w:spacing w:before="10"/>
              <w:rPr>
                <w:sz w:val="17"/>
              </w:rPr>
            </w:pPr>
          </w:p>
          <w:p>
            <w:pPr>
              <w:pStyle w:val="36"/>
              <w:ind w:left="97" w:right="90"/>
              <w:jc w:val="center"/>
              <w:rPr>
                <w:sz w:val="21"/>
              </w:rPr>
            </w:pPr>
            <w:r>
              <w:rPr>
                <w:sz w:val="21"/>
              </w:rPr>
              <w:t>邮政编码</w:t>
            </w:r>
          </w:p>
        </w:tc>
        <w:tc>
          <w:tcPr>
            <w:tcW w:w="2342" w:type="dxa"/>
            <w:gridSpan w:val="3"/>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1728" w:type="dxa"/>
            <w:vMerge w:val="restart"/>
          </w:tcPr>
          <w:p>
            <w:pPr>
              <w:pStyle w:val="36"/>
              <w:rPr>
                <w:sz w:val="20"/>
              </w:rPr>
            </w:pPr>
          </w:p>
          <w:p>
            <w:pPr>
              <w:pStyle w:val="36"/>
              <w:spacing w:before="10"/>
              <w:rPr>
                <w:sz w:val="21"/>
              </w:rPr>
            </w:pPr>
          </w:p>
          <w:p>
            <w:pPr>
              <w:pStyle w:val="36"/>
              <w:ind w:left="442"/>
              <w:rPr>
                <w:sz w:val="21"/>
              </w:rPr>
            </w:pPr>
            <w:r>
              <w:rPr>
                <w:sz w:val="21"/>
              </w:rPr>
              <w:t>联系方式</w:t>
            </w:r>
          </w:p>
        </w:tc>
        <w:tc>
          <w:tcPr>
            <w:tcW w:w="898" w:type="dxa"/>
          </w:tcPr>
          <w:p>
            <w:pPr>
              <w:pStyle w:val="36"/>
              <w:spacing w:before="5"/>
              <w:rPr>
                <w:sz w:val="17"/>
              </w:rPr>
            </w:pPr>
          </w:p>
          <w:p>
            <w:pPr>
              <w:pStyle w:val="36"/>
              <w:spacing w:before="1"/>
              <w:ind w:left="7"/>
              <w:jc w:val="center"/>
              <w:rPr>
                <w:sz w:val="21"/>
              </w:rPr>
            </w:pPr>
            <w:r>
              <w:rPr>
                <w:sz w:val="21"/>
              </w:rPr>
              <w:t>联系人</w:t>
            </w:r>
          </w:p>
        </w:tc>
        <w:tc>
          <w:tcPr>
            <w:tcW w:w="2522" w:type="dxa"/>
            <w:gridSpan w:val="4"/>
          </w:tcPr>
          <w:p>
            <w:pPr>
              <w:pStyle w:val="36"/>
              <w:rPr>
                <w:rFonts w:ascii="Times New Roman"/>
                <w:sz w:val="20"/>
              </w:rPr>
            </w:pPr>
          </w:p>
        </w:tc>
        <w:tc>
          <w:tcPr>
            <w:tcW w:w="1078" w:type="dxa"/>
          </w:tcPr>
          <w:p>
            <w:pPr>
              <w:pStyle w:val="36"/>
              <w:spacing w:before="5"/>
              <w:rPr>
                <w:sz w:val="17"/>
              </w:rPr>
            </w:pPr>
          </w:p>
          <w:p>
            <w:pPr>
              <w:pStyle w:val="36"/>
              <w:spacing w:before="1"/>
              <w:ind w:left="97" w:right="90"/>
              <w:jc w:val="center"/>
              <w:rPr>
                <w:sz w:val="21"/>
              </w:rPr>
            </w:pPr>
            <w:r>
              <w:rPr>
                <w:sz w:val="21"/>
              </w:rPr>
              <w:t>电 话</w:t>
            </w:r>
          </w:p>
        </w:tc>
        <w:tc>
          <w:tcPr>
            <w:tcW w:w="2342" w:type="dxa"/>
            <w:gridSpan w:val="3"/>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1728" w:type="dxa"/>
            <w:vMerge w:val="continue"/>
            <w:tcBorders>
              <w:top w:val="nil"/>
            </w:tcBorders>
          </w:tcPr>
          <w:p>
            <w:pPr>
              <w:rPr>
                <w:sz w:val="2"/>
                <w:szCs w:val="2"/>
              </w:rPr>
            </w:pPr>
          </w:p>
        </w:tc>
        <w:tc>
          <w:tcPr>
            <w:tcW w:w="898" w:type="dxa"/>
          </w:tcPr>
          <w:p>
            <w:pPr>
              <w:pStyle w:val="36"/>
              <w:spacing w:before="10"/>
              <w:rPr>
                <w:sz w:val="17"/>
              </w:rPr>
            </w:pPr>
          </w:p>
          <w:p>
            <w:pPr>
              <w:pStyle w:val="36"/>
              <w:tabs>
                <w:tab w:val="left" w:pos="427"/>
              </w:tabs>
              <w:ind w:left="7"/>
              <w:jc w:val="center"/>
              <w:rPr>
                <w:sz w:val="21"/>
              </w:rPr>
            </w:pPr>
            <w:r>
              <w:rPr>
                <w:sz w:val="21"/>
              </w:rPr>
              <w:t>传</w:t>
            </w:r>
            <w:r>
              <w:rPr>
                <w:sz w:val="21"/>
              </w:rPr>
              <w:tab/>
            </w:r>
            <w:r>
              <w:rPr>
                <w:sz w:val="21"/>
              </w:rPr>
              <w:t>真</w:t>
            </w:r>
          </w:p>
        </w:tc>
        <w:tc>
          <w:tcPr>
            <w:tcW w:w="2522" w:type="dxa"/>
            <w:gridSpan w:val="4"/>
          </w:tcPr>
          <w:p>
            <w:pPr>
              <w:pStyle w:val="36"/>
              <w:rPr>
                <w:rFonts w:ascii="Times New Roman"/>
                <w:sz w:val="20"/>
              </w:rPr>
            </w:pPr>
          </w:p>
        </w:tc>
        <w:tc>
          <w:tcPr>
            <w:tcW w:w="1078" w:type="dxa"/>
          </w:tcPr>
          <w:p>
            <w:pPr>
              <w:pStyle w:val="36"/>
              <w:spacing w:before="10"/>
              <w:rPr>
                <w:sz w:val="17"/>
              </w:rPr>
            </w:pPr>
          </w:p>
          <w:p>
            <w:pPr>
              <w:pStyle w:val="36"/>
              <w:ind w:left="97" w:right="90"/>
              <w:jc w:val="center"/>
              <w:rPr>
                <w:sz w:val="21"/>
              </w:rPr>
            </w:pPr>
            <w:r>
              <w:rPr>
                <w:sz w:val="21"/>
              </w:rPr>
              <w:t>网 址</w:t>
            </w:r>
          </w:p>
        </w:tc>
        <w:tc>
          <w:tcPr>
            <w:tcW w:w="2342" w:type="dxa"/>
            <w:gridSpan w:val="3"/>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728" w:type="dxa"/>
          </w:tcPr>
          <w:p>
            <w:pPr>
              <w:pStyle w:val="36"/>
              <w:spacing w:before="11"/>
              <w:rPr>
                <w:sz w:val="17"/>
              </w:rPr>
            </w:pPr>
          </w:p>
          <w:p>
            <w:pPr>
              <w:pStyle w:val="36"/>
              <w:ind w:left="442"/>
              <w:rPr>
                <w:sz w:val="21"/>
              </w:rPr>
            </w:pPr>
            <w:r>
              <w:rPr>
                <w:sz w:val="21"/>
              </w:rPr>
              <w:t>组织结构</w:t>
            </w:r>
          </w:p>
        </w:tc>
        <w:tc>
          <w:tcPr>
            <w:tcW w:w="6840" w:type="dxa"/>
            <w:gridSpan w:val="9"/>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 w:hRule="atLeast"/>
        </w:trPr>
        <w:tc>
          <w:tcPr>
            <w:tcW w:w="1728" w:type="dxa"/>
          </w:tcPr>
          <w:p>
            <w:pPr>
              <w:pStyle w:val="36"/>
              <w:spacing w:before="8"/>
              <w:rPr>
                <w:sz w:val="17"/>
              </w:rPr>
            </w:pPr>
          </w:p>
          <w:p>
            <w:pPr>
              <w:pStyle w:val="36"/>
              <w:ind w:left="339"/>
              <w:rPr>
                <w:sz w:val="21"/>
              </w:rPr>
            </w:pPr>
            <w:r>
              <w:rPr>
                <w:sz w:val="21"/>
              </w:rPr>
              <w:t>法定代表人</w:t>
            </w:r>
          </w:p>
        </w:tc>
        <w:tc>
          <w:tcPr>
            <w:tcW w:w="898" w:type="dxa"/>
          </w:tcPr>
          <w:p>
            <w:pPr>
              <w:pStyle w:val="36"/>
              <w:spacing w:before="8"/>
              <w:rPr>
                <w:sz w:val="17"/>
              </w:rPr>
            </w:pPr>
          </w:p>
          <w:p>
            <w:pPr>
              <w:pStyle w:val="36"/>
              <w:ind w:left="7"/>
              <w:jc w:val="center"/>
              <w:rPr>
                <w:sz w:val="21"/>
              </w:rPr>
            </w:pPr>
            <w:r>
              <w:rPr>
                <w:sz w:val="21"/>
              </w:rPr>
              <w:t>姓名</w:t>
            </w:r>
          </w:p>
        </w:tc>
        <w:tc>
          <w:tcPr>
            <w:tcW w:w="951" w:type="dxa"/>
          </w:tcPr>
          <w:p>
            <w:pPr>
              <w:pStyle w:val="36"/>
              <w:rPr>
                <w:rFonts w:ascii="Times New Roman"/>
                <w:sz w:val="20"/>
              </w:rPr>
            </w:pPr>
          </w:p>
        </w:tc>
        <w:tc>
          <w:tcPr>
            <w:tcW w:w="1260" w:type="dxa"/>
            <w:gridSpan w:val="2"/>
          </w:tcPr>
          <w:p>
            <w:pPr>
              <w:pStyle w:val="36"/>
              <w:spacing w:before="8"/>
              <w:rPr>
                <w:sz w:val="17"/>
              </w:rPr>
            </w:pPr>
          </w:p>
          <w:p>
            <w:pPr>
              <w:pStyle w:val="36"/>
              <w:ind w:left="208"/>
              <w:rPr>
                <w:sz w:val="21"/>
              </w:rPr>
            </w:pPr>
            <w:r>
              <w:rPr>
                <w:sz w:val="21"/>
              </w:rPr>
              <w:t>技术职称</w:t>
            </w:r>
          </w:p>
        </w:tc>
        <w:tc>
          <w:tcPr>
            <w:tcW w:w="1879" w:type="dxa"/>
            <w:gridSpan w:val="3"/>
          </w:tcPr>
          <w:p>
            <w:pPr>
              <w:pStyle w:val="36"/>
              <w:rPr>
                <w:rFonts w:ascii="Times New Roman"/>
                <w:sz w:val="20"/>
              </w:rPr>
            </w:pPr>
          </w:p>
        </w:tc>
        <w:tc>
          <w:tcPr>
            <w:tcW w:w="860" w:type="dxa"/>
          </w:tcPr>
          <w:p>
            <w:pPr>
              <w:pStyle w:val="36"/>
              <w:spacing w:before="8"/>
              <w:rPr>
                <w:sz w:val="17"/>
              </w:rPr>
            </w:pPr>
          </w:p>
          <w:p>
            <w:pPr>
              <w:pStyle w:val="36"/>
              <w:ind w:left="197" w:right="192"/>
              <w:jc w:val="center"/>
              <w:rPr>
                <w:sz w:val="21"/>
              </w:rPr>
            </w:pPr>
            <w:r>
              <w:rPr>
                <w:sz w:val="21"/>
              </w:rPr>
              <w:t>电话</w:t>
            </w:r>
          </w:p>
        </w:tc>
        <w:tc>
          <w:tcPr>
            <w:tcW w:w="99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1" w:hRule="atLeast"/>
        </w:trPr>
        <w:tc>
          <w:tcPr>
            <w:tcW w:w="1728" w:type="dxa"/>
          </w:tcPr>
          <w:p>
            <w:pPr>
              <w:pStyle w:val="36"/>
              <w:spacing w:before="5"/>
              <w:rPr>
                <w:sz w:val="17"/>
              </w:rPr>
            </w:pPr>
          </w:p>
          <w:p>
            <w:pPr>
              <w:pStyle w:val="36"/>
              <w:ind w:left="339"/>
              <w:rPr>
                <w:sz w:val="21"/>
              </w:rPr>
            </w:pPr>
            <w:r>
              <w:rPr>
                <w:sz w:val="21"/>
              </w:rPr>
              <w:t>技术负责人</w:t>
            </w:r>
          </w:p>
        </w:tc>
        <w:tc>
          <w:tcPr>
            <w:tcW w:w="898" w:type="dxa"/>
          </w:tcPr>
          <w:p>
            <w:pPr>
              <w:pStyle w:val="36"/>
              <w:spacing w:before="5"/>
              <w:rPr>
                <w:sz w:val="17"/>
              </w:rPr>
            </w:pPr>
          </w:p>
          <w:p>
            <w:pPr>
              <w:pStyle w:val="36"/>
              <w:ind w:left="7"/>
              <w:jc w:val="center"/>
              <w:rPr>
                <w:sz w:val="21"/>
              </w:rPr>
            </w:pPr>
            <w:r>
              <w:rPr>
                <w:sz w:val="21"/>
              </w:rPr>
              <w:t>姓名</w:t>
            </w:r>
          </w:p>
        </w:tc>
        <w:tc>
          <w:tcPr>
            <w:tcW w:w="951" w:type="dxa"/>
          </w:tcPr>
          <w:p>
            <w:pPr>
              <w:pStyle w:val="36"/>
              <w:rPr>
                <w:rFonts w:ascii="Times New Roman"/>
                <w:sz w:val="20"/>
              </w:rPr>
            </w:pPr>
          </w:p>
        </w:tc>
        <w:tc>
          <w:tcPr>
            <w:tcW w:w="1260" w:type="dxa"/>
            <w:gridSpan w:val="2"/>
          </w:tcPr>
          <w:p>
            <w:pPr>
              <w:pStyle w:val="36"/>
              <w:spacing w:before="5"/>
              <w:rPr>
                <w:sz w:val="17"/>
              </w:rPr>
            </w:pPr>
          </w:p>
          <w:p>
            <w:pPr>
              <w:pStyle w:val="36"/>
              <w:ind w:left="208"/>
              <w:rPr>
                <w:sz w:val="21"/>
              </w:rPr>
            </w:pPr>
            <w:r>
              <w:rPr>
                <w:sz w:val="21"/>
              </w:rPr>
              <w:t>技术职称</w:t>
            </w:r>
          </w:p>
        </w:tc>
        <w:tc>
          <w:tcPr>
            <w:tcW w:w="1879" w:type="dxa"/>
            <w:gridSpan w:val="3"/>
          </w:tcPr>
          <w:p>
            <w:pPr>
              <w:pStyle w:val="36"/>
              <w:rPr>
                <w:rFonts w:ascii="Times New Roman"/>
                <w:sz w:val="20"/>
              </w:rPr>
            </w:pPr>
          </w:p>
        </w:tc>
        <w:tc>
          <w:tcPr>
            <w:tcW w:w="860" w:type="dxa"/>
          </w:tcPr>
          <w:p>
            <w:pPr>
              <w:pStyle w:val="36"/>
              <w:spacing w:before="5"/>
              <w:rPr>
                <w:sz w:val="17"/>
              </w:rPr>
            </w:pPr>
          </w:p>
          <w:p>
            <w:pPr>
              <w:pStyle w:val="36"/>
              <w:ind w:left="197" w:right="192"/>
              <w:jc w:val="center"/>
              <w:rPr>
                <w:sz w:val="21"/>
              </w:rPr>
            </w:pPr>
            <w:r>
              <w:rPr>
                <w:sz w:val="21"/>
              </w:rPr>
              <w:t>电话</w:t>
            </w:r>
          </w:p>
        </w:tc>
        <w:tc>
          <w:tcPr>
            <w:tcW w:w="99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728" w:type="dxa"/>
          </w:tcPr>
          <w:p>
            <w:pPr>
              <w:pStyle w:val="36"/>
              <w:spacing w:before="4"/>
              <w:rPr>
                <w:sz w:val="18"/>
              </w:rPr>
            </w:pPr>
          </w:p>
          <w:p>
            <w:pPr>
              <w:pStyle w:val="36"/>
              <w:ind w:left="442"/>
              <w:rPr>
                <w:sz w:val="21"/>
              </w:rPr>
            </w:pPr>
            <w:r>
              <w:rPr>
                <w:sz w:val="21"/>
              </w:rPr>
              <w:t>成立时间</w:t>
            </w:r>
          </w:p>
        </w:tc>
        <w:tc>
          <w:tcPr>
            <w:tcW w:w="1849" w:type="dxa"/>
            <w:gridSpan w:val="2"/>
          </w:tcPr>
          <w:p>
            <w:pPr>
              <w:pStyle w:val="36"/>
              <w:rPr>
                <w:rFonts w:ascii="Times New Roman"/>
                <w:sz w:val="20"/>
              </w:rPr>
            </w:pPr>
          </w:p>
        </w:tc>
        <w:tc>
          <w:tcPr>
            <w:tcW w:w="4991" w:type="dxa"/>
            <w:gridSpan w:val="7"/>
          </w:tcPr>
          <w:p>
            <w:pPr>
              <w:pStyle w:val="36"/>
              <w:spacing w:before="4"/>
              <w:rPr>
                <w:sz w:val="18"/>
              </w:rPr>
            </w:pPr>
          </w:p>
          <w:p>
            <w:pPr>
              <w:pStyle w:val="36"/>
              <w:ind w:left="1896" w:right="1784"/>
              <w:jc w:val="center"/>
              <w:rPr>
                <w:sz w:val="21"/>
              </w:rPr>
            </w:pPr>
            <w:r>
              <w:rPr>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8" w:hRule="atLeast"/>
        </w:trPr>
        <w:tc>
          <w:tcPr>
            <w:tcW w:w="1728" w:type="dxa"/>
          </w:tcPr>
          <w:p>
            <w:pPr>
              <w:pStyle w:val="36"/>
              <w:spacing w:before="7"/>
              <w:rPr>
                <w:sz w:val="19"/>
              </w:rPr>
            </w:pPr>
          </w:p>
          <w:p>
            <w:pPr>
              <w:pStyle w:val="36"/>
              <w:spacing w:before="1"/>
              <w:ind w:left="233"/>
              <w:rPr>
                <w:sz w:val="21"/>
              </w:rPr>
            </w:pPr>
            <w:r>
              <w:rPr>
                <w:sz w:val="21"/>
              </w:rPr>
              <w:t>企业资质等级</w:t>
            </w:r>
          </w:p>
        </w:tc>
        <w:tc>
          <w:tcPr>
            <w:tcW w:w="1849" w:type="dxa"/>
            <w:gridSpan w:val="2"/>
          </w:tcPr>
          <w:p>
            <w:pPr>
              <w:pStyle w:val="36"/>
              <w:rPr>
                <w:rFonts w:ascii="Times New Roman"/>
                <w:sz w:val="20"/>
              </w:rPr>
            </w:pPr>
          </w:p>
        </w:tc>
        <w:tc>
          <w:tcPr>
            <w:tcW w:w="840" w:type="dxa"/>
            <w:vMerge w:val="restart"/>
          </w:tcPr>
          <w:p>
            <w:pPr>
              <w:pStyle w:val="36"/>
              <w:rPr>
                <w:sz w:val="20"/>
              </w:rPr>
            </w:pPr>
          </w:p>
          <w:p>
            <w:pPr>
              <w:pStyle w:val="36"/>
              <w:rPr>
                <w:sz w:val="20"/>
              </w:rPr>
            </w:pPr>
          </w:p>
          <w:p>
            <w:pPr>
              <w:pStyle w:val="36"/>
              <w:rPr>
                <w:sz w:val="20"/>
              </w:rPr>
            </w:pPr>
          </w:p>
          <w:p>
            <w:pPr>
              <w:pStyle w:val="36"/>
              <w:rPr>
                <w:sz w:val="20"/>
              </w:rPr>
            </w:pPr>
          </w:p>
          <w:p>
            <w:pPr>
              <w:pStyle w:val="36"/>
              <w:rPr>
                <w:sz w:val="20"/>
              </w:rPr>
            </w:pPr>
          </w:p>
          <w:p>
            <w:pPr>
              <w:pStyle w:val="36"/>
              <w:spacing w:before="8"/>
              <w:rPr>
                <w:sz w:val="16"/>
              </w:rPr>
            </w:pPr>
          </w:p>
          <w:p>
            <w:pPr>
              <w:pStyle w:val="36"/>
              <w:ind w:left="208"/>
              <w:rPr>
                <w:sz w:val="21"/>
              </w:rPr>
            </w:pPr>
            <w:r>
              <w:rPr>
                <w:sz w:val="21"/>
              </w:rPr>
              <w:t>其中</w:t>
            </w:r>
          </w:p>
        </w:tc>
        <w:tc>
          <w:tcPr>
            <w:tcW w:w="2299" w:type="dxa"/>
            <w:gridSpan w:val="4"/>
          </w:tcPr>
          <w:p>
            <w:pPr>
              <w:pStyle w:val="36"/>
              <w:spacing w:before="7"/>
              <w:rPr>
                <w:sz w:val="19"/>
              </w:rPr>
            </w:pPr>
          </w:p>
          <w:p>
            <w:pPr>
              <w:pStyle w:val="36"/>
              <w:spacing w:before="1"/>
              <w:ind w:left="624"/>
              <w:rPr>
                <w:sz w:val="21"/>
              </w:rPr>
            </w:pPr>
            <w:r>
              <w:rPr>
                <w:sz w:val="21"/>
              </w:rPr>
              <w:t>注册建造师</w:t>
            </w:r>
          </w:p>
        </w:tc>
        <w:tc>
          <w:tcPr>
            <w:tcW w:w="1852" w:type="dxa"/>
            <w:gridSpan w:val="2"/>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1728" w:type="dxa"/>
          </w:tcPr>
          <w:p>
            <w:pPr>
              <w:pStyle w:val="36"/>
              <w:spacing w:before="8"/>
              <w:rPr>
                <w:sz w:val="17"/>
              </w:rPr>
            </w:pPr>
          </w:p>
          <w:p>
            <w:pPr>
              <w:pStyle w:val="36"/>
              <w:ind w:left="339"/>
              <w:rPr>
                <w:sz w:val="21"/>
              </w:rPr>
            </w:pPr>
            <w:r>
              <w:rPr>
                <w:sz w:val="21"/>
              </w:rPr>
              <w:t>营业执照号</w:t>
            </w:r>
          </w:p>
        </w:tc>
        <w:tc>
          <w:tcPr>
            <w:tcW w:w="1849" w:type="dxa"/>
            <w:gridSpan w:val="2"/>
          </w:tcPr>
          <w:p>
            <w:pPr>
              <w:pStyle w:val="36"/>
              <w:rPr>
                <w:rFonts w:ascii="Times New Roman"/>
                <w:sz w:val="20"/>
              </w:rPr>
            </w:pPr>
          </w:p>
        </w:tc>
        <w:tc>
          <w:tcPr>
            <w:tcW w:w="840" w:type="dxa"/>
            <w:vMerge w:val="continue"/>
            <w:tcBorders>
              <w:top w:val="nil"/>
            </w:tcBorders>
          </w:tcPr>
          <w:p>
            <w:pPr>
              <w:rPr>
                <w:sz w:val="2"/>
                <w:szCs w:val="2"/>
              </w:rPr>
            </w:pPr>
          </w:p>
        </w:tc>
        <w:tc>
          <w:tcPr>
            <w:tcW w:w="2299" w:type="dxa"/>
            <w:gridSpan w:val="4"/>
          </w:tcPr>
          <w:p>
            <w:pPr>
              <w:pStyle w:val="36"/>
              <w:spacing w:before="8"/>
              <w:rPr>
                <w:sz w:val="17"/>
              </w:rPr>
            </w:pPr>
          </w:p>
          <w:p>
            <w:pPr>
              <w:pStyle w:val="36"/>
              <w:ind w:left="518"/>
              <w:rPr>
                <w:sz w:val="21"/>
              </w:rPr>
            </w:pPr>
            <w:r>
              <w:rPr>
                <w:sz w:val="21"/>
              </w:rPr>
              <w:t>高级职称人员</w:t>
            </w:r>
          </w:p>
        </w:tc>
        <w:tc>
          <w:tcPr>
            <w:tcW w:w="1852" w:type="dxa"/>
            <w:gridSpan w:val="2"/>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atLeast"/>
        </w:trPr>
        <w:tc>
          <w:tcPr>
            <w:tcW w:w="1728" w:type="dxa"/>
          </w:tcPr>
          <w:p>
            <w:pPr>
              <w:pStyle w:val="36"/>
              <w:spacing w:before="5"/>
              <w:rPr>
                <w:sz w:val="17"/>
              </w:rPr>
            </w:pPr>
          </w:p>
          <w:p>
            <w:pPr>
              <w:pStyle w:val="36"/>
              <w:ind w:left="442"/>
              <w:rPr>
                <w:sz w:val="21"/>
              </w:rPr>
            </w:pPr>
            <w:r>
              <w:rPr>
                <w:sz w:val="21"/>
              </w:rPr>
              <w:t>注册资金</w:t>
            </w:r>
          </w:p>
        </w:tc>
        <w:tc>
          <w:tcPr>
            <w:tcW w:w="1849" w:type="dxa"/>
            <w:gridSpan w:val="2"/>
          </w:tcPr>
          <w:p>
            <w:pPr>
              <w:pStyle w:val="36"/>
              <w:rPr>
                <w:rFonts w:ascii="Times New Roman"/>
                <w:sz w:val="20"/>
              </w:rPr>
            </w:pPr>
          </w:p>
        </w:tc>
        <w:tc>
          <w:tcPr>
            <w:tcW w:w="840" w:type="dxa"/>
            <w:vMerge w:val="continue"/>
            <w:tcBorders>
              <w:top w:val="nil"/>
            </w:tcBorders>
          </w:tcPr>
          <w:p>
            <w:pPr>
              <w:rPr>
                <w:sz w:val="2"/>
                <w:szCs w:val="2"/>
              </w:rPr>
            </w:pPr>
          </w:p>
        </w:tc>
        <w:tc>
          <w:tcPr>
            <w:tcW w:w="2299" w:type="dxa"/>
            <w:gridSpan w:val="4"/>
          </w:tcPr>
          <w:p>
            <w:pPr>
              <w:pStyle w:val="36"/>
              <w:spacing w:before="5"/>
              <w:rPr>
                <w:sz w:val="17"/>
              </w:rPr>
            </w:pPr>
          </w:p>
          <w:p>
            <w:pPr>
              <w:pStyle w:val="36"/>
              <w:ind w:left="518"/>
              <w:rPr>
                <w:sz w:val="21"/>
              </w:rPr>
            </w:pPr>
            <w:r>
              <w:rPr>
                <w:sz w:val="21"/>
              </w:rPr>
              <w:t>中级职称人员</w:t>
            </w:r>
          </w:p>
        </w:tc>
        <w:tc>
          <w:tcPr>
            <w:tcW w:w="1852" w:type="dxa"/>
            <w:gridSpan w:val="2"/>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728" w:type="dxa"/>
          </w:tcPr>
          <w:p>
            <w:pPr>
              <w:pStyle w:val="36"/>
              <w:spacing w:before="5"/>
              <w:rPr>
                <w:sz w:val="18"/>
              </w:rPr>
            </w:pPr>
          </w:p>
          <w:p>
            <w:pPr>
              <w:pStyle w:val="36"/>
              <w:ind w:left="442"/>
              <w:rPr>
                <w:sz w:val="21"/>
              </w:rPr>
            </w:pPr>
            <w:r>
              <w:rPr>
                <w:sz w:val="21"/>
              </w:rPr>
              <w:t>开户银行</w:t>
            </w:r>
          </w:p>
        </w:tc>
        <w:tc>
          <w:tcPr>
            <w:tcW w:w="1849" w:type="dxa"/>
            <w:gridSpan w:val="2"/>
          </w:tcPr>
          <w:p>
            <w:pPr>
              <w:pStyle w:val="36"/>
              <w:rPr>
                <w:rFonts w:ascii="Times New Roman"/>
                <w:sz w:val="20"/>
              </w:rPr>
            </w:pPr>
          </w:p>
        </w:tc>
        <w:tc>
          <w:tcPr>
            <w:tcW w:w="840" w:type="dxa"/>
            <w:vMerge w:val="continue"/>
            <w:tcBorders>
              <w:top w:val="nil"/>
            </w:tcBorders>
          </w:tcPr>
          <w:p>
            <w:pPr>
              <w:rPr>
                <w:sz w:val="2"/>
                <w:szCs w:val="2"/>
              </w:rPr>
            </w:pPr>
          </w:p>
        </w:tc>
        <w:tc>
          <w:tcPr>
            <w:tcW w:w="2299" w:type="dxa"/>
            <w:gridSpan w:val="4"/>
          </w:tcPr>
          <w:p>
            <w:pPr>
              <w:pStyle w:val="36"/>
              <w:spacing w:before="5"/>
              <w:rPr>
                <w:sz w:val="18"/>
              </w:rPr>
            </w:pPr>
          </w:p>
          <w:p>
            <w:pPr>
              <w:pStyle w:val="36"/>
              <w:ind w:left="518"/>
              <w:rPr>
                <w:sz w:val="21"/>
              </w:rPr>
            </w:pPr>
            <w:r>
              <w:rPr>
                <w:sz w:val="21"/>
              </w:rPr>
              <w:t>初级职称人员</w:t>
            </w:r>
          </w:p>
        </w:tc>
        <w:tc>
          <w:tcPr>
            <w:tcW w:w="1852" w:type="dxa"/>
            <w:gridSpan w:val="2"/>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728" w:type="dxa"/>
          </w:tcPr>
          <w:p>
            <w:pPr>
              <w:pStyle w:val="36"/>
              <w:spacing w:before="8"/>
              <w:rPr>
                <w:sz w:val="17"/>
              </w:rPr>
            </w:pPr>
          </w:p>
          <w:p>
            <w:pPr>
              <w:pStyle w:val="36"/>
              <w:ind w:left="632" w:right="625"/>
              <w:jc w:val="center"/>
              <w:rPr>
                <w:sz w:val="21"/>
              </w:rPr>
            </w:pPr>
            <w:r>
              <w:rPr>
                <w:sz w:val="21"/>
              </w:rPr>
              <w:t>账号</w:t>
            </w:r>
          </w:p>
        </w:tc>
        <w:tc>
          <w:tcPr>
            <w:tcW w:w="1849" w:type="dxa"/>
            <w:gridSpan w:val="2"/>
          </w:tcPr>
          <w:p>
            <w:pPr>
              <w:pStyle w:val="36"/>
              <w:rPr>
                <w:rFonts w:ascii="Times New Roman"/>
                <w:sz w:val="20"/>
              </w:rPr>
            </w:pPr>
          </w:p>
        </w:tc>
        <w:tc>
          <w:tcPr>
            <w:tcW w:w="840" w:type="dxa"/>
            <w:vMerge w:val="continue"/>
            <w:tcBorders>
              <w:top w:val="nil"/>
            </w:tcBorders>
          </w:tcPr>
          <w:p>
            <w:pPr>
              <w:rPr>
                <w:sz w:val="2"/>
                <w:szCs w:val="2"/>
              </w:rPr>
            </w:pPr>
          </w:p>
        </w:tc>
        <w:tc>
          <w:tcPr>
            <w:tcW w:w="2299" w:type="dxa"/>
            <w:gridSpan w:val="4"/>
          </w:tcPr>
          <w:p>
            <w:pPr>
              <w:pStyle w:val="36"/>
              <w:spacing w:before="8"/>
              <w:rPr>
                <w:sz w:val="17"/>
              </w:rPr>
            </w:pPr>
          </w:p>
          <w:p>
            <w:pPr>
              <w:pStyle w:val="36"/>
              <w:ind w:left="917" w:right="912"/>
              <w:jc w:val="center"/>
              <w:rPr>
                <w:sz w:val="21"/>
              </w:rPr>
            </w:pPr>
            <w:r>
              <w:rPr>
                <w:sz w:val="21"/>
              </w:rPr>
              <w:t>技工</w:t>
            </w:r>
          </w:p>
        </w:tc>
        <w:tc>
          <w:tcPr>
            <w:tcW w:w="1852" w:type="dxa"/>
            <w:gridSpan w:val="2"/>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2" w:hRule="atLeast"/>
        </w:trPr>
        <w:tc>
          <w:tcPr>
            <w:tcW w:w="1728" w:type="dxa"/>
          </w:tcPr>
          <w:p>
            <w:pPr>
              <w:pStyle w:val="36"/>
              <w:rPr>
                <w:sz w:val="20"/>
              </w:rPr>
            </w:pPr>
          </w:p>
          <w:p>
            <w:pPr>
              <w:pStyle w:val="36"/>
              <w:rPr>
                <w:sz w:val="20"/>
              </w:rPr>
            </w:pPr>
          </w:p>
          <w:p>
            <w:pPr>
              <w:pStyle w:val="36"/>
              <w:rPr>
                <w:sz w:val="14"/>
              </w:rPr>
            </w:pPr>
          </w:p>
          <w:p>
            <w:pPr>
              <w:pStyle w:val="36"/>
              <w:ind w:left="548"/>
              <w:rPr>
                <w:sz w:val="21"/>
              </w:rPr>
            </w:pPr>
            <w:r>
              <w:rPr>
                <w:sz w:val="21"/>
              </w:rPr>
              <w:t>经营范围</w:t>
            </w:r>
          </w:p>
        </w:tc>
        <w:tc>
          <w:tcPr>
            <w:tcW w:w="6840" w:type="dxa"/>
            <w:gridSpan w:val="9"/>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trPr>
        <w:tc>
          <w:tcPr>
            <w:tcW w:w="1728" w:type="dxa"/>
          </w:tcPr>
          <w:p>
            <w:pPr>
              <w:pStyle w:val="36"/>
              <w:spacing w:before="11"/>
              <w:rPr>
                <w:sz w:val="17"/>
              </w:rPr>
            </w:pPr>
          </w:p>
          <w:p>
            <w:pPr>
              <w:pStyle w:val="36"/>
              <w:ind w:left="632" w:right="625"/>
              <w:jc w:val="center"/>
              <w:rPr>
                <w:sz w:val="21"/>
              </w:rPr>
            </w:pPr>
            <w:r>
              <w:rPr>
                <w:sz w:val="21"/>
              </w:rPr>
              <w:t>备注</w:t>
            </w:r>
          </w:p>
        </w:tc>
        <w:tc>
          <w:tcPr>
            <w:tcW w:w="6840" w:type="dxa"/>
            <w:gridSpan w:val="9"/>
          </w:tcPr>
          <w:p>
            <w:pPr>
              <w:pStyle w:val="36"/>
              <w:rPr>
                <w:rFonts w:ascii="Times New Roman"/>
                <w:sz w:val="20"/>
              </w:rPr>
            </w:pPr>
          </w:p>
        </w:tc>
      </w:tr>
    </w:tbl>
    <w:p>
      <w:pPr>
        <w:spacing w:before="39"/>
        <w:ind w:left="552"/>
        <w:rPr>
          <w:sz w:val="28"/>
        </w:rPr>
      </w:pPr>
    </w:p>
    <w:p>
      <w:pPr>
        <w:spacing w:before="39"/>
        <w:ind w:left="552"/>
        <w:rPr>
          <w:sz w:val="28"/>
        </w:rPr>
      </w:pPr>
    </w:p>
    <w:p>
      <w:pPr>
        <w:spacing w:before="70"/>
        <w:ind w:left="415"/>
        <w:rPr>
          <w:sz w:val="21"/>
        </w:rPr>
      </w:pPr>
      <w:r>
        <w:rPr>
          <w:sz w:val="21"/>
        </w:rPr>
        <w:t>注：联合体投标的，联合体各方均需提供，由联合体牵头人盖单位公章。</w:t>
      </w:r>
    </w:p>
    <w:p>
      <w:pPr>
        <w:spacing w:before="39"/>
        <w:ind w:left="552"/>
        <w:rPr>
          <w:sz w:val="28"/>
        </w:rPr>
      </w:pPr>
    </w:p>
    <w:p>
      <w:pPr>
        <w:spacing w:before="39"/>
        <w:ind w:left="552"/>
        <w:rPr>
          <w:sz w:val="28"/>
        </w:rPr>
      </w:pPr>
    </w:p>
    <w:p>
      <w:pPr>
        <w:spacing w:before="39"/>
        <w:ind w:left="552"/>
        <w:rPr>
          <w:sz w:val="28"/>
        </w:rPr>
      </w:pPr>
      <w:r>
        <w:rPr>
          <w:sz w:val="28"/>
        </w:rPr>
        <w:br w:type="page"/>
      </w:r>
    </w:p>
    <w:p>
      <w:pPr>
        <w:widowControl/>
        <w:autoSpaceDE/>
        <w:autoSpaceDN/>
        <w:rPr>
          <w:sz w:val="28"/>
        </w:rPr>
      </w:pPr>
    </w:p>
    <w:p>
      <w:pPr>
        <w:spacing w:before="39"/>
        <w:ind w:left="552"/>
        <w:rPr>
          <w:b/>
          <w:sz w:val="24"/>
        </w:rPr>
      </w:pPr>
      <w:r>
        <w:rPr>
          <w:b/>
          <w:sz w:val="24"/>
        </w:rPr>
        <w:t>（</w:t>
      </w:r>
      <w:r>
        <w:rPr>
          <w:rFonts w:hint="eastAsia"/>
          <w:b/>
          <w:sz w:val="24"/>
        </w:rPr>
        <w:t>五</w:t>
      </w:r>
      <w:r>
        <w:rPr>
          <w:b/>
          <w:sz w:val="24"/>
        </w:rPr>
        <w:t>）项目管理机构组成表</w:t>
      </w:r>
    </w:p>
    <w:p>
      <w:pPr>
        <w:widowControl/>
        <w:autoSpaceDE/>
        <w:autoSpaceDN/>
        <w:rPr>
          <w:sz w:val="28"/>
        </w:rPr>
      </w:pPr>
    </w:p>
    <w:tbl>
      <w:tblPr>
        <w:tblStyle w:val="24"/>
        <w:tblW w:w="8522" w:type="dxa"/>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7"/>
        <w:gridCol w:w="721"/>
        <w:gridCol w:w="719"/>
        <w:gridCol w:w="1081"/>
        <w:gridCol w:w="719"/>
        <w:gridCol w:w="721"/>
        <w:gridCol w:w="3242"/>
        <w:gridCol w:w="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vMerge w:val="restart"/>
          </w:tcPr>
          <w:p>
            <w:pPr>
              <w:pStyle w:val="36"/>
              <w:spacing w:before="8"/>
              <w:rPr>
                <w:sz w:val="28"/>
              </w:rPr>
            </w:pPr>
          </w:p>
          <w:p>
            <w:pPr>
              <w:pStyle w:val="36"/>
              <w:ind w:left="111"/>
              <w:rPr>
                <w:sz w:val="21"/>
              </w:rPr>
            </w:pPr>
            <w:r>
              <w:rPr>
                <w:sz w:val="21"/>
              </w:rPr>
              <w:t>职务</w:t>
            </w:r>
          </w:p>
        </w:tc>
        <w:tc>
          <w:tcPr>
            <w:tcW w:w="721" w:type="dxa"/>
            <w:vMerge w:val="restart"/>
          </w:tcPr>
          <w:p>
            <w:pPr>
              <w:pStyle w:val="36"/>
              <w:spacing w:before="8"/>
              <w:rPr>
                <w:sz w:val="28"/>
              </w:rPr>
            </w:pPr>
          </w:p>
          <w:p>
            <w:pPr>
              <w:pStyle w:val="36"/>
              <w:ind w:left="148"/>
              <w:rPr>
                <w:sz w:val="21"/>
              </w:rPr>
            </w:pPr>
            <w:r>
              <w:rPr>
                <w:sz w:val="21"/>
              </w:rPr>
              <w:t>姓名</w:t>
            </w:r>
          </w:p>
        </w:tc>
        <w:tc>
          <w:tcPr>
            <w:tcW w:w="719" w:type="dxa"/>
            <w:vMerge w:val="restart"/>
          </w:tcPr>
          <w:p>
            <w:pPr>
              <w:pStyle w:val="36"/>
              <w:spacing w:before="8"/>
              <w:rPr>
                <w:sz w:val="28"/>
              </w:rPr>
            </w:pPr>
          </w:p>
          <w:p>
            <w:pPr>
              <w:pStyle w:val="36"/>
              <w:ind w:left="147"/>
              <w:rPr>
                <w:sz w:val="21"/>
              </w:rPr>
            </w:pPr>
            <w:r>
              <w:rPr>
                <w:sz w:val="21"/>
              </w:rPr>
              <w:t>职称</w:t>
            </w:r>
          </w:p>
        </w:tc>
        <w:tc>
          <w:tcPr>
            <w:tcW w:w="5763" w:type="dxa"/>
            <w:gridSpan w:val="4"/>
          </w:tcPr>
          <w:p>
            <w:pPr>
              <w:pStyle w:val="36"/>
              <w:spacing w:before="141"/>
              <w:ind w:left="1916" w:right="1907"/>
              <w:jc w:val="center"/>
              <w:rPr>
                <w:sz w:val="21"/>
              </w:rPr>
            </w:pPr>
            <w:r>
              <w:rPr>
                <w:sz w:val="21"/>
              </w:rPr>
              <w:t>执业或职业资格证明</w:t>
            </w:r>
          </w:p>
        </w:tc>
        <w:tc>
          <w:tcPr>
            <w:tcW w:w="672" w:type="dxa"/>
          </w:tcPr>
          <w:p>
            <w:pPr>
              <w:pStyle w:val="36"/>
              <w:spacing w:before="141"/>
              <w:ind w:left="12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081" w:type="dxa"/>
          </w:tcPr>
          <w:p>
            <w:pPr>
              <w:pStyle w:val="36"/>
              <w:spacing w:before="142"/>
              <w:ind w:left="119"/>
              <w:rPr>
                <w:sz w:val="21"/>
              </w:rPr>
            </w:pPr>
            <w:r>
              <w:rPr>
                <w:sz w:val="21"/>
              </w:rPr>
              <w:t>证书名称</w:t>
            </w:r>
          </w:p>
        </w:tc>
        <w:tc>
          <w:tcPr>
            <w:tcW w:w="719" w:type="dxa"/>
          </w:tcPr>
          <w:p>
            <w:pPr>
              <w:pStyle w:val="36"/>
              <w:spacing w:before="142"/>
              <w:ind w:left="147"/>
              <w:rPr>
                <w:sz w:val="21"/>
              </w:rPr>
            </w:pPr>
            <w:r>
              <w:rPr>
                <w:sz w:val="21"/>
              </w:rPr>
              <w:t>级别</w:t>
            </w:r>
          </w:p>
        </w:tc>
        <w:tc>
          <w:tcPr>
            <w:tcW w:w="721" w:type="dxa"/>
          </w:tcPr>
          <w:p>
            <w:pPr>
              <w:pStyle w:val="36"/>
              <w:spacing w:before="142"/>
              <w:ind w:left="148"/>
              <w:rPr>
                <w:sz w:val="21"/>
              </w:rPr>
            </w:pPr>
            <w:r>
              <w:rPr>
                <w:sz w:val="21"/>
              </w:rPr>
              <w:t>证号</w:t>
            </w:r>
          </w:p>
        </w:tc>
        <w:tc>
          <w:tcPr>
            <w:tcW w:w="3242" w:type="dxa"/>
          </w:tcPr>
          <w:p>
            <w:pPr>
              <w:pStyle w:val="36"/>
              <w:spacing w:before="142"/>
              <w:ind w:left="1388" w:right="1383"/>
              <w:jc w:val="center"/>
              <w:rPr>
                <w:sz w:val="21"/>
              </w:rPr>
            </w:pPr>
            <w:r>
              <w:rPr>
                <w:sz w:val="21"/>
              </w:rPr>
              <w:t>专业</w:t>
            </w: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647" w:type="dxa"/>
          </w:tcPr>
          <w:p>
            <w:pPr>
              <w:pStyle w:val="36"/>
              <w:rPr>
                <w:rFonts w:ascii="Times New Roman"/>
                <w:sz w:val="20"/>
              </w:rPr>
            </w:pPr>
          </w:p>
        </w:tc>
        <w:tc>
          <w:tcPr>
            <w:tcW w:w="721" w:type="dxa"/>
          </w:tcPr>
          <w:p>
            <w:pPr>
              <w:pStyle w:val="36"/>
              <w:rPr>
                <w:rFonts w:ascii="Times New Roman"/>
                <w:sz w:val="20"/>
              </w:rPr>
            </w:pPr>
          </w:p>
        </w:tc>
        <w:tc>
          <w:tcPr>
            <w:tcW w:w="719" w:type="dxa"/>
          </w:tcPr>
          <w:p>
            <w:pPr>
              <w:pStyle w:val="36"/>
              <w:rPr>
                <w:rFonts w:ascii="Times New Roman"/>
                <w:sz w:val="20"/>
              </w:rPr>
            </w:pPr>
          </w:p>
        </w:tc>
        <w:tc>
          <w:tcPr>
            <w:tcW w:w="1081" w:type="dxa"/>
          </w:tcPr>
          <w:p>
            <w:pPr>
              <w:pStyle w:val="36"/>
              <w:rPr>
                <w:rFonts w:ascii="Times New Roman"/>
                <w:sz w:val="20"/>
              </w:rPr>
            </w:pPr>
          </w:p>
        </w:tc>
        <w:tc>
          <w:tcPr>
            <w:tcW w:w="719" w:type="dxa"/>
          </w:tcPr>
          <w:p>
            <w:pPr>
              <w:pStyle w:val="36"/>
              <w:rPr>
                <w:rFonts w:ascii="Times New Roman"/>
                <w:sz w:val="20"/>
              </w:rPr>
            </w:pPr>
          </w:p>
        </w:tc>
        <w:tc>
          <w:tcPr>
            <w:tcW w:w="721" w:type="dxa"/>
          </w:tcPr>
          <w:p>
            <w:pPr>
              <w:pStyle w:val="36"/>
              <w:rPr>
                <w:rFonts w:ascii="Times New Roman"/>
                <w:sz w:val="20"/>
              </w:rPr>
            </w:pPr>
          </w:p>
        </w:tc>
        <w:tc>
          <w:tcPr>
            <w:tcW w:w="3242" w:type="dxa"/>
          </w:tcPr>
          <w:p>
            <w:pPr>
              <w:pStyle w:val="36"/>
              <w:rPr>
                <w:rFonts w:ascii="Times New Roman"/>
                <w:sz w:val="20"/>
              </w:rPr>
            </w:pPr>
          </w:p>
        </w:tc>
        <w:tc>
          <w:tcPr>
            <w:tcW w:w="672" w:type="dxa"/>
          </w:tcPr>
          <w:p>
            <w:pPr>
              <w:pStyle w:val="36"/>
              <w:rPr>
                <w:rFonts w:ascii="Times New Roman"/>
                <w:sz w:val="20"/>
              </w:rPr>
            </w:pPr>
          </w:p>
        </w:tc>
      </w:tr>
    </w:tbl>
    <w:p>
      <w:pPr>
        <w:widowControl/>
        <w:autoSpaceDE/>
        <w:autoSpaceDN/>
        <w:rPr>
          <w:sz w:val="28"/>
        </w:rPr>
      </w:pPr>
    </w:p>
    <w:p>
      <w:pPr>
        <w:spacing w:before="70"/>
        <w:ind w:left="415"/>
        <w:rPr>
          <w:sz w:val="21"/>
        </w:rPr>
      </w:pPr>
      <w:r>
        <w:rPr>
          <w:sz w:val="21"/>
        </w:rPr>
        <w:t>注：如联合体投标的，由联合体牵头人盖单位公章。</w:t>
      </w:r>
    </w:p>
    <w:p>
      <w:pPr>
        <w:spacing w:before="39"/>
        <w:ind w:left="552"/>
        <w:rPr>
          <w:sz w:val="28"/>
        </w:rPr>
      </w:pPr>
    </w:p>
    <w:p>
      <w:pPr>
        <w:widowControl/>
        <w:autoSpaceDE/>
        <w:autoSpaceDN/>
        <w:rPr>
          <w:sz w:val="28"/>
        </w:rPr>
      </w:pPr>
      <w:r>
        <w:rPr>
          <w:sz w:val="28"/>
        </w:rPr>
        <w:br w:type="page"/>
      </w:r>
    </w:p>
    <w:p>
      <w:pPr>
        <w:spacing w:before="39"/>
        <w:ind w:left="552"/>
        <w:rPr>
          <w:sz w:val="28"/>
        </w:rPr>
      </w:pPr>
    </w:p>
    <w:p>
      <w:pPr>
        <w:widowControl/>
        <w:autoSpaceDE/>
        <w:autoSpaceDN/>
        <w:rPr>
          <w:rFonts w:ascii="黑体" w:hAnsi="黑体" w:eastAsia="黑体" w:cs="黑体"/>
          <w:b/>
          <w:bCs/>
          <w:sz w:val="32"/>
          <w:szCs w:val="32"/>
        </w:rPr>
      </w:pPr>
    </w:p>
    <w:p>
      <w:pPr>
        <w:pStyle w:val="3"/>
        <w:spacing w:before="29"/>
        <w:ind w:left="0" w:right="344" w:firstLine="0"/>
        <w:jc w:val="center"/>
        <w:rPr>
          <w:rFonts w:ascii="宋体" w:hAnsi="宋体" w:eastAsia="宋体" w:cs="宋体"/>
        </w:rPr>
      </w:pPr>
      <w:bookmarkStart w:id="398" w:name="_Toc37926106"/>
      <w:bookmarkStart w:id="399" w:name="_Toc36742123"/>
      <w:r>
        <w:rPr>
          <w:rFonts w:hint="eastAsia"/>
        </w:rPr>
        <w:t>六</w:t>
      </w:r>
      <w:r>
        <w:t>、</w:t>
      </w:r>
      <w:r>
        <w:rPr>
          <w:rFonts w:hint="eastAsia"/>
        </w:rPr>
        <w:t>技术或商务评审材料及其他资料</w:t>
      </w:r>
      <w:bookmarkEnd w:id="398"/>
      <w:bookmarkEnd w:id="399"/>
      <w:r>
        <w:rPr>
          <w:rFonts w:hint="eastAsia" w:ascii="宋体" w:hAnsi="宋体" w:eastAsia="宋体" w:cs="宋体"/>
        </w:rPr>
        <w:t> </w:t>
      </w:r>
    </w:p>
    <w:p/>
    <w:p/>
    <w:p>
      <w:pPr>
        <w:widowControl/>
        <w:autoSpaceDE/>
        <w:autoSpaceDN/>
      </w:pPr>
      <w:r>
        <w:br w:type="page"/>
      </w:r>
    </w:p>
    <w:p>
      <w:pPr>
        <w:pStyle w:val="10"/>
        <w:rPr>
          <w:b/>
          <w:sz w:val="24"/>
        </w:rPr>
      </w:pPr>
    </w:p>
    <w:p>
      <w:pPr>
        <w:pStyle w:val="10"/>
        <w:rPr>
          <w:b/>
          <w:sz w:val="24"/>
        </w:rPr>
      </w:pPr>
    </w:p>
    <w:p>
      <w:pPr>
        <w:pStyle w:val="10"/>
        <w:rPr>
          <w:b/>
          <w:sz w:val="24"/>
        </w:rPr>
      </w:pPr>
    </w:p>
    <w:p>
      <w:pPr>
        <w:pStyle w:val="10"/>
        <w:rPr>
          <w:b/>
          <w:sz w:val="24"/>
        </w:rPr>
      </w:pPr>
    </w:p>
    <w:p>
      <w:pPr>
        <w:pStyle w:val="10"/>
        <w:rPr>
          <w:b/>
          <w:sz w:val="24"/>
        </w:rPr>
      </w:pPr>
    </w:p>
    <w:p>
      <w:pPr>
        <w:tabs>
          <w:tab w:val="left" w:pos="1678"/>
        </w:tabs>
        <w:spacing w:before="212"/>
        <w:ind w:right="338"/>
        <w:jc w:val="center"/>
        <w:rPr>
          <w:rFonts w:ascii="黑体" w:eastAsia="黑体"/>
          <w:sz w:val="28"/>
        </w:rPr>
      </w:pPr>
      <w:r>
        <w:rPr>
          <w:rFonts w:ascii="Times New Roman" w:eastAsia="Times New Roman"/>
          <w:sz w:val="28"/>
          <w:u w:val="single"/>
        </w:rPr>
        <w:tab/>
      </w:r>
      <w:r>
        <w:rPr>
          <w:rFonts w:hint="eastAsia" w:ascii="黑体" w:eastAsia="黑体"/>
          <w:sz w:val="28"/>
        </w:rPr>
        <w:t>（项目名称</w:t>
      </w:r>
      <w:r>
        <w:rPr>
          <w:rFonts w:hint="eastAsia" w:ascii="黑体" w:eastAsia="黑体"/>
          <w:spacing w:val="-3"/>
          <w:sz w:val="28"/>
        </w:rPr>
        <w:t>）设计、施工总承包投标</w:t>
      </w:r>
    </w:p>
    <w:p>
      <w:pPr>
        <w:pStyle w:val="10"/>
        <w:rPr>
          <w:rFonts w:ascii="黑体"/>
          <w:sz w:val="20"/>
        </w:rPr>
      </w:pPr>
    </w:p>
    <w:p>
      <w:pPr>
        <w:pStyle w:val="10"/>
        <w:rPr>
          <w:rFonts w:ascii="黑体"/>
          <w:sz w:val="20"/>
        </w:rPr>
      </w:pPr>
    </w:p>
    <w:p>
      <w:pPr>
        <w:pStyle w:val="10"/>
        <w:spacing w:before="4"/>
        <w:rPr>
          <w:rFonts w:ascii="黑体"/>
          <w:sz w:val="18"/>
        </w:rPr>
      </w:pPr>
    </w:p>
    <w:p>
      <w:pPr>
        <w:spacing w:before="38"/>
        <w:ind w:right="340"/>
        <w:jc w:val="center"/>
        <w:rPr>
          <w:sz w:val="28"/>
        </w:rPr>
      </w:pPr>
      <w:r>
        <w:rPr>
          <w:rFonts w:hint="eastAsia"/>
          <w:sz w:val="28"/>
        </w:rPr>
        <w:t>（</w:t>
      </w:r>
      <w:r>
        <w:rPr>
          <w:sz w:val="28"/>
        </w:rPr>
        <w:t>正本/副本</w:t>
      </w:r>
      <w:r>
        <w:rPr>
          <w:rFonts w:hint="eastAsia"/>
          <w:sz w:val="28"/>
        </w:rPr>
        <w:t>）</w:t>
      </w:r>
    </w:p>
    <w:p>
      <w:pPr>
        <w:spacing w:before="38"/>
        <w:ind w:right="340"/>
        <w:jc w:val="center"/>
        <w:rPr>
          <w:sz w:val="28"/>
        </w:rPr>
      </w:pPr>
    </w:p>
    <w:p>
      <w:pPr>
        <w:spacing w:before="38"/>
        <w:ind w:right="340"/>
        <w:jc w:val="center"/>
        <w:rPr>
          <w:color w:val="FF0000"/>
          <w:sz w:val="28"/>
        </w:rPr>
      </w:pPr>
      <w:r>
        <w:rPr>
          <w:rFonts w:hint="eastAsia"/>
          <w:color w:val="FF0000"/>
          <w:sz w:val="28"/>
        </w:rPr>
        <w:t>第二册 技术标</w:t>
      </w: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rPr>
          <w:rFonts w:ascii="黑体"/>
          <w:sz w:val="44"/>
        </w:rPr>
      </w:pPr>
    </w:p>
    <w:p>
      <w:pPr>
        <w:pStyle w:val="10"/>
        <w:spacing w:before="3"/>
        <w:rPr>
          <w:rFonts w:ascii="黑体"/>
          <w:sz w:val="55"/>
        </w:rPr>
      </w:pPr>
    </w:p>
    <w:p>
      <w:pPr>
        <w:tabs>
          <w:tab w:val="left" w:pos="5319"/>
        </w:tabs>
        <w:ind w:right="338"/>
        <w:jc w:val="center"/>
        <w:rPr>
          <w:rFonts w:ascii="黑体" w:eastAsia="黑体"/>
          <w:sz w:val="28"/>
        </w:rPr>
      </w:pPr>
      <w:r>
        <w:rPr>
          <w:rFonts w:hint="eastAsia" w:ascii="黑体" w:eastAsia="黑体"/>
          <w:sz w:val="28"/>
        </w:rPr>
        <w:t>投标人：</w:t>
      </w:r>
      <w:r>
        <w:rPr>
          <w:rFonts w:hint="eastAsia" w:ascii="黑体" w:eastAsia="黑体"/>
          <w:sz w:val="28"/>
          <w:u w:val="single"/>
        </w:rPr>
        <w:tab/>
      </w:r>
      <w:r>
        <w:rPr>
          <w:rFonts w:hint="eastAsia" w:ascii="黑体" w:eastAsia="黑体"/>
          <w:sz w:val="28"/>
        </w:rPr>
        <w:t>（盖单位</w:t>
      </w:r>
      <w:r>
        <w:rPr>
          <w:rFonts w:hint="eastAsia" w:ascii="黑体" w:eastAsia="黑体"/>
          <w:spacing w:val="-3"/>
          <w:sz w:val="28"/>
        </w:rPr>
        <w:t>章</w:t>
      </w:r>
      <w:r>
        <w:rPr>
          <w:rFonts w:hint="eastAsia" w:ascii="黑体" w:eastAsia="黑体"/>
          <w:sz w:val="28"/>
        </w:rPr>
        <w:t>）</w:t>
      </w:r>
    </w:p>
    <w:p>
      <w:pPr>
        <w:pStyle w:val="10"/>
        <w:spacing w:before="3"/>
        <w:rPr>
          <w:rFonts w:ascii="黑体"/>
          <w:sz w:val="15"/>
        </w:rPr>
      </w:pPr>
    </w:p>
    <w:p>
      <w:pPr>
        <w:tabs>
          <w:tab w:val="left" w:pos="5180"/>
        </w:tabs>
        <w:spacing w:before="70"/>
        <w:ind w:right="199"/>
        <w:jc w:val="center"/>
        <w:rPr>
          <w:rFonts w:ascii="黑体" w:eastAsia="黑体"/>
          <w:sz w:val="28"/>
        </w:rPr>
      </w:pPr>
      <w:r>
        <w:rPr>
          <w:rFonts w:hint="eastAsia" w:ascii="黑体" w:eastAsia="黑体"/>
          <w:sz w:val="28"/>
        </w:rPr>
        <w:t>法定代表</w:t>
      </w:r>
      <w:r>
        <w:rPr>
          <w:rFonts w:hint="eastAsia" w:ascii="黑体" w:eastAsia="黑体"/>
          <w:spacing w:val="-3"/>
          <w:sz w:val="28"/>
        </w:rPr>
        <w:t>人</w:t>
      </w:r>
      <w:r>
        <w:rPr>
          <w:rFonts w:hint="eastAsia" w:ascii="黑体" w:eastAsia="黑体"/>
          <w:sz w:val="28"/>
        </w:rPr>
        <w:t>或其</w:t>
      </w:r>
      <w:r>
        <w:rPr>
          <w:rFonts w:hint="eastAsia" w:ascii="黑体" w:eastAsia="黑体"/>
          <w:spacing w:val="-3"/>
          <w:sz w:val="28"/>
        </w:rPr>
        <w:t>委</w:t>
      </w:r>
      <w:r>
        <w:rPr>
          <w:rFonts w:hint="eastAsia" w:ascii="黑体" w:eastAsia="黑体"/>
          <w:sz w:val="28"/>
        </w:rPr>
        <w:t>托代理</w:t>
      </w:r>
      <w:r>
        <w:rPr>
          <w:rFonts w:hint="eastAsia" w:ascii="黑体" w:eastAsia="黑体"/>
          <w:spacing w:val="-3"/>
          <w:sz w:val="28"/>
        </w:rPr>
        <w:t>人</w:t>
      </w:r>
      <w:r>
        <w:rPr>
          <w:rFonts w:hint="eastAsia" w:ascii="黑体" w:eastAsia="黑体"/>
          <w:spacing w:val="3"/>
          <w:sz w:val="28"/>
        </w:rPr>
        <w:t>：</w:t>
      </w:r>
      <w:r>
        <w:rPr>
          <w:rFonts w:hint="eastAsia" w:ascii="黑体" w:eastAsia="黑体"/>
          <w:spacing w:val="3"/>
          <w:sz w:val="28"/>
          <w:u w:val="single"/>
        </w:rPr>
        <w:tab/>
      </w:r>
      <w:r>
        <w:rPr>
          <w:rFonts w:hint="eastAsia" w:ascii="黑体" w:eastAsia="黑体"/>
          <w:sz w:val="28"/>
        </w:rPr>
        <w:t>（签字或</w:t>
      </w:r>
      <w:r>
        <w:rPr>
          <w:rFonts w:hint="eastAsia" w:ascii="黑体" w:eastAsia="黑体"/>
          <w:spacing w:val="-3"/>
          <w:sz w:val="28"/>
        </w:rPr>
        <w:t>盖章</w:t>
      </w:r>
      <w:r>
        <w:rPr>
          <w:rFonts w:hint="eastAsia" w:ascii="黑体" w:eastAsia="黑体"/>
          <w:sz w:val="28"/>
        </w:rPr>
        <w:t>）</w:t>
      </w:r>
    </w:p>
    <w:p>
      <w:pPr>
        <w:pStyle w:val="10"/>
        <w:spacing w:before="3"/>
        <w:rPr>
          <w:rFonts w:ascii="黑体"/>
          <w:sz w:val="15"/>
        </w:rPr>
      </w:pPr>
    </w:p>
    <w:p>
      <w:pPr>
        <w:tabs>
          <w:tab w:val="left" w:pos="5880"/>
        </w:tabs>
        <w:spacing w:before="71"/>
        <w:ind w:right="338"/>
        <w:jc w:val="center"/>
        <w:rPr>
          <w:rFonts w:ascii="黑体" w:eastAsia="黑体"/>
          <w:sz w:val="28"/>
        </w:rPr>
      </w:pPr>
      <w:r>
        <w:rPr>
          <w:rFonts w:hint="eastAsia" w:ascii="黑体" w:eastAsia="黑体"/>
          <w:sz w:val="28"/>
        </w:rPr>
        <w:t>项目经</w:t>
      </w:r>
      <w:r>
        <w:rPr>
          <w:rFonts w:hint="eastAsia" w:ascii="黑体" w:eastAsia="黑体"/>
          <w:spacing w:val="-3"/>
          <w:sz w:val="28"/>
        </w:rPr>
        <w:t>理</w:t>
      </w:r>
      <w:r>
        <w:rPr>
          <w:rFonts w:hint="eastAsia" w:ascii="黑体" w:eastAsia="黑体"/>
          <w:sz w:val="28"/>
        </w:rPr>
        <w:t>：</w:t>
      </w:r>
      <w:r>
        <w:rPr>
          <w:rFonts w:hint="eastAsia" w:ascii="黑体" w:eastAsia="黑体"/>
          <w:sz w:val="28"/>
          <w:u w:val="single"/>
        </w:rPr>
        <w:tab/>
      </w:r>
      <w:r>
        <w:rPr>
          <w:rFonts w:hint="eastAsia" w:ascii="黑体" w:eastAsia="黑体"/>
          <w:sz w:val="28"/>
        </w:rPr>
        <w:t>（签字）</w:t>
      </w:r>
    </w:p>
    <w:p>
      <w:pPr>
        <w:tabs>
          <w:tab w:val="left" w:pos="5880"/>
        </w:tabs>
        <w:spacing w:before="71"/>
        <w:ind w:right="338"/>
        <w:jc w:val="center"/>
        <w:rPr>
          <w:rFonts w:ascii="黑体" w:eastAsia="黑体"/>
          <w:sz w:val="28"/>
        </w:rPr>
      </w:pPr>
      <w:r>
        <w:rPr>
          <w:rFonts w:hint="eastAsia" w:ascii="黑体" w:eastAsia="黑体"/>
          <w:sz w:val="28"/>
        </w:rPr>
        <w:t>施工负责人：</w:t>
      </w:r>
      <w:r>
        <w:rPr>
          <w:rFonts w:hint="eastAsia" w:ascii="黑体" w:eastAsia="黑体"/>
          <w:sz w:val="28"/>
          <w:u w:val="single"/>
        </w:rPr>
        <w:tab/>
      </w:r>
      <w:r>
        <w:rPr>
          <w:rFonts w:hint="eastAsia" w:ascii="黑体" w:eastAsia="黑体"/>
          <w:sz w:val="28"/>
        </w:rPr>
        <w:t>（签字）</w:t>
      </w:r>
    </w:p>
    <w:p>
      <w:pPr>
        <w:pStyle w:val="10"/>
        <w:spacing w:before="2"/>
        <w:rPr>
          <w:rFonts w:ascii="黑体"/>
          <w:sz w:val="15"/>
        </w:rPr>
      </w:pPr>
    </w:p>
    <w:p>
      <w:pPr>
        <w:tabs>
          <w:tab w:val="left" w:pos="5880"/>
        </w:tabs>
        <w:spacing w:before="71"/>
        <w:ind w:right="338"/>
        <w:jc w:val="center"/>
        <w:rPr>
          <w:rFonts w:ascii="黑体" w:eastAsia="黑体"/>
          <w:sz w:val="28"/>
        </w:rPr>
      </w:pPr>
      <w:r>
        <w:rPr>
          <w:rFonts w:hint="eastAsia" w:ascii="黑体" w:eastAsia="黑体"/>
          <w:sz w:val="28"/>
        </w:rPr>
        <w:t>项目技</w:t>
      </w:r>
      <w:r>
        <w:rPr>
          <w:rFonts w:hint="eastAsia" w:ascii="黑体" w:eastAsia="黑体"/>
          <w:spacing w:val="-3"/>
          <w:sz w:val="28"/>
        </w:rPr>
        <w:t>术</w:t>
      </w:r>
      <w:r>
        <w:rPr>
          <w:rFonts w:hint="eastAsia" w:ascii="黑体" w:eastAsia="黑体"/>
          <w:sz w:val="28"/>
        </w:rPr>
        <w:t>负责</w:t>
      </w:r>
      <w:r>
        <w:rPr>
          <w:rFonts w:hint="eastAsia" w:ascii="黑体" w:eastAsia="黑体"/>
          <w:spacing w:val="-3"/>
          <w:sz w:val="28"/>
        </w:rPr>
        <w:t>人</w:t>
      </w:r>
      <w:r>
        <w:rPr>
          <w:rFonts w:hint="eastAsia" w:ascii="黑体" w:eastAsia="黑体"/>
          <w:spacing w:val="3"/>
          <w:sz w:val="28"/>
        </w:rPr>
        <w:t>：</w:t>
      </w:r>
      <w:r>
        <w:rPr>
          <w:rFonts w:hint="eastAsia" w:ascii="黑体" w:eastAsia="黑体"/>
          <w:spacing w:val="3"/>
          <w:sz w:val="28"/>
          <w:u w:val="single"/>
        </w:rPr>
        <w:tab/>
      </w:r>
      <w:r>
        <w:rPr>
          <w:rFonts w:hint="eastAsia" w:ascii="黑体" w:eastAsia="黑体"/>
          <w:sz w:val="28"/>
        </w:rPr>
        <w:t>（签字）</w:t>
      </w:r>
    </w:p>
    <w:p>
      <w:pPr>
        <w:pStyle w:val="10"/>
        <w:spacing w:before="12"/>
        <w:rPr>
          <w:rFonts w:ascii="黑体"/>
          <w:sz w:val="15"/>
        </w:rPr>
      </w:pPr>
    </w:p>
    <w:p>
      <w:pPr>
        <w:jc w:val="center"/>
      </w:pPr>
      <w:r>
        <w:rPr>
          <w:rFonts w:hint="eastAsia"/>
          <w:sz w:val="28"/>
        </w:rPr>
        <w:t>年</w:t>
      </w:r>
      <w:r>
        <w:rPr>
          <w:rFonts w:hint="eastAsia"/>
          <w:sz w:val="28"/>
          <w:u w:val="single"/>
        </w:rPr>
        <w:tab/>
      </w:r>
      <w:r>
        <w:rPr>
          <w:rFonts w:hint="eastAsia"/>
          <w:sz w:val="28"/>
        </w:rPr>
        <w:t>月</w:t>
      </w:r>
      <w:r>
        <w:rPr>
          <w:rFonts w:hint="eastAsia"/>
          <w:sz w:val="28"/>
          <w:u w:val="single"/>
        </w:rPr>
        <w:tab/>
      </w:r>
      <w:r>
        <w:rPr>
          <w:rFonts w:hint="eastAsia"/>
          <w:sz w:val="28"/>
        </w:rPr>
        <w:t>日</w:t>
      </w:r>
    </w:p>
    <w:p/>
    <w:p/>
    <w:sectPr>
      <w:pgSz w:w="11910" w:h="16840"/>
      <w:pgMar w:top="1580" w:right="580" w:bottom="1180" w:left="920" w:header="0" w:footer="9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smartSimSun">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文本框 1" o:spid="_x0000_s2053" o:spt="202" type="#_x0000_t202" style="position:absolute;left:0pt;margin-left:292.15pt;margin-top:779.4pt;height:13.7pt;width:11pt;mso-position-horizontal-relative:page;mso-position-vertical-relative:page;z-index:-261013504;mso-width-relative:page;mso-height-relative:page;" filled="f" stroked="f" coordsize="21600,21600" o:gfxdata="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ZkYHPZAAAADQEAAA8AAAAAAAAA&#10;AQAgAAAAIgAAAGRycy9kb3ducmV2LnhtbFBLAQIUABQAAAAIAIdO4kCdz2eungEAACQDAAAOAAAA&#10;AAAAAAEAIAAAACgBAABkcnMvZTJvRG9jLnhtbFBLBQYAAAAABgAGAFkBAAA4BQAAAAA=&#10;">
          <v:path/>
          <v:fill on="f" focussize="0,0"/>
          <v:stroke on="f" joinstyle="miter"/>
          <v:imagedata o:title=""/>
          <o:lock v:ext="edit"/>
          <v:textbox inset="0mm,0mm,0mm,0mm">
            <w:txbxContent>
              <w:p>
                <w:pPr>
                  <w:pStyle w:val="10"/>
                  <w:spacing w:before="12"/>
                  <w:ind w:left="40"/>
                  <w:rPr>
                    <w:rFonts w:ascii="Times New Roman"/>
                  </w:rPr>
                </w:pPr>
                <w:r>
                  <w:fldChar w:fldCharType="begin"/>
                </w:r>
                <w:r>
                  <w:rPr>
                    <w:rFonts w:ascii="Times New Roman"/>
                  </w:rPr>
                  <w:instrText xml:space="preserve"> PAGE  \* ROMAN </w:instrText>
                </w:r>
                <w:r>
                  <w:fldChar w:fldCharType="separate"/>
                </w:r>
                <w:r>
                  <w:rPr>
                    <w:rFonts w:ascii="Times New Roman"/>
                  </w:rPr>
                  <w:t>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5"/>
      </w:rPr>
    </w:pPr>
    <w:r>
      <w:rPr>
        <w:lang w:val="en-US" w:bidi="ar-SA"/>
      </w:rPr>
      <w:pict>
        <v:shape id="文本框 2" o:spid="_x0000_s2052" o:spt="202" type="#_x0000_t202" style="position:absolute;left:0pt;margin-left:287.7pt;margin-top:779.4pt;height:13.75pt;width:21.05pt;mso-position-horizontal-relative:page;mso-position-vertical-relative:page;z-index:-261011456;mso-width-relative:page;mso-height-relative:page;" filled="f" stroked="f" coordsize="21600,21600" o:gfxdata="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IN8ujbAAAADQEAAA8AAAAA&#10;AAAAAQAgAAAAIgAAAGRycy9kb3ducmV2LnhtbFBLAQIUABQAAAAIAIdO4kDvYeH9nwEAACQDAAAO&#10;AAAAAAAAAAEAIAAAACoBAABkcnMvZTJvRG9jLnhtbFBLBQYAAAAABgAGAFkBAAA7BQAAAAA=&#10;">
          <v:path/>
          <v:fill on="f" focussize="0,0"/>
          <v:stroke on="f" joinstyle="miter"/>
          <v:imagedata o:title=""/>
          <o:lock v:ext="edit"/>
          <v:textbox inset="0mm,0mm,0mm,0mm">
            <w:txbxContent>
              <w:p>
                <w:pPr>
                  <w:pStyle w:val="10"/>
                  <w:spacing w:before="12"/>
                  <w:ind w:left="40"/>
                  <w:rPr>
                    <w:rFonts w:ascii="Times New Roman"/>
                  </w:rPr>
                </w:pPr>
                <w:r>
                  <w:fldChar w:fldCharType="begin"/>
                </w:r>
                <w:r>
                  <w:rPr>
                    <w:rFonts w:ascii="Times New Roman"/>
                  </w:rPr>
                  <w:instrText xml:space="preserve"> PAGE </w:instrText>
                </w:r>
                <w:r>
                  <w:fldChar w:fldCharType="separate"/>
                </w:r>
                <w:r>
                  <w:rPr>
                    <w:rFonts w:ascii="Times New Roman"/>
                  </w:rPr>
                  <w:t>59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61</w:t>
    </w:r>
    <w:r>
      <w:rPr>
        <w:szCs w:val="21"/>
      </w:rPr>
      <w:fldChar w:fldCharType="end"/>
    </w:r>
    <w:r>
      <w:rPr>
        <w:rFonts w:hint="eastAsia"/>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2"/>
      </w:rPr>
    </w:pPr>
    <w:r>
      <w:fldChar w:fldCharType="begin"/>
    </w:r>
    <w:r>
      <w:rPr>
        <w:rStyle w:val="22"/>
      </w:rPr>
      <w:instrText xml:space="preserve">PAGE  </w:instrText>
    </w:r>
    <w:r>
      <w:fldChar w:fldCharType="end"/>
    </w:r>
  </w:p>
  <w:p>
    <w:pPr>
      <w:pStyle w:val="1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125</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2"/>
      </w:rPr>
    </w:pPr>
    <w:r>
      <w:fldChar w:fldCharType="begin"/>
    </w:r>
    <w:r>
      <w:rPr>
        <w:rStyle w:val="22"/>
      </w:rPr>
      <w:instrText xml:space="preserve">PAGE  </w:instrText>
    </w:r>
    <w:r>
      <w:fldChar w:fldCharType="end"/>
    </w:r>
  </w:p>
  <w:p>
    <w:pPr>
      <w:pStyle w:val="1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_x0000_s2051" o:spid="_x0000_s2051" o:spt="202" type="#_x0000_t202" style="position:absolute;left:0pt;margin-left:291.3pt;margin-top:781.15pt;height:12pt;width:17.3pt;mso-position-horizontal-relative:page;mso-position-vertical-relative:page;z-index:-261010432;mso-width-relative:page;mso-height-relative:page;" filled="f" stroked="f" coordsize="21600,21600" o:gfxdata="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eNuv/bAAAADQEAAA8AAAAA&#10;AAAAAQAgAAAAIgAAAGRycy9kb3ducmV2LnhtbFBLAQIUABQAAAAIAIdO4kD+bTyrnwEAACQDAAAO&#10;AAAAAAAAAAEAIAAAACoBAABkcnMvZTJvRG9jLnhtbFBLBQYAAAAABgAGAFkBAAA7BQAAAAA=&#1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141</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文本框 4" o:spid="_x0000_s2050" o:spt="202" type="#_x0000_t202" style="position:absolute;left:0pt;margin-left:291.05pt;margin-top:781.15pt;height:12pt;width:17.7pt;mso-position-horizontal-relative:page;mso-position-vertical-relative:page;z-index:-261009408;mso-width-relative:page;mso-height-relative:page;" filled="f" stroked="f" coordsize="21600,21600" o:gfxdata="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gLJvdoAAAANAQAADwAAAAAA&#10;AAABACAAAAAiAAAAZHJzL2Rvd25yZXYueG1sUEsBAhQAFAAAAAgAh07iQPwnm7ifAQAAJAMAAA4A&#10;AAAAAAAAAQAgAAAAKQEAAGRycy9lMm9Eb2MueG1sUEsFBgAAAAAGAAYAWQEAADoFAAAAAA==&#1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156</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w:pict>
        <v:shape id="文本框 6" o:spid="_x0000_s2049" o:spt="202" type="#_x0000_t202" style="position:absolute;left:0pt;margin-left:291.05pt;margin-top:781.15pt;height:12pt;width:17.7pt;mso-position-horizontal-relative:page;mso-position-vertical-relative:page;z-index:-261007360;mso-width-relative:page;mso-height-relative:page;" filled="f" stroked="f" coordsize="21600,21600" o:gfxdata="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gLJvdoAAAANAQAADwAAAAAA&#10;AAABACAAAAAiAAAAZHJzL2Rvd25yZXYueG1sUEsBAhQAFAAAAAgAh07iQGXzjrSfAQAAJAMAAA4A&#10;AAAAAAAAAQAgAAAAKQEAAGRycy9lMm9Eb2MueG1sUEsFBgAAAAAGAAYAWQEAADoFAAAAAA==&#1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742" w:hanging="530"/>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040" w:hanging="530"/>
      </w:pPr>
      <w:rPr>
        <w:rFonts w:hint="default"/>
        <w:lang w:val="zh-CN" w:eastAsia="zh-CN" w:bidi="zh-CN"/>
      </w:rPr>
    </w:lvl>
    <w:lvl w:ilvl="2" w:tentative="0">
      <w:start w:val="0"/>
      <w:numFmt w:val="bullet"/>
      <w:lvlText w:val="•"/>
      <w:lvlJc w:val="left"/>
      <w:pPr>
        <w:ind w:left="2080" w:hanging="530"/>
      </w:pPr>
      <w:rPr>
        <w:rFonts w:hint="default"/>
        <w:lang w:val="zh-CN" w:eastAsia="zh-CN" w:bidi="zh-CN"/>
      </w:rPr>
    </w:lvl>
    <w:lvl w:ilvl="3" w:tentative="0">
      <w:start w:val="0"/>
      <w:numFmt w:val="bullet"/>
      <w:lvlText w:val="•"/>
      <w:lvlJc w:val="left"/>
      <w:pPr>
        <w:ind w:left="3121" w:hanging="530"/>
      </w:pPr>
      <w:rPr>
        <w:rFonts w:hint="default"/>
        <w:lang w:val="zh-CN" w:eastAsia="zh-CN" w:bidi="zh-CN"/>
      </w:rPr>
    </w:lvl>
    <w:lvl w:ilvl="4" w:tentative="0">
      <w:start w:val="0"/>
      <w:numFmt w:val="bullet"/>
      <w:lvlText w:val="•"/>
      <w:lvlJc w:val="left"/>
      <w:pPr>
        <w:ind w:left="4162" w:hanging="530"/>
      </w:pPr>
      <w:rPr>
        <w:rFonts w:hint="default"/>
        <w:lang w:val="zh-CN" w:eastAsia="zh-CN" w:bidi="zh-CN"/>
      </w:rPr>
    </w:lvl>
    <w:lvl w:ilvl="5" w:tentative="0">
      <w:start w:val="0"/>
      <w:numFmt w:val="bullet"/>
      <w:lvlText w:val="•"/>
      <w:lvlJc w:val="left"/>
      <w:pPr>
        <w:ind w:left="5202" w:hanging="530"/>
      </w:pPr>
      <w:rPr>
        <w:rFonts w:hint="default"/>
        <w:lang w:val="zh-CN" w:eastAsia="zh-CN" w:bidi="zh-CN"/>
      </w:rPr>
    </w:lvl>
    <w:lvl w:ilvl="6" w:tentative="0">
      <w:start w:val="0"/>
      <w:numFmt w:val="bullet"/>
      <w:lvlText w:val="•"/>
      <w:lvlJc w:val="left"/>
      <w:pPr>
        <w:ind w:left="6243" w:hanging="530"/>
      </w:pPr>
      <w:rPr>
        <w:rFonts w:hint="default"/>
        <w:lang w:val="zh-CN" w:eastAsia="zh-CN" w:bidi="zh-CN"/>
      </w:rPr>
    </w:lvl>
    <w:lvl w:ilvl="7" w:tentative="0">
      <w:start w:val="0"/>
      <w:numFmt w:val="bullet"/>
      <w:lvlText w:val="•"/>
      <w:lvlJc w:val="left"/>
      <w:pPr>
        <w:ind w:left="7284" w:hanging="530"/>
      </w:pPr>
      <w:rPr>
        <w:rFonts w:hint="default"/>
        <w:lang w:val="zh-CN" w:eastAsia="zh-CN" w:bidi="zh-CN"/>
      </w:rPr>
    </w:lvl>
    <w:lvl w:ilvl="8" w:tentative="0">
      <w:start w:val="0"/>
      <w:numFmt w:val="bullet"/>
      <w:lvlText w:val="•"/>
      <w:lvlJc w:val="left"/>
      <w:pPr>
        <w:ind w:left="8324" w:hanging="530"/>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056"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94" w:hanging="529"/>
      </w:pPr>
      <w:rPr>
        <w:rFonts w:hint="default"/>
        <w:lang w:val="zh-CN" w:eastAsia="zh-CN" w:bidi="zh-CN"/>
      </w:rPr>
    </w:lvl>
    <w:lvl w:ilvl="2" w:tentative="0">
      <w:start w:val="0"/>
      <w:numFmt w:val="bullet"/>
      <w:lvlText w:val="•"/>
      <w:lvlJc w:val="left"/>
      <w:pPr>
        <w:ind w:left="2929" w:hanging="529"/>
      </w:pPr>
      <w:rPr>
        <w:rFonts w:hint="default"/>
        <w:lang w:val="zh-CN" w:eastAsia="zh-CN" w:bidi="zh-CN"/>
      </w:rPr>
    </w:lvl>
    <w:lvl w:ilvl="3" w:tentative="0">
      <w:start w:val="0"/>
      <w:numFmt w:val="bullet"/>
      <w:lvlText w:val="•"/>
      <w:lvlJc w:val="left"/>
      <w:pPr>
        <w:ind w:left="3863" w:hanging="529"/>
      </w:pPr>
      <w:rPr>
        <w:rFonts w:hint="default"/>
        <w:lang w:val="zh-CN" w:eastAsia="zh-CN" w:bidi="zh-CN"/>
      </w:rPr>
    </w:lvl>
    <w:lvl w:ilvl="4" w:tentative="0">
      <w:start w:val="0"/>
      <w:numFmt w:val="bullet"/>
      <w:lvlText w:val="•"/>
      <w:lvlJc w:val="left"/>
      <w:pPr>
        <w:ind w:left="4798" w:hanging="529"/>
      </w:pPr>
      <w:rPr>
        <w:rFonts w:hint="default"/>
        <w:lang w:val="zh-CN" w:eastAsia="zh-CN" w:bidi="zh-CN"/>
      </w:rPr>
    </w:lvl>
    <w:lvl w:ilvl="5" w:tentative="0">
      <w:start w:val="0"/>
      <w:numFmt w:val="bullet"/>
      <w:lvlText w:val="•"/>
      <w:lvlJc w:val="left"/>
      <w:pPr>
        <w:ind w:left="5733" w:hanging="529"/>
      </w:pPr>
      <w:rPr>
        <w:rFonts w:hint="default"/>
        <w:lang w:val="zh-CN" w:eastAsia="zh-CN" w:bidi="zh-CN"/>
      </w:rPr>
    </w:lvl>
    <w:lvl w:ilvl="6" w:tentative="0">
      <w:start w:val="0"/>
      <w:numFmt w:val="bullet"/>
      <w:lvlText w:val="•"/>
      <w:lvlJc w:val="left"/>
      <w:pPr>
        <w:ind w:left="6667" w:hanging="529"/>
      </w:pPr>
      <w:rPr>
        <w:rFonts w:hint="default"/>
        <w:lang w:val="zh-CN" w:eastAsia="zh-CN" w:bidi="zh-CN"/>
      </w:rPr>
    </w:lvl>
    <w:lvl w:ilvl="7" w:tentative="0">
      <w:start w:val="0"/>
      <w:numFmt w:val="bullet"/>
      <w:lvlText w:val="•"/>
      <w:lvlJc w:val="left"/>
      <w:pPr>
        <w:ind w:left="7602" w:hanging="529"/>
      </w:pPr>
      <w:rPr>
        <w:rFonts w:hint="default"/>
        <w:lang w:val="zh-CN" w:eastAsia="zh-CN" w:bidi="zh-CN"/>
      </w:rPr>
    </w:lvl>
    <w:lvl w:ilvl="8" w:tentative="0">
      <w:start w:val="0"/>
      <w:numFmt w:val="bullet"/>
      <w:lvlText w:val="•"/>
      <w:lvlJc w:val="left"/>
      <w:pPr>
        <w:ind w:left="8537" w:hanging="529"/>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587" w:hanging="375"/>
      </w:pPr>
      <w:rPr>
        <w:rFonts w:hint="default" w:ascii="Arial" w:hAnsi="Arial" w:eastAsia="Arial" w:cs="Arial"/>
        <w:b/>
        <w:bCs/>
        <w:w w:val="100"/>
        <w:sz w:val="28"/>
        <w:szCs w:val="28"/>
        <w:lang w:val="zh-CN" w:eastAsia="zh-CN" w:bidi="zh-CN"/>
      </w:rPr>
    </w:lvl>
    <w:lvl w:ilvl="1" w:tentative="0">
      <w:start w:val="1"/>
      <w:numFmt w:val="decimal"/>
      <w:lvlText w:val="%1.%2"/>
      <w:lvlJc w:val="left"/>
      <w:pPr>
        <w:ind w:left="212" w:hanging="370"/>
      </w:pPr>
      <w:rPr>
        <w:rFonts w:hint="default"/>
        <w:w w:val="100"/>
        <w:lang w:val="zh-CN" w:eastAsia="zh-CN" w:bidi="zh-CN"/>
      </w:rPr>
    </w:lvl>
    <w:lvl w:ilvl="2" w:tentative="0">
      <w:start w:val="0"/>
      <w:numFmt w:val="bullet"/>
      <w:lvlText w:val="•"/>
      <w:lvlJc w:val="left"/>
      <w:pPr>
        <w:ind w:left="1671" w:hanging="370"/>
      </w:pPr>
      <w:rPr>
        <w:rFonts w:hint="default"/>
        <w:lang w:val="zh-CN" w:eastAsia="zh-CN" w:bidi="zh-CN"/>
      </w:rPr>
    </w:lvl>
    <w:lvl w:ilvl="3" w:tentative="0">
      <w:start w:val="0"/>
      <w:numFmt w:val="bullet"/>
      <w:lvlText w:val="•"/>
      <w:lvlJc w:val="left"/>
      <w:pPr>
        <w:ind w:left="2763" w:hanging="370"/>
      </w:pPr>
      <w:rPr>
        <w:rFonts w:hint="default"/>
        <w:lang w:val="zh-CN" w:eastAsia="zh-CN" w:bidi="zh-CN"/>
      </w:rPr>
    </w:lvl>
    <w:lvl w:ilvl="4" w:tentative="0">
      <w:start w:val="0"/>
      <w:numFmt w:val="bullet"/>
      <w:lvlText w:val="•"/>
      <w:lvlJc w:val="left"/>
      <w:pPr>
        <w:ind w:left="3855" w:hanging="370"/>
      </w:pPr>
      <w:rPr>
        <w:rFonts w:hint="default"/>
        <w:lang w:val="zh-CN" w:eastAsia="zh-CN" w:bidi="zh-CN"/>
      </w:rPr>
    </w:lvl>
    <w:lvl w:ilvl="5" w:tentative="0">
      <w:start w:val="0"/>
      <w:numFmt w:val="bullet"/>
      <w:lvlText w:val="•"/>
      <w:lvlJc w:val="left"/>
      <w:pPr>
        <w:ind w:left="4947" w:hanging="370"/>
      </w:pPr>
      <w:rPr>
        <w:rFonts w:hint="default"/>
        <w:lang w:val="zh-CN" w:eastAsia="zh-CN" w:bidi="zh-CN"/>
      </w:rPr>
    </w:lvl>
    <w:lvl w:ilvl="6" w:tentative="0">
      <w:start w:val="0"/>
      <w:numFmt w:val="bullet"/>
      <w:lvlText w:val="•"/>
      <w:lvlJc w:val="left"/>
      <w:pPr>
        <w:ind w:left="6039" w:hanging="370"/>
      </w:pPr>
      <w:rPr>
        <w:rFonts w:hint="default"/>
        <w:lang w:val="zh-CN" w:eastAsia="zh-CN" w:bidi="zh-CN"/>
      </w:rPr>
    </w:lvl>
    <w:lvl w:ilvl="7" w:tentative="0">
      <w:start w:val="0"/>
      <w:numFmt w:val="bullet"/>
      <w:lvlText w:val="•"/>
      <w:lvlJc w:val="left"/>
      <w:pPr>
        <w:ind w:left="7130" w:hanging="370"/>
      </w:pPr>
      <w:rPr>
        <w:rFonts w:hint="default"/>
        <w:lang w:val="zh-CN" w:eastAsia="zh-CN" w:bidi="zh-CN"/>
      </w:rPr>
    </w:lvl>
    <w:lvl w:ilvl="8" w:tentative="0">
      <w:start w:val="0"/>
      <w:numFmt w:val="bullet"/>
      <w:lvlText w:val="•"/>
      <w:lvlJc w:val="left"/>
      <w:pPr>
        <w:ind w:left="8222" w:hanging="370"/>
      </w:pPr>
      <w:rPr>
        <w:rFonts w:hint="default"/>
        <w:lang w:val="zh-CN" w:eastAsia="zh-CN" w:bidi="zh-CN"/>
      </w:rPr>
    </w:lvl>
  </w:abstractNum>
  <w:abstractNum w:abstractNumId="3">
    <w:nsid w:val="883B3669"/>
    <w:multiLevelType w:val="multilevel"/>
    <w:tmpl w:val="883B3669"/>
    <w:lvl w:ilvl="0" w:tentative="0">
      <w:start w:val="24"/>
      <w:numFmt w:val="decimal"/>
      <w:lvlText w:val="%1"/>
      <w:lvlJc w:val="left"/>
      <w:pPr>
        <w:ind w:left="1324" w:hanging="632"/>
      </w:pPr>
      <w:rPr>
        <w:rFonts w:hint="default"/>
        <w:lang w:val="zh-CN" w:eastAsia="zh-CN" w:bidi="zh-CN"/>
      </w:rPr>
    </w:lvl>
    <w:lvl w:ilvl="1" w:tentative="0">
      <w:start w:val="3"/>
      <w:numFmt w:val="decimal"/>
      <w:lvlText w:val="%1.%2"/>
      <w:lvlJc w:val="left"/>
      <w:pPr>
        <w:ind w:left="1324" w:hanging="632"/>
      </w:pPr>
      <w:rPr>
        <w:rFonts w:hint="default"/>
        <w:lang w:val="zh-CN" w:eastAsia="zh-CN" w:bidi="zh-CN"/>
      </w:rPr>
    </w:lvl>
    <w:lvl w:ilvl="2" w:tentative="0">
      <w:start w:val="4"/>
      <w:numFmt w:val="decimal"/>
      <w:lvlText w:val="%1.%2.%3"/>
      <w:lvlJc w:val="left"/>
      <w:pPr>
        <w:ind w:left="1324" w:hanging="632"/>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4045" w:hanging="632"/>
      </w:pPr>
      <w:rPr>
        <w:rFonts w:hint="default"/>
        <w:lang w:val="zh-CN" w:eastAsia="zh-CN" w:bidi="zh-CN"/>
      </w:rPr>
    </w:lvl>
    <w:lvl w:ilvl="4" w:tentative="0">
      <w:start w:val="0"/>
      <w:numFmt w:val="bullet"/>
      <w:lvlText w:val="•"/>
      <w:lvlJc w:val="left"/>
      <w:pPr>
        <w:ind w:left="4954" w:hanging="632"/>
      </w:pPr>
      <w:rPr>
        <w:rFonts w:hint="default"/>
        <w:lang w:val="zh-CN" w:eastAsia="zh-CN" w:bidi="zh-CN"/>
      </w:rPr>
    </w:lvl>
    <w:lvl w:ilvl="5" w:tentative="0">
      <w:start w:val="0"/>
      <w:numFmt w:val="bullet"/>
      <w:lvlText w:val="•"/>
      <w:lvlJc w:val="left"/>
      <w:pPr>
        <w:ind w:left="5863" w:hanging="632"/>
      </w:pPr>
      <w:rPr>
        <w:rFonts w:hint="default"/>
        <w:lang w:val="zh-CN" w:eastAsia="zh-CN" w:bidi="zh-CN"/>
      </w:rPr>
    </w:lvl>
    <w:lvl w:ilvl="6" w:tentative="0">
      <w:start w:val="0"/>
      <w:numFmt w:val="bullet"/>
      <w:lvlText w:val="•"/>
      <w:lvlJc w:val="left"/>
      <w:pPr>
        <w:ind w:left="6771" w:hanging="632"/>
      </w:pPr>
      <w:rPr>
        <w:rFonts w:hint="default"/>
        <w:lang w:val="zh-CN" w:eastAsia="zh-CN" w:bidi="zh-CN"/>
      </w:rPr>
    </w:lvl>
    <w:lvl w:ilvl="7" w:tentative="0">
      <w:start w:val="0"/>
      <w:numFmt w:val="bullet"/>
      <w:lvlText w:val="•"/>
      <w:lvlJc w:val="left"/>
      <w:pPr>
        <w:ind w:left="7680" w:hanging="632"/>
      </w:pPr>
      <w:rPr>
        <w:rFonts w:hint="default"/>
        <w:lang w:val="zh-CN" w:eastAsia="zh-CN" w:bidi="zh-CN"/>
      </w:rPr>
    </w:lvl>
    <w:lvl w:ilvl="8" w:tentative="0">
      <w:start w:val="0"/>
      <w:numFmt w:val="bullet"/>
      <w:lvlText w:val="•"/>
      <w:lvlJc w:val="left"/>
      <w:pPr>
        <w:ind w:left="8589" w:hanging="632"/>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1056"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94" w:hanging="529"/>
      </w:pPr>
      <w:rPr>
        <w:rFonts w:hint="default"/>
        <w:lang w:val="zh-CN" w:eastAsia="zh-CN" w:bidi="zh-CN"/>
      </w:rPr>
    </w:lvl>
    <w:lvl w:ilvl="2" w:tentative="0">
      <w:start w:val="0"/>
      <w:numFmt w:val="bullet"/>
      <w:lvlText w:val="•"/>
      <w:lvlJc w:val="left"/>
      <w:pPr>
        <w:ind w:left="2929" w:hanging="529"/>
      </w:pPr>
      <w:rPr>
        <w:rFonts w:hint="default"/>
        <w:lang w:val="zh-CN" w:eastAsia="zh-CN" w:bidi="zh-CN"/>
      </w:rPr>
    </w:lvl>
    <w:lvl w:ilvl="3" w:tentative="0">
      <w:start w:val="0"/>
      <w:numFmt w:val="bullet"/>
      <w:lvlText w:val="•"/>
      <w:lvlJc w:val="left"/>
      <w:pPr>
        <w:ind w:left="3863" w:hanging="529"/>
      </w:pPr>
      <w:rPr>
        <w:rFonts w:hint="default"/>
        <w:lang w:val="zh-CN" w:eastAsia="zh-CN" w:bidi="zh-CN"/>
      </w:rPr>
    </w:lvl>
    <w:lvl w:ilvl="4" w:tentative="0">
      <w:start w:val="0"/>
      <w:numFmt w:val="bullet"/>
      <w:lvlText w:val="•"/>
      <w:lvlJc w:val="left"/>
      <w:pPr>
        <w:ind w:left="4798" w:hanging="529"/>
      </w:pPr>
      <w:rPr>
        <w:rFonts w:hint="default"/>
        <w:lang w:val="zh-CN" w:eastAsia="zh-CN" w:bidi="zh-CN"/>
      </w:rPr>
    </w:lvl>
    <w:lvl w:ilvl="5" w:tentative="0">
      <w:start w:val="0"/>
      <w:numFmt w:val="bullet"/>
      <w:lvlText w:val="•"/>
      <w:lvlJc w:val="left"/>
      <w:pPr>
        <w:ind w:left="5733" w:hanging="529"/>
      </w:pPr>
      <w:rPr>
        <w:rFonts w:hint="default"/>
        <w:lang w:val="zh-CN" w:eastAsia="zh-CN" w:bidi="zh-CN"/>
      </w:rPr>
    </w:lvl>
    <w:lvl w:ilvl="6" w:tentative="0">
      <w:start w:val="0"/>
      <w:numFmt w:val="bullet"/>
      <w:lvlText w:val="•"/>
      <w:lvlJc w:val="left"/>
      <w:pPr>
        <w:ind w:left="6667" w:hanging="529"/>
      </w:pPr>
      <w:rPr>
        <w:rFonts w:hint="default"/>
        <w:lang w:val="zh-CN" w:eastAsia="zh-CN" w:bidi="zh-CN"/>
      </w:rPr>
    </w:lvl>
    <w:lvl w:ilvl="7" w:tentative="0">
      <w:start w:val="0"/>
      <w:numFmt w:val="bullet"/>
      <w:lvlText w:val="•"/>
      <w:lvlJc w:val="left"/>
      <w:pPr>
        <w:ind w:left="7602" w:hanging="529"/>
      </w:pPr>
      <w:rPr>
        <w:rFonts w:hint="default"/>
        <w:lang w:val="zh-CN" w:eastAsia="zh-CN" w:bidi="zh-CN"/>
      </w:rPr>
    </w:lvl>
    <w:lvl w:ilvl="8" w:tentative="0">
      <w:start w:val="0"/>
      <w:numFmt w:val="bullet"/>
      <w:lvlText w:val="•"/>
      <w:lvlJc w:val="left"/>
      <w:pPr>
        <w:ind w:left="8537" w:hanging="529"/>
      </w:pPr>
      <w:rPr>
        <w:rFonts w:hint="default"/>
        <w:lang w:val="zh-CN" w:eastAsia="zh-CN" w:bidi="zh-CN"/>
      </w:rPr>
    </w:lvl>
  </w:abstractNum>
  <w:abstractNum w:abstractNumId="5">
    <w:nsid w:val="91B69C97"/>
    <w:multiLevelType w:val="multilevel"/>
    <w:tmpl w:val="91B69C97"/>
    <w:lvl w:ilvl="0" w:tentative="0">
      <w:start w:val="1"/>
      <w:numFmt w:val="decimal"/>
      <w:lvlText w:val="%1"/>
      <w:lvlJc w:val="left"/>
      <w:pPr>
        <w:ind w:left="1050" w:hanging="702"/>
      </w:pPr>
      <w:rPr>
        <w:rFonts w:hint="default"/>
        <w:lang w:val="zh-CN" w:eastAsia="zh-CN" w:bidi="zh-CN"/>
      </w:rPr>
    </w:lvl>
    <w:lvl w:ilvl="1" w:tentative="0">
      <w:start w:val="8"/>
      <w:numFmt w:val="decimal"/>
      <w:lvlText w:val="%1.%2."/>
      <w:lvlJc w:val="left"/>
      <w:pPr>
        <w:ind w:left="1050" w:hanging="702"/>
      </w:pPr>
      <w:rPr>
        <w:rFonts w:hint="default" w:ascii="黑体" w:hAnsi="黑体" w:eastAsia="黑体" w:cs="黑体"/>
        <w:spacing w:val="-2"/>
        <w:w w:val="100"/>
        <w:sz w:val="28"/>
        <w:szCs w:val="28"/>
        <w:lang w:val="zh-CN" w:eastAsia="zh-CN" w:bidi="zh-CN"/>
      </w:rPr>
    </w:lvl>
    <w:lvl w:ilvl="2" w:tentative="0">
      <w:start w:val="1"/>
      <w:numFmt w:val="decimal"/>
      <w:lvlText w:val="（%3）"/>
      <w:lvlJc w:val="left"/>
      <w:pPr>
        <w:ind w:left="1373" w:hanging="529"/>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385" w:hanging="529"/>
      </w:pPr>
      <w:rPr>
        <w:rFonts w:hint="default"/>
        <w:lang w:val="zh-CN" w:eastAsia="zh-CN" w:bidi="zh-CN"/>
      </w:rPr>
    </w:lvl>
    <w:lvl w:ilvl="4" w:tentative="0">
      <w:start w:val="0"/>
      <w:numFmt w:val="bullet"/>
      <w:lvlText w:val="•"/>
      <w:lvlJc w:val="left"/>
      <w:pPr>
        <w:ind w:left="4388" w:hanging="529"/>
      </w:pPr>
      <w:rPr>
        <w:rFonts w:hint="default"/>
        <w:lang w:val="zh-CN" w:eastAsia="zh-CN" w:bidi="zh-CN"/>
      </w:rPr>
    </w:lvl>
    <w:lvl w:ilvl="5" w:tentative="0">
      <w:start w:val="0"/>
      <w:numFmt w:val="bullet"/>
      <w:lvlText w:val="•"/>
      <w:lvlJc w:val="left"/>
      <w:pPr>
        <w:ind w:left="5391" w:hanging="529"/>
      </w:pPr>
      <w:rPr>
        <w:rFonts w:hint="default"/>
        <w:lang w:val="zh-CN" w:eastAsia="zh-CN" w:bidi="zh-CN"/>
      </w:rPr>
    </w:lvl>
    <w:lvl w:ilvl="6" w:tentative="0">
      <w:start w:val="0"/>
      <w:numFmt w:val="bullet"/>
      <w:lvlText w:val="•"/>
      <w:lvlJc w:val="left"/>
      <w:pPr>
        <w:ind w:left="6394" w:hanging="529"/>
      </w:pPr>
      <w:rPr>
        <w:rFonts w:hint="default"/>
        <w:lang w:val="zh-CN" w:eastAsia="zh-CN" w:bidi="zh-CN"/>
      </w:rPr>
    </w:lvl>
    <w:lvl w:ilvl="7" w:tentative="0">
      <w:start w:val="0"/>
      <w:numFmt w:val="bullet"/>
      <w:lvlText w:val="•"/>
      <w:lvlJc w:val="left"/>
      <w:pPr>
        <w:ind w:left="7397" w:hanging="529"/>
      </w:pPr>
      <w:rPr>
        <w:rFonts w:hint="default"/>
        <w:lang w:val="zh-CN" w:eastAsia="zh-CN" w:bidi="zh-CN"/>
      </w:rPr>
    </w:lvl>
    <w:lvl w:ilvl="8" w:tentative="0">
      <w:start w:val="0"/>
      <w:numFmt w:val="bullet"/>
      <w:lvlText w:val="•"/>
      <w:lvlJc w:val="left"/>
      <w:pPr>
        <w:ind w:left="8400" w:hanging="529"/>
      </w:pPr>
      <w:rPr>
        <w:rFonts w:hint="default"/>
        <w:lang w:val="zh-CN" w:eastAsia="zh-CN" w:bidi="zh-CN"/>
      </w:rPr>
    </w:lvl>
  </w:abstractNum>
  <w:abstractNum w:abstractNumId="6">
    <w:nsid w:val="9377BC45"/>
    <w:multiLevelType w:val="multilevel"/>
    <w:tmpl w:val="9377BC45"/>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7">
    <w:nsid w:val="9ACF65A0"/>
    <w:multiLevelType w:val="multilevel"/>
    <w:tmpl w:val="9ACF65A0"/>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8">
    <w:nsid w:val="9C7198AA"/>
    <w:multiLevelType w:val="multilevel"/>
    <w:tmpl w:val="9C7198AA"/>
    <w:lvl w:ilvl="0" w:tentative="0">
      <w:start w:val="11"/>
      <w:numFmt w:val="decimal"/>
      <w:lvlText w:val="%1"/>
      <w:lvlJc w:val="left"/>
      <w:pPr>
        <w:ind w:left="212" w:hanging="424"/>
      </w:pPr>
      <w:rPr>
        <w:rFonts w:hint="default"/>
        <w:lang w:val="zh-CN" w:eastAsia="zh-CN" w:bidi="zh-CN"/>
      </w:rPr>
    </w:lvl>
    <w:lvl w:ilvl="1" w:tentative="0">
      <w:start w:val="1"/>
      <w:numFmt w:val="decimal"/>
      <w:lvlText w:val="%1.%2"/>
      <w:lvlJc w:val="left"/>
      <w:pPr>
        <w:ind w:left="212" w:hanging="424"/>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2257" w:hanging="424"/>
      </w:pPr>
      <w:rPr>
        <w:rFonts w:hint="default"/>
        <w:lang w:val="zh-CN" w:eastAsia="zh-CN" w:bidi="zh-CN"/>
      </w:rPr>
    </w:lvl>
    <w:lvl w:ilvl="3" w:tentative="0">
      <w:start w:val="0"/>
      <w:numFmt w:val="bullet"/>
      <w:lvlText w:val="•"/>
      <w:lvlJc w:val="left"/>
      <w:pPr>
        <w:ind w:left="3275" w:hanging="424"/>
      </w:pPr>
      <w:rPr>
        <w:rFonts w:hint="default"/>
        <w:lang w:val="zh-CN" w:eastAsia="zh-CN" w:bidi="zh-CN"/>
      </w:rPr>
    </w:lvl>
    <w:lvl w:ilvl="4" w:tentative="0">
      <w:start w:val="0"/>
      <w:numFmt w:val="bullet"/>
      <w:lvlText w:val="•"/>
      <w:lvlJc w:val="left"/>
      <w:pPr>
        <w:ind w:left="4294" w:hanging="424"/>
      </w:pPr>
      <w:rPr>
        <w:rFonts w:hint="default"/>
        <w:lang w:val="zh-CN" w:eastAsia="zh-CN" w:bidi="zh-CN"/>
      </w:rPr>
    </w:lvl>
    <w:lvl w:ilvl="5" w:tentative="0">
      <w:start w:val="0"/>
      <w:numFmt w:val="bullet"/>
      <w:lvlText w:val="•"/>
      <w:lvlJc w:val="left"/>
      <w:pPr>
        <w:ind w:left="5313" w:hanging="424"/>
      </w:pPr>
      <w:rPr>
        <w:rFonts w:hint="default"/>
        <w:lang w:val="zh-CN" w:eastAsia="zh-CN" w:bidi="zh-CN"/>
      </w:rPr>
    </w:lvl>
    <w:lvl w:ilvl="6" w:tentative="0">
      <w:start w:val="0"/>
      <w:numFmt w:val="bullet"/>
      <w:lvlText w:val="•"/>
      <w:lvlJc w:val="left"/>
      <w:pPr>
        <w:ind w:left="6331" w:hanging="424"/>
      </w:pPr>
      <w:rPr>
        <w:rFonts w:hint="default"/>
        <w:lang w:val="zh-CN" w:eastAsia="zh-CN" w:bidi="zh-CN"/>
      </w:rPr>
    </w:lvl>
    <w:lvl w:ilvl="7" w:tentative="0">
      <w:start w:val="0"/>
      <w:numFmt w:val="bullet"/>
      <w:lvlText w:val="•"/>
      <w:lvlJc w:val="left"/>
      <w:pPr>
        <w:ind w:left="7350" w:hanging="424"/>
      </w:pPr>
      <w:rPr>
        <w:rFonts w:hint="default"/>
        <w:lang w:val="zh-CN" w:eastAsia="zh-CN" w:bidi="zh-CN"/>
      </w:rPr>
    </w:lvl>
    <w:lvl w:ilvl="8" w:tentative="0">
      <w:start w:val="0"/>
      <w:numFmt w:val="bullet"/>
      <w:lvlText w:val="•"/>
      <w:lvlJc w:val="left"/>
      <w:pPr>
        <w:ind w:left="8369" w:hanging="424"/>
      </w:pPr>
      <w:rPr>
        <w:rFonts w:hint="default"/>
        <w:lang w:val="zh-CN" w:eastAsia="zh-CN" w:bidi="zh-CN"/>
      </w:rPr>
    </w:lvl>
  </w:abstractNum>
  <w:abstractNum w:abstractNumId="9">
    <w:nsid w:val="9D5D7490"/>
    <w:multiLevelType w:val="multilevel"/>
    <w:tmpl w:val="9D5D7490"/>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10">
    <w:nsid w:val="9DFC6F65"/>
    <w:multiLevelType w:val="multilevel"/>
    <w:tmpl w:val="9DFC6F65"/>
    <w:lvl w:ilvl="0" w:tentative="0">
      <w:start w:val="1"/>
      <w:numFmt w:val="decimal"/>
      <w:lvlText w:val="（%1）"/>
      <w:lvlJc w:val="left"/>
      <w:pPr>
        <w:ind w:left="318"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328" w:hanging="532"/>
      </w:pPr>
      <w:rPr>
        <w:rFonts w:hint="default"/>
        <w:lang w:val="zh-CN" w:eastAsia="zh-CN" w:bidi="zh-CN"/>
      </w:rPr>
    </w:lvl>
    <w:lvl w:ilvl="2" w:tentative="0">
      <w:start w:val="0"/>
      <w:numFmt w:val="bullet"/>
      <w:lvlText w:val="•"/>
      <w:lvlJc w:val="left"/>
      <w:pPr>
        <w:ind w:left="2337" w:hanging="532"/>
      </w:pPr>
      <w:rPr>
        <w:rFonts w:hint="default"/>
        <w:lang w:val="zh-CN" w:eastAsia="zh-CN" w:bidi="zh-CN"/>
      </w:rPr>
    </w:lvl>
    <w:lvl w:ilvl="3" w:tentative="0">
      <w:start w:val="0"/>
      <w:numFmt w:val="bullet"/>
      <w:lvlText w:val="•"/>
      <w:lvlJc w:val="left"/>
      <w:pPr>
        <w:ind w:left="3345" w:hanging="532"/>
      </w:pPr>
      <w:rPr>
        <w:rFonts w:hint="default"/>
        <w:lang w:val="zh-CN" w:eastAsia="zh-CN" w:bidi="zh-CN"/>
      </w:rPr>
    </w:lvl>
    <w:lvl w:ilvl="4" w:tentative="0">
      <w:start w:val="0"/>
      <w:numFmt w:val="bullet"/>
      <w:lvlText w:val="•"/>
      <w:lvlJc w:val="left"/>
      <w:pPr>
        <w:ind w:left="4354" w:hanging="532"/>
      </w:pPr>
      <w:rPr>
        <w:rFonts w:hint="default"/>
        <w:lang w:val="zh-CN" w:eastAsia="zh-CN" w:bidi="zh-CN"/>
      </w:rPr>
    </w:lvl>
    <w:lvl w:ilvl="5" w:tentative="0">
      <w:start w:val="0"/>
      <w:numFmt w:val="bullet"/>
      <w:lvlText w:val="•"/>
      <w:lvlJc w:val="left"/>
      <w:pPr>
        <w:ind w:left="5363" w:hanging="532"/>
      </w:pPr>
      <w:rPr>
        <w:rFonts w:hint="default"/>
        <w:lang w:val="zh-CN" w:eastAsia="zh-CN" w:bidi="zh-CN"/>
      </w:rPr>
    </w:lvl>
    <w:lvl w:ilvl="6" w:tentative="0">
      <w:start w:val="0"/>
      <w:numFmt w:val="bullet"/>
      <w:lvlText w:val="•"/>
      <w:lvlJc w:val="left"/>
      <w:pPr>
        <w:ind w:left="6371" w:hanging="532"/>
      </w:pPr>
      <w:rPr>
        <w:rFonts w:hint="default"/>
        <w:lang w:val="zh-CN" w:eastAsia="zh-CN" w:bidi="zh-CN"/>
      </w:rPr>
    </w:lvl>
    <w:lvl w:ilvl="7" w:tentative="0">
      <w:start w:val="0"/>
      <w:numFmt w:val="bullet"/>
      <w:lvlText w:val="•"/>
      <w:lvlJc w:val="left"/>
      <w:pPr>
        <w:ind w:left="7380" w:hanging="532"/>
      </w:pPr>
      <w:rPr>
        <w:rFonts w:hint="default"/>
        <w:lang w:val="zh-CN" w:eastAsia="zh-CN" w:bidi="zh-CN"/>
      </w:rPr>
    </w:lvl>
    <w:lvl w:ilvl="8" w:tentative="0">
      <w:start w:val="0"/>
      <w:numFmt w:val="bullet"/>
      <w:lvlText w:val="•"/>
      <w:lvlJc w:val="left"/>
      <w:pPr>
        <w:ind w:left="8389" w:hanging="532"/>
      </w:pPr>
      <w:rPr>
        <w:rFonts w:hint="default"/>
        <w:lang w:val="zh-CN" w:eastAsia="zh-CN" w:bidi="zh-CN"/>
      </w:rPr>
    </w:lvl>
  </w:abstractNum>
  <w:abstractNum w:abstractNumId="11">
    <w:nsid w:val="9F81B9F9"/>
    <w:multiLevelType w:val="multilevel"/>
    <w:tmpl w:val="9F81B9F9"/>
    <w:lvl w:ilvl="0" w:tentative="0">
      <w:start w:val="25"/>
      <w:numFmt w:val="decimal"/>
      <w:lvlText w:val="%1"/>
      <w:lvlJc w:val="left"/>
      <w:pPr>
        <w:ind w:left="212" w:hanging="317"/>
      </w:pPr>
      <w:rPr>
        <w:rFonts w:hint="default" w:ascii="宋体" w:hAnsi="宋体" w:eastAsia="宋体" w:cs="宋体"/>
        <w:b/>
        <w:bCs/>
        <w:w w:val="99"/>
        <w:sz w:val="21"/>
        <w:szCs w:val="21"/>
        <w:lang w:val="zh-CN" w:eastAsia="zh-CN" w:bidi="zh-CN"/>
      </w:rPr>
    </w:lvl>
    <w:lvl w:ilvl="1" w:tentative="0">
      <w:start w:val="1"/>
      <w:numFmt w:val="decimal"/>
      <w:lvlText w:val="%1.%2"/>
      <w:lvlJc w:val="left"/>
      <w:pPr>
        <w:ind w:left="212" w:hanging="424"/>
      </w:pPr>
      <w:rPr>
        <w:rFonts w:hint="default" w:ascii="宋体" w:hAnsi="宋体" w:eastAsia="宋体" w:cs="宋体"/>
        <w:b/>
        <w:bCs/>
        <w:w w:val="99"/>
        <w:sz w:val="19"/>
        <w:szCs w:val="19"/>
        <w:lang w:val="zh-CN" w:eastAsia="zh-CN" w:bidi="zh-CN"/>
      </w:rPr>
    </w:lvl>
    <w:lvl w:ilvl="2" w:tentative="0">
      <w:start w:val="0"/>
      <w:numFmt w:val="bullet"/>
      <w:lvlText w:val="•"/>
      <w:lvlJc w:val="left"/>
      <w:pPr>
        <w:ind w:left="2257" w:hanging="424"/>
      </w:pPr>
      <w:rPr>
        <w:rFonts w:hint="default"/>
        <w:lang w:val="zh-CN" w:eastAsia="zh-CN" w:bidi="zh-CN"/>
      </w:rPr>
    </w:lvl>
    <w:lvl w:ilvl="3" w:tentative="0">
      <w:start w:val="0"/>
      <w:numFmt w:val="bullet"/>
      <w:lvlText w:val="•"/>
      <w:lvlJc w:val="left"/>
      <w:pPr>
        <w:ind w:left="3275" w:hanging="424"/>
      </w:pPr>
      <w:rPr>
        <w:rFonts w:hint="default"/>
        <w:lang w:val="zh-CN" w:eastAsia="zh-CN" w:bidi="zh-CN"/>
      </w:rPr>
    </w:lvl>
    <w:lvl w:ilvl="4" w:tentative="0">
      <w:start w:val="0"/>
      <w:numFmt w:val="bullet"/>
      <w:lvlText w:val="•"/>
      <w:lvlJc w:val="left"/>
      <w:pPr>
        <w:ind w:left="4294" w:hanging="424"/>
      </w:pPr>
      <w:rPr>
        <w:rFonts w:hint="default"/>
        <w:lang w:val="zh-CN" w:eastAsia="zh-CN" w:bidi="zh-CN"/>
      </w:rPr>
    </w:lvl>
    <w:lvl w:ilvl="5" w:tentative="0">
      <w:start w:val="0"/>
      <w:numFmt w:val="bullet"/>
      <w:lvlText w:val="•"/>
      <w:lvlJc w:val="left"/>
      <w:pPr>
        <w:ind w:left="5313" w:hanging="424"/>
      </w:pPr>
      <w:rPr>
        <w:rFonts w:hint="default"/>
        <w:lang w:val="zh-CN" w:eastAsia="zh-CN" w:bidi="zh-CN"/>
      </w:rPr>
    </w:lvl>
    <w:lvl w:ilvl="6" w:tentative="0">
      <w:start w:val="0"/>
      <w:numFmt w:val="bullet"/>
      <w:lvlText w:val="•"/>
      <w:lvlJc w:val="left"/>
      <w:pPr>
        <w:ind w:left="6331" w:hanging="424"/>
      </w:pPr>
      <w:rPr>
        <w:rFonts w:hint="default"/>
        <w:lang w:val="zh-CN" w:eastAsia="zh-CN" w:bidi="zh-CN"/>
      </w:rPr>
    </w:lvl>
    <w:lvl w:ilvl="7" w:tentative="0">
      <w:start w:val="0"/>
      <w:numFmt w:val="bullet"/>
      <w:lvlText w:val="•"/>
      <w:lvlJc w:val="left"/>
      <w:pPr>
        <w:ind w:left="7350" w:hanging="424"/>
      </w:pPr>
      <w:rPr>
        <w:rFonts w:hint="default"/>
        <w:lang w:val="zh-CN" w:eastAsia="zh-CN" w:bidi="zh-CN"/>
      </w:rPr>
    </w:lvl>
    <w:lvl w:ilvl="8" w:tentative="0">
      <w:start w:val="0"/>
      <w:numFmt w:val="bullet"/>
      <w:lvlText w:val="•"/>
      <w:lvlJc w:val="left"/>
      <w:pPr>
        <w:ind w:left="8369" w:hanging="424"/>
      </w:pPr>
      <w:rPr>
        <w:rFonts w:hint="default"/>
        <w:lang w:val="zh-CN" w:eastAsia="zh-CN" w:bidi="zh-CN"/>
      </w:rPr>
    </w:lvl>
  </w:abstractNum>
  <w:abstractNum w:abstractNumId="12">
    <w:nsid w:val="A0C93552"/>
    <w:multiLevelType w:val="multilevel"/>
    <w:tmpl w:val="A0C93552"/>
    <w:lvl w:ilvl="0" w:tentative="0">
      <w:start w:val="1"/>
      <w:numFmt w:val="decimal"/>
      <w:lvlText w:val="（%1）"/>
      <w:lvlJc w:val="left"/>
      <w:pPr>
        <w:ind w:left="212" w:hanging="529"/>
      </w:pPr>
      <w:rPr>
        <w:rFonts w:hint="default" w:ascii="宋体" w:hAnsi="宋体" w:eastAsia="宋体" w:cs="宋体"/>
        <w:spacing w:val="-10"/>
        <w:w w:val="100"/>
        <w:sz w:val="19"/>
        <w:szCs w:val="19"/>
        <w:lang w:val="zh-CN" w:eastAsia="zh-CN" w:bidi="zh-CN"/>
      </w:rPr>
    </w:lvl>
    <w:lvl w:ilvl="1" w:tentative="0">
      <w:start w:val="0"/>
      <w:numFmt w:val="bullet"/>
      <w:lvlText w:val="•"/>
      <w:lvlJc w:val="left"/>
      <w:pPr>
        <w:ind w:left="1238" w:hanging="529"/>
      </w:pPr>
      <w:rPr>
        <w:rFonts w:hint="default"/>
        <w:lang w:val="zh-CN" w:eastAsia="zh-CN" w:bidi="zh-CN"/>
      </w:rPr>
    </w:lvl>
    <w:lvl w:ilvl="2" w:tentative="0">
      <w:start w:val="0"/>
      <w:numFmt w:val="bullet"/>
      <w:lvlText w:val="•"/>
      <w:lvlJc w:val="left"/>
      <w:pPr>
        <w:ind w:left="2257" w:hanging="529"/>
      </w:pPr>
      <w:rPr>
        <w:rFonts w:hint="default"/>
        <w:lang w:val="zh-CN" w:eastAsia="zh-CN" w:bidi="zh-CN"/>
      </w:rPr>
    </w:lvl>
    <w:lvl w:ilvl="3" w:tentative="0">
      <w:start w:val="0"/>
      <w:numFmt w:val="bullet"/>
      <w:lvlText w:val="•"/>
      <w:lvlJc w:val="left"/>
      <w:pPr>
        <w:ind w:left="3275" w:hanging="529"/>
      </w:pPr>
      <w:rPr>
        <w:rFonts w:hint="default"/>
        <w:lang w:val="zh-CN" w:eastAsia="zh-CN" w:bidi="zh-CN"/>
      </w:rPr>
    </w:lvl>
    <w:lvl w:ilvl="4" w:tentative="0">
      <w:start w:val="0"/>
      <w:numFmt w:val="bullet"/>
      <w:lvlText w:val="•"/>
      <w:lvlJc w:val="left"/>
      <w:pPr>
        <w:ind w:left="4294" w:hanging="529"/>
      </w:pPr>
      <w:rPr>
        <w:rFonts w:hint="default"/>
        <w:lang w:val="zh-CN" w:eastAsia="zh-CN" w:bidi="zh-CN"/>
      </w:rPr>
    </w:lvl>
    <w:lvl w:ilvl="5" w:tentative="0">
      <w:start w:val="0"/>
      <w:numFmt w:val="bullet"/>
      <w:lvlText w:val="•"/>
      <w:lvlJc w:val="left"/>
      <w:pPr>
        <w:ind w:left="5313" w:hanging="529"/>
      </w:pPr>
      <w:rPr>
        <w:rFonts w:hint="default"/>
        <w:lang w:val="zh-CN" w:eastAsia="zh-CN" w:bidi="zh-CN"/>
      </w:rPr>
    </w:lvl>
    <w:lvl w:ilvl="6" w:tentative="0">
      <w:start w:val="0"/>
      <w:numFmt w:val="bullet"/>
      <w:lvlText w:val="•"/>
      <w:lvlJc w:val="left"/>
      <w:pPr>
        <w:ind w:left="6331" w:hanging="529"/>
      </w:pPr>
      <w:rPr>
        <w:rFonts w:hint="default"/>
        <w:lang w:val="zh-CN" w:eastAsia="zh-CN" w:bidi="zh-CN"/>
      </w:rPr>
    </w:lvl>
    <w:lvl w:ilvl="7" w:tentative="0">
      <w:start w:val="0"/>
      <w:numFmt w:val="bullet"/>
      <w:lvlText w:val="•"/>
      <w:lvlJc w:val="left"/>
      <w:pPr>
        <w:ind w:left="7350" w:hanging="529"/>
      </w:pPr>
      <w:rPr>
        <w:rFonts w:hint="default"/>
        <w:lang w:val="zh-CN" w:eastAsia="zh-CN" w:bidi="zh-CN"/>
      </w:rPr>
    </w:lvl>
    <w:lvl w:ilvl="8" w:tentative="0">
      <w:start w:val="0"/>
      <w:numFmt w:val="bullet"/>
      <w:lvlText w:val="•"/>
      <w:lvlJc w:val="left"/>
      <w:pPr>
        <w:ind w:left="8369" w:hanging="529"/>
      </w:pPr>
      <w:rPr>
        <w:rFonts w:hint="default"/>
        <w:lang w:val="zh-CN" w:eastAsia="zh-CN" w:bidi="zh-CN"/>
      </w:rPr>
    </w:lvl>
  </w:abstractNum>
  <w:abstractNum w:abstractNumId="13">
    <w:nsid w:val="A0F05207"/>
    <w:multiLevelType w:val="multilevel"/>
    <w:tmpl w:val="A0F05207"/>
    <w:lvl w:ilvl="0" w:tentative="0">
      <w:start w:val="1"/>
      <w:numFmt w:val="decimal"/>
      <w:lvlText w:val="（%1）"/>
      <w:lvlJc w:val="left"/>
      <w:pPr>
        <w:ind w:left="1162" w:hanging="529"/>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14">
    <w:nsid w:val="AAF3F3FA"/>
    <w:multiLevelType w:val="multilevel"/>
    <w:tmpl w:val="AAF3F3FA"/>
    <w:lvl w:ilvl="0" w:tentative="0">
      <w:start w:val="1"/>
      <w:numFmt w:val="decimal"/>
      <w:lvlText w:val="%1"/>
      <w:lvlJc w:val="left"/>
      <w:pPr>
        <w:ind w:left="1264" w:hanging="632"/>
      </w:pPr>
      <w:rPr>
        <w:rFonts w:hint="default"/>
        <w:lang w:val="zh-CN" w:eastAsia="zh-CN" w:bidi="zh-CN"/>
      </w:rPr>
    </w:lvl>
    <w:lvl w:ilvl="1" w:tentative="0">
      <w:start w:val="7"/>
      <w:numFmt w:val="decimal"/>
      <w:lvlText w:val="%1.%2"/>
      <w:lvlJc w:val="left"/>
      <w:pPr>
        <w:ind w:left="1264" w:hanging="632"/>
      </w:pPr>
      <w:rPr>
        <w:rFonts w:hint="default"/>
        <w:lang w:val="zh-CN" w:eastAsia="zh-CN" w:bidi="zh-CN"/>
      </w:rPr>
    </w:lvl>
    <w:lvl w:ilvl="2" w:tentative="0">
      <w:start w:val="2"/>
      <w:numFmt w:val="decimal"/>
      <w:lvlText w:val="%1.%2.%3"/>
      <w:lvlJc w:val="left"/>
      <w:pPr>
        <w:ind w:left="1264" w:hanging="632"/>
      </w:pPr>
      <w:rPr>
        <w:rFonts w:hint="default" w:ascii="Times New Roman" w:hAnsi="Times New Roman" w:eastAsia="Times New Roman" w:cs="Times New Roman"/>
        <w:w w:val="100"/>
        <w:sz w:val="21"/>
        <w:szCs w:val="21"/>
        <w:lang w:val="zh-CN" w:eastAsia="zh-CN" w:bidi="zh-CN"/>
      </w:rPr>
    </w:lvl>
    <w:lvl w:ilvl="3" w:tentative="0">
      <w:start w:val="1"/>
      <w:numFmt w:val="decimal"/>
      <w:lvlText w:val="（%4）"/>
      <w:lvlJc w:val="left"/>
      <w:pPr>
        <w:ind w:left="212" w:hanging="529"/>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4308" w:hanging="529"/>
      </w:pPr>
      <w:rPr>
        <w:rFonts w:hint="default"/>
        <w:lang w:val="zh-CN" w:eastAsia="zh-CN" w:bidi="zh-CN"/>
      </w:rPr>
    </w:lvl>
    <w:lvl w:ilvl="5" w:tentative="0">
      <w:start w:val="0"/>
      <w:numFmt w:val="bullet"/>
      <w:lvlText w:val="•"/>
      <w:lvlJc w:val="left"/>
      <w:pPr>
        <w:ind w:left="5325" w:hanging="529"/>
      </w:pPr>
      <w:rPr>
        <w:rFonts w:hint="default"/>
        <w:lang w:val="zh-CN" w:eastAsia="zh-CN" w:bidi="zh-CN"/>
      </w:rPr>
    </w:lvl>
    <w:lvl w:ilvl="6" w:tentative="0">
      <w:start w:val="0"/>
      <w:numFmt w:val="bullet"/>
      <w:lvlText w:val="•"/>
      <w:lvlJc w:val="left"/>
      <w:pPr>
        <w:ind w:left="6341" w:hanging="529"/>
      </w:pPr>
      <w:rPr>
        <w:rFonts w:hint="default"/>
        <w:lang w:val="zh-CN" w:eastAsia="zh-CN" w:bidi="zh-CN"/>
      </w:rPr>
    </w:lvl>
    <w:lvl w:ilvl="7" w:tentative="0">
      <w:start w:val="0"/>
      <w:numFmt w:val="bullet"/>
      <w:lvlText w:val="•"/>
      <w:lvlJc w:val="left"/>
      <w:pPr>
        <w:ind w:left="7357" w:hanging="529"/>
      </w:pPr>
      <w:rPr>
        <w:rFonts w:hint="default"/>
        <w:lang w:val="zh-CN" w:eastAsia="zh-CN" w:bidi="zh-CN"/>
      </w:rPr>
    </w:lvl>
    <w:lvl w:ilvl="8" w:tentative="0">
      <w:start w:val="0"/>
      <w:numFmt w:val="bullet"/>
      <w:lvlText w:val="•"/>
      <w:lvlJc w:val="left"/>
      <w:pPr>
        <w:ind w:left="8373" w:hanging="529"/>
      </w:pPr>
      <w:rPr>
        <w:rFonts w:hint="default"/>
        <w:lang w:val="zh-CN" w:eastAsia="zh-CN" w:bidi="zh-CN"/>
      </w:rPr>
    </w:lvl>
  </w:abstractNum>
  <w:abstractNum w:abstractNumId="15">
    <w:nsid w:val="B0ED9BEA"/>
    <w:multiLevelType w:val="multilevel"/>
    <w:tmpl w:val="B0ED9BEA"/>
    <w:lvl w:ilvl="0" w:tentative="0">
      <w:start w:val="1"/>
      <w:numFmt w:val="decimal"/>
      <w:lvlText w:val="%1"/>
      <w:lvlJc w:val="left"/>
      <w:pPr>
        <w:ind w:left="212" w:hanging="632"/>
      </w:pPr>
      <w:rPr>
        <w:rFonts w:hint="default"/>
        <w:lang w:val="zh-CN" w:eastAsia="zh-CN" w:bidi="zh-CN"/>
      </w:rPr>
    </w:lvl>
    <w:lvl w:ilvl="1" w:tentative="0">
      <w:start w:val="6"/>
      <w:numFmt w:val="decimal"/>
      <w:lvlText w:val="%1.%2"/>
      <w:lvlJc w:val="left"/>
      <w:pPr>
        <w:ind w:left="212" w:hanging="632"/>
      </w:pPr>
      <w:rPr>
        <w:rFonts w:hint="default"/>
        <w:lang w:val="zh-CN" w:eastAsia="zh-CN" w:bidi="zh-CN"/>
      </w:rPr>
    </w:lvl>
    <w:lvl w:ilvl="2" w:tentative="0">
      <w:start w:val="1"/>
      <w:numFmt w:val="decimal"/>
      <w:lvlText w:val="%1.%2.%3"/>
      <w:lvlJc w:val="left"/>
      <w:pPr>
        <w:ind w:left="212" w:hanging="632"/>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75" w:hanging="632"/>
      </w:pPr>
      <w:rPr>
        <w:rFonts w:hint="default"/>
        <w:lang w:val="zh-CN" w:eastAsia="zh-CN" w:bidi="zh-CN"/>
      </w:rPr>
    </w:lvl>
    <w:lvl w:ilvl="4" w:tentative="0">
      <w:start w:val="0"/>
      <w:numFmt w:val="bullet"/>
      <w:lvlText w:val="•"/>
      <w:lvlJc w:val="left"/>
      <w:pPr>
        <w:ind w:left="4294" w:hanging="632"/>
      </w:pPr>
      <w:rPr>
        <w:rFonts w:hint="default"/>
        <w:lang w:val="zh-CN" w:eastAsia="zh-CN" w:bidi="zh-CN"/>
      </w:rPr>
    </w:lvl>
    <w:lvl w:ilvl="5" w:tentative="0">
      <w:start w:val="0"/>
      <w:numFmt w:val="bullet"/>
      <w:lvlText w:val="•"/>
      <w:lvlJc w:val="left"/>
      <w:pPr>
        <w:ind w:left="5313" w:hanging="632"/>
      </w:pPr>
      <w:rPr>
        <w:rFonts w:hint="default"/>
        <w:lang w:val="zh-CN" w:eastAsia="zh-CN" w:bidi="zh-CN"/>
      </w:rPr>
    </w:lvl>
    <w:lvl w:ilvl="6" w:tentative="0">
      <w:start w:val="0"/>
      <w:numFmt w:val="bullet"/>
      <w:lvlText w:val="•"/>
      <w:lvlJc w:val="left"/>
      <w:pPr>
        <w:ind w:left="6331" w:hanging="632"/>
      </w:pPr>
      <w:rPr>
        <w:rFonts w:hint="default"/>
        <w:lang w:val="zh-CN" w:eastAsia="zh-CN" w:bidi="zh-CN"/>
      </w:rPr>
    </w:lvl>
    <w:lvl w:ilvl="7" w:tentative="0">
      <w:start w:val="0"/>
      <w:numFmt w:val="bullet"/>
      <w:lvlText w:val="•"/>
      <w:lvlJc w:val="left"/>
      <w:pPr>
        <w:ind w:left="7350" w:hanging="632"/>
      </w:pPr>
      <w:rPr>
        <w:rFonts w:hint="default"/>
        <w:lang w:val="zh-CN" w:eastAsia="zh-CN" w:bidi="zh-CN"/>
      </w:rPr>
    </w:lvl>
    <w:lvl w:ilvl="8" w:tentative="0">
      <w:start w:val="0"/>
      <w:numFmt w:val="bullet"/>
      <w:lvlText w:val="•"/>
      <w:lvlJc w:val="left"/>
      <w:pPr>
        <w:ind w:left="8369" w:hanging="632"/>
      </w:pPr>
      <w:rPr>
        <w:rFonts w:hint="default"/>
        <w:lang w:val="zh-CN" w:eastAsia="zh-CN" w:bidi="zh-CN"/>
      </w:rPr>
    </w:lvl>
  </w:abstractNum>
  <w:abstractNum w:abstractNumId="16">
    <w:nsid w:val="B23A94A9"/>
    <w:multiLevelType w:val="multilevel"/>
    <w:tmpl w:val="B23A94A9"/>
    <w:lvl w:ilvl="0" w:tentative="0">
      <w:start w:val="1"/>
      <w:numFmt w:val="decimal"/>
      <w:lvlText w:val="（%1）"/>
      <w:lvlJc w:val="left"/>
      <w:pPr>
        <w:ind w:left="1162" w:hanging="529"/>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17">
    <w:nsid w:val="B53F3350"/>
    <w:multiLevelType w:val="multilevel"/>
    <w:tmpl w:val="B53F3350"/>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18">
    <w:nsid w:val="B8CEF35B"/>
    <w:multiLevelType w:val="multilevel"/>
    <w:tmpl w:val="B8CEF35B"/>
    <w:lvl w:ilvl="0" w:tentative="0">
      <w:start w:val="1"/>
      <w:numFmt w:val="decimal"/>
      <w:lvlText w:val="（%1）"/>
      <w:lvlJc w:val="left"/>
      <w:pPr>
        <w:ind w:left="110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30" w:hanging="529"/>
      </w:pPr>
      <w:rPr>
        <w:rFonts w:hint="default"/>
        <w:lang w:val="zh-CN" w:eastAsia="zh-CN" w:bidi="zh-CN"/>
      </w:rPr>
    </w:lvl>
    <w:lvl w:ilvl="2" w:tentative="0">
      <w:start w:val="0"/>
      <w:numFmt w:val="bullet"/>
      <w:lvlText w:val="•"/>
      <w:lvlJc w:val="left"/>
      <w:pPr>
        <w:ind w:left="2961" w:hanging="529"/>
      </w:pPr>
      <w:rPr>
        <w:rFonts w:hint="default"/>
        <w:lang w:val="zh-CN" w:eastAsia="zh-CN" w:bidi="zh-CN"/>
      </w:rPr>
    </w:lvl>
    <w:lvl w:ilvl="3" w:tentative="0">
      <w:start w:val="0"/>
      <w:numFmt w:val="bullet"/>
      <w:lvlText w:val="•"/>
      <w:lvlJc w:val="left"/>
      <w:pPr>
        <w:ind w:left="3891" w:hanging="529"/>
      </w:pPr>
      <w:rPr>
        <w:rFonts w:hint="default"/>
        <w:lang w:val="zh-CN" w:eastAsia="zh-CN" w:bidi="zh-CN"/>
      </w:rPr>
    </w:lvl>
    <w:lvl w:ilvl="4" w:tentative="0">
      <w:start w:val="0"/>
      <w:numFmt w:val="bullet"/>
      <w:lvlText w:val="•"/>
      <w:lvlJc w:val="left"/>
      <w:pPr>
        <w:ind w:left="4822" w:hanging="529"/>
      </w:pPr>
      <w:rPr>
        <w:rFonts w:hint="default"/>
        <w:lang w:val="zh-CN" w:eastAsia="zh-CN" w:bidi="zh-CN"/>
      </w:rPr>
    </w:lvl>
    <w:lvl w:ilvl="5" w:tentative="0">
      <w:start w:val="0"/>
      <w:numFmt w:val="bullet"/>
      <w:lvlText w:val="•"/>
      <w:lvlJc w:val="left"/>
      <w:pPr>
        <w:ind w:left="5753" w:hanging="529"/>
      </w:pPr>
      <w:rPr>
        <w:rFonts w:hint="default"/>
        <w:lang w:val="zh-CN" w:eastAsia="zh-CN" w:bidi="zh-CN"/>
      </w:rPr>
    </w:lvl>
    <w:lvl w:ilvl="6" w:tentative="0">
      <w:start w:val="0"/>
      <w:numFmt w:val="bullet"/>
      <w:lvlText w:val="•"/>
      <w:lvlJc w:val="left"/>
      <w:pPr>
        <w:ind w:left="6683" w:hanging="529"/>
      </w:pPr>
      <w:rPr>
        <w:rFonts w:hint="default"/>
        <w:lang w:val="zh-CN" w:eastAsia="zh-CN" w:bidi="zh-CN"/>
      </w:rPr>
    </w:lvl>
    <w:lvl w:ilvl="7" w:tentative="0">
      <w:start w:val="0"/>
      <w:numFmt w:val="bullet"/>
      <w:lvlText w:val="•"/>
      <w:lvlJc w:val="left"/>
      <w:pPr>
        <w:ind w:left="7614" w:hanging="529"/>
      </w:pPr>
      <w:rPr>
        <w:rFonts w:hint="default"/>
        <w:lang w:val="zh-CN" w:eastAsia="zh-CN" w:bidi="zh-CN"/>
      </w:rPr>
    </w:lvl>
    <w:lvl w:ilvl="8" w:tentative="0">
      <w:start w:val="0"/>
      <w:numFmt w:val="bullet"/>
      <w:lvlText w:val="•"/>
      <w:lvlJc w:val="left"/>
      <w:pPr>
        <w:ind w:left="8545" w:hanging="529"/>
      </w:pPr>
      <w:rPr>
        <w:rFonts w:hint="default"/>
        <w:lang w:val="zh-CN" w:eastAsia="zh-CN" w:bidi="zh-CN"/>
      </w:rPr>
    </w:lvl>
  </w:abstractNum>
  <w:abstractNum w:abstractNumId="19">
    <w:nsid w:val="BB64CFA9"/>
    <w:multiLevelType w:val="multilevel"/>
    <w:tmpl w:val="BB64CFA9"/>
    <w:lvl w:ilvl="0" w:tentative="0">
      <w:start w:val="1"/>
      <w:numFmt w:val="decimal"/>
      <w:lvlText w:val="（%1）"/>
      <w:lvlJc w:val="left"/>
      <w:pPr>
        <w:ind w:left="1056"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94" w:hanging="529"/>
      </w:pPr>
      <w:rPr>
        <w:rFonts w:hint="default"/>
        <w:lang w:val="zh-CN" w:eastAsia="zh-CN" w:bidi="zh-CN"/>
      </w:rPr>
    </w:lvl>
    <w:lvl w:ilvl="2" w:tentative="0">
      <w:start w:val="0"/>
      <w:numFmt w:val="bullet"/>
      <w:lvlText w:val="•"/>
      <w:lvlJc w:val="left"/>
      <w:pPr>
        <w:ind w:left="2929" w:hanging="529"/>
      </w:pPr>
      <w:rPr>
        <w:rFonts w:hint="default"/>
        <w:lang w:val="zh-CN" w:eastAsia="zh-CN" w:bidi="zh-CN"/>
      </w:rPr>
    </w:lvl>
    <w:lvl w:ilvl="3" w:tentative="0">
      <w:start w:val="0"/>
      <w:numFmt w:val="bullet"/>
      <w:lvlText w:val="•"/>
      <w:lvlJc w:val="left"/>
      <w:pPr>
        <w:ind w:left="3863" w:hanging="529"/>
      </w:pPr>
      <w:rPr>
        <w:rFonts w:hint="default"/>
        <w:lang w:val="zh-CN" w:eastAsia="zh-CN" w:bidi="zh-CN"/>
      </w:rPr>
    </w:lvl>
    <w:lvl w:ilvl="4" w:tentative="0">
      <w:start w:val="0"/>
      <w:numFmt w:val="bullet"/>
      <w:lvlText w:val="•"/>
      <w:lvlJc w:val="left"/>
      <w:pPr>
        <w:ind w:left="4798" w:hanging="529"/>
      </w:pPr>
      <w:rPr>
        <w:rFonts w:hint="default"/>
        <w:lang w:val="zh-CN" w:eastAsia="zh-CN" w:bidi="zh-CN"/>
      </w:rPr>
    </w:lvl>
    <w:lvl w:ilvl="5" w:tentative="0">
      <w:start w:val="0"/>
      <w:numFmt w:val="bullet"/>
      <w:lvlText w:val="•"/>
      <w:lvlJc w:val="left"/>
      <w:pPr>
        <w:ind w:left="5733" w:hanging="529"/>
      </w:pPr>
      <w:rPr>
        <w:rFonts w:hint="default"/>
        <w:lang w:val="zh-CN" w:eastAsia="zh-CN" w:bidi="zh-CN"/>
      </w:rPr>
    </w:lvl>
    <w:lvl w:ilvl="6" w:tentative="0">
      <w:start w:val="0"/>
      <w:numFmt w:val="bullet"/>
      <w:lvlText w:val="•"/>
      <w:lvlJc w:val="left"/>
      <w:pPr>
        <w:ind w:left="6667" w:hanging="529"/>
      </w:pPr>
      <w:rPr>
        <w:rFonts w:hint="default"/>
        <w:lang w:val="zh-CN" w:eastAsia="zh-CN" w:bidi="zh-CN"/>
      </w:rPr>
    </w:lvl>
    <w:lvl w:ilvl="7" w:tentative="0">
      <w:start w:val="0"/>
      <w:numFmt w:val="bullet"/>
      <w:lvlText w:val="•"/>
      <w:lvlJc w:val="left"/>
      <w:pPr>
        <w:ind w:left="7602" w:hanging="529"/>
      </w:pPr>
      <w:rPr>
        <w:rFonts w:hint="default"/>
        <w:lang w:val="zh-CN" w:eastAsia="zh-CN" w:bidi="zh-CN"/>
      </w:rPr>
    </w:lvl>
    <w:lvl w:ilvl="8" w:tentative="0">
      <w:start w:val="0"/>
      <w:numFmt w:val="bullet"/>
      <w:lvlText w:val="•"/>
      <w:lvlJc w:val="left"/>
      <w:pPr>
        <w:ind w:left="8537" w:hanging="529"/>
      </w:pPr>
      <w:rPr>
        <w:rFonts w:hint="default"/>
        <w:lang w:val="zh-CN" w:eastAsia="zh-CN" w:bidi="zh-CN"/>
      </w:rPr>
    </w:lvl>
  </w:abstractNum>
  <w:abstractNum w:abstractNumId="20">
    <w:nsid w:val="BCECA0B4"/>
    <w:multiLevelType w:val="multilevel"/>
    <w:tmpl w:val="BCECA0B4"/>
    <w:lvl w:ilvl="0" w:tentative="0">
      <w:start w:val="11"/>
      <w:numFmt w:val="decimal"/>
      <w:lvlText w:val="%1"/>
      <w:lvlJc w:val="left"/>
      <w:pPr>
        <w:ind w:left="969" w:hanging="620"/>
      </w:pPr>
      <w:rPr>
        <w:rFonts w:hint="default"/>
        <w:lang w:val="zh-CN" w:eastAsia="zh-CN" w:bidi="zh-CN"/>
      </w:rPr>
    </w:lvl>
    <w:lvl w:ilvl="1" w:tentative="0">
      <w:start w:val="5"/>
      <w:numFmt w:val="decimal"/>
      <w:lvlText w:val="%1.%2"/>
      <w:lvlJc w:val="left"/>
      <w:pPr>
        <w:ind w:left="969" w:hanging="620"/>
      </w:pPr>
      <w:rPr>
        <w:rFonts w:hint="default" w:ascii="Times New Roman" w:hAnsi="Times New Roman" w:eastAsia="Times New Roman" w:cs="Times New Roman"/>
        <w:spacing w:val="-11"/>
        <w:w w:val="100"/>
        <w:sz w:val="28"/>
        <w:szCs w:val="28"/>
        <w:lang w:val="zh-CN" w:eastAsia="zh-CN" w:bidi="zh-CN"/>
      </w:rPr>
    </w:lvl>
    <w:lvl w:ilvl="2" w:tentative="0">
      <w:start w:val="1"/>
      <w:numFmt w:val="lowerLetter"/>
      <w:lvlText w:val="(%3)"/>
      <w:lvlJc w:val="left"/>
      <w:pPr>
        <w:ind w:left="1161" w:hanging="423"/>
      </w:pPr>
      <w:rPr>
        <w:rFonts w:hint="default" w:ascii="宋体" w:hAnsi="宋体" w:eastAsia="宋体" w:cs="宋体"/>
        <w:w w:val="100"/>
        <w:sz w:val="21"/>
        <w:szCs w:val="21"/>
        <w:lang w:val="zh-CN" w:eastAsia="zh-CN" w:bidi="zh-CN"/>
      </w:rPr>
    </w:lvl>
    <w:lvl w:ilvl="3" w:tentative="0">
      <w:start w:val="0"/>
      <w:numFmt w:val="bullet"/>
      <w:lvlText w:val="•"/>
      <w:lvlJc w:val="left"/>
      <w:pPr>
        <w:ind w:left="3214" w:hanging="423"/>
      </w:pPr>
      <w:rPr>
        <w:rFonts w:hint="default"/>
        <w:lang w:val="zh-CN" w:eastAsia="zh-CN" w:bidi="zh-CN"/>
      </w:rPr>
    </w:lvl>
    <w:lvl w:ilvl="4" w:tentative="0">
      <w:start w:val="0"/>
      <w:numFmt w:val="bullet"/>
      <w:lvlText w:val="•"/>
      <w:lvlJc w:val="left"/>
      <w:pPr>
        <w:ind w:left="4242" w:hanging="423"/>
      </w:pPr>
      <w:rPr>
        <w:rFonts w:hint="default"/>
        <w:lang w:val="zh-CN" w:eastAsia="zh-CN" w:bidi="zh-CN"/>
      </w:rPr>
    </w:lvl>
    <w:lvl w:ilvl="5" w:tentative="0">
      <w:start w:val="0"/>
      <w:numFmt w:val="bullet"/>
      <w:lvlText w:val="•"/>
      <w:lvlJc w:val="left"/>
      <w:pPr>
        <w:ind w:left="5269" w:hanging="423"/>
      </w:pPr>
      <w:rPr>
        <w:rFonts w:hint="default"/>
        <w:lang w:val="zh-CN" w:eastAsia="zh-CN" w:bidi="zh-CN"/>
      </w:rPr>
    </w:lvl>
    <w:lvl w:ilvl="6" w:tentative="0">
      <w:start w:val="0"/>
      <w:numFmt w:val="bullet"/>
      <w:lvlText w:val="•"/>
      <w:lvlJc w:val="left"/>
      <w:pPr>
        <w:ind w:left="6296" w:hanging="423"/>
      </w:pPr>
      <w:rPr>
        <w:rFonts w:hint="default"/>
        <w:lang w:val="zh-CN" w:eastAsia="zh-CN" w:bidi="zh-CN"/>
      </w:rPr>
    </w:lvl>
    <w:lvl w:ilvl="7" w:tentative="0">
      <w:start w:val="0"/>
      <w:numFmt w:val="bullet"/>
      <w:lvlText w:val="•"/>
      <w:lvlJc w:val="left"/>
      <w:pPr>
        <w:ind w:left="7324" w:hanging="423"/>
      </w:pPr>
      <w:rPr>
        <w:rFonts w:hint="default"/>
        <w:lang w:val="zh-CN" w:eastAsia="zh-CN" w:bidi="zh-CN"/>
      </w:rPr>
    </w:lvl>
    <w:lvl w:ilvl="8" w:tentative="0">
      <w:start w:val="0"/>
      <w:numFmt w:val="bullet"/>
      <w:lvlText w:val="•"/>
      <w:lvlJc w:val="left"/>
      <w:pPr>
        <w:ind w:left="8351" w:hanging="423"/>
      </w:pPr>
      <w:rPr>
        <w:rFonts w:hint="default"/>
        <w:lang w:val="zh-CN" w:eastAsia="zh-CN" w:bidi="zh-CN"/>
      </w:rPr>
    </w:lvl>
  </w:abstractNum>
  <w:abstractNum w:abstractNumId="21">
    <w:nsid w:val="BDA1395C"/>
    <w:multiLevelType w:val="multilevel"/>
    <w:tmpl w:val="BDA1395C"/>
    <w:lvl w:ilvl="0" w:tentative="0">
      <w:start w:val="1"/>
      <w:numFmt w:val="decimal"/>
      <w:lvlText w:val="%1"/>
      <w:lvlJc w:val="left"/>
      <w:pPr>
        <w:ind w:left="909" w:hanging="560"/>
      </w:pPr>
      <w:rPr>
        <w:rFonts w:hint="default"/>
        <w:lang w:val="zh-CN" w:eastAsia="zh-CN" w:bidi="zh-CN"/>
      </w:rPr>
    </w:lvl>
    <w:lvl w:ilvl="1" w:tentative="0">
      <w:start w:val="4"/>
      <w:numFmt w:val="decimal"/>
      <w:lvlText w:val="%1.%2"/>
      <w:lvlJc w:val="left"/>
      <w:pPr>
        <w:ind w:left="909" w:hanging="560"/>
      </w:pPr>
      <w:rPr>
        <w:rFonts w:hint="default" w:ascii="黑体" w:hAnsi="黑体" w:eastAsia="黑体" w:cs="黑体"/>
        <w:spacing w:val="-2"/>
        <w:w w:val="100"/>
        <w:sz w:val="28"/>
        <w:szCs w:val="28"/>
        <w:lang w:val="zh-CN" w:eastAsia="zh-CN" w:bidi="zh-CN"/>
      </w:rPr>
    </w:lvl>
    <w:lvl w:ilvl="2" w:tentative="0">
      <w:start w:val="1"/>
      <w:numFmt w:val="decimal"/>
      <w:lvlText w:val="（%3）"/>
      <w:lvlJc w:val="left"/>
      <w:pPr>
        <w:ind w:left="1162" w:hanging="529"/>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214" w:hanging="529"/>
      </w:pPr>
      <w:rPr>
        <w:rFonts w:hint="default"/>
        <w:lang w:val="zh-CN" w:eastAsia="zh-CN" w:bidi="zh-CN"/>
      </w:rPr>
    </w:lvl>
    <w:lvl w:ilvl="4" w:tentative="0">
      <w:start w:val="0"/>
      <w:numFmt w:val="bullet"/>
      <w:lvlText w:val="•"/>
      <w:lvlJc w:val="left"/>
      <w:pPr>
        <w:ind w:left="4242" w:hanging="529"/>
      </w:pPr>
      <w:rPr>
        <w:rFonts w:hint="default"/>
        <w:lang w:val="zh-CN" w:eastAsia="zh-CN" w:bidi="zh-CN"/>
      </w:rPr>
    </w:lvl>
    <w:lvl w:ilvl="5" w:tentative="0">
      <w:start w:val="0"/>
      <w:numFmt w:val="bullet"/>
      <w:lvlText w:val="•"/>
      <w:lvlJc w:val="left"/>
      <w:pPr>
        <w:ind w:left="5269" w:hanging="529"/>
      </w:pPr>
      <w:rPr>
        <w:rFonts w:hint="default"/>
        <w:lang w:val="zh-CN" w:eastAsia="zh-CN" w:bidi="zh-CN"/>
      </w:rPr>
    </w:lvl>
    <w:lvl w:ilvl="6" w:tentative="0">
      <w:start w:val="0"/>
      <w:numFmt w:val="bullet"/>
      <w:lvlText w:val="•"/>
      <w:lvlJc w:val="left"/>
      <w:pPr>
        <w:ind w:left="6296" w:hanging="529"/>
      </w:pPr>
      <w:rPr>
        <w:rFonts w:hint="default"/>
        <w:lang w:val="zh-CN" w:eastAsia="zh-CN" w:bidi="zh-CN"/>
      </w:rPr>
    </w:lvl>
    <w:lvl w:ilvl="7" w:tentative="0">
      <w:start w:val="0"/>
      <w:numFmt w:val="bullet"/>
      <w:lvlText w:val="•"/>
      <w:lvlJc w:val="left"/>
      <w:pPr>
        <w:ind w:left="7324" w:hanging="529"/>
      </w:pPr>
      <w:rPr>
        <w:rFonts w:hint="default"/>
        <w:lang w:val="zh-CN" w:eastAsia="zh-CN" w:bidi="zh-CN"/>
      </w:rPr>
    </w:lvl>
    <w:lvl w:ilvl="8" w:tentative="0">
      <w:start w:val="0"/>
      <w:numFmt w:val="bullet"/>
      <w:lvlText w:val="•"/>
      <w:lvlJc w:val="left"/>
      <w:pPr>
        <w:ind w:left="8351" w:hanging="529"/>
      </w:pPr>
      <w:rPr>
        <w:rFonts w:hint="default"/>
        <w:lang w:val="zh-CN" w:eastAsia="zh-CN" w:bidi="zh-CN"/>
      </w:rPr>
    </w:lvl>
  </w:abstractNum>
  <w:abstractNum w:abstractNumId="22">
    <w:nsid w:val="BE8A4F4C"/>
    <w:multiLevelType w:val="multilevel"/>
    <w:tmpl w:val="BE8A4F4C"/>
    <w:lvl w:ilvl="0" w:tentative="0">
      <w:start w:val="6"/>
      <w:numFmt w:val="decimal"/>
      <w:lvlText w:val="%1"/>
      <w:lvlJc w:val="left"/>
      <w:pPr>
        <w:ind w:left="558" w:hanging="210"/>
      </w:pPr>
      <w:rPr>
        <w:rFonts w:hint="default" w:ascii="黑体" w:hAnsi="黑体" w:eastAsia="黑体" w:cs="黑体"/>
        <w:w w:val="100"/>
        <w:sz w:val="28"/>
        <w:szCs w:val="28"/>
        <w:lang w:val="zh-CN" w:eastAsia="zh-CN" w:bidi="zh-CN"/>
      </w:rPr>
    </w:lvl>
    <w:lvl w:ilvl="1" w:tentative="0">
      <w:start w:val="1"/>
      <w:numFmt w:val="decimal"/>
      <w:lvlText w:val="%1.%2"/>
      <w:lvlJc w:val="left"/>
      <w:pPr>
        <w:ind w:left="1055" w:hanging="423"/>
      </w:pPr>
      <w:rPr>
        <w:rFonts w:hint="default"/>
        <w:w w:val="100"/>
        <w:lang w:val="zh-CN" w:eastAsia="zh-CN" w:bidi="zh-CN"/>
      </w:rPr>
    </w:lvl>
    <w:lvl w:ilvl="2" w:tentative="0">
      <w:start w:val="1"/>
      <w:numFmt w:val="decimal"/>
      <w:lvlText w:val="%1.%2.%3"/>
      <w:lvlJc w:val="left"/>
      <w:pPr>
        <w:ind w:left="1264" w:hanging="423"/>
      </w:pPr>
      <w:rPr>
        <w:rFonts w:hint="default" w:ascii="宋体" w:hAnsi="宋体" w:eastAsia="宋体" w:cs="宋体"/>
        <w:w w:val="100"/>
        <w:sz w:val="21"/>
        <w:szCs w:val="21"/>
        <w:lang w:val="zh-CN" w:eastAsia="zh-CN" w:bidi="zh-CN"/>
      </w:rPr>
    </w:lvl>
    <w:lvl w:ilvl="3" w:tentative="0">
      <w:start w:val="0"/>
      <w:numFmt w:val="bullet"/>
      <w:lvlText w:val="•"/>
      <w:lvlJc w:val="left"/>
      <w:pPr>
        <w:ind w:left="1260" w:hanging="423"/>
      </w:pPr>
      <w:rPr>
        <w:rFonts w:hint="default"/>
        <w:lang w:val="zh-CN" w:eastAsia="zh-CN" w:bidi="zh-CN"/>
      </w:rPr>
    </w:lvl>
    <w:lvl w:ilvl="4" w:tentative="0">
      <w:start w:val="0"/>
      <w:numFmt w:val="bullet"/>
      <w:lvlText w:val="•"/>
      <w:lvlJc w:val="left"/>
      <w:pPr>
        <w:ind w:left="2566" w:hanging="423"/>
      </w:pPr>
      <w:rPr>
        <w:rFonts w:hint="default"/>
        <w:lang w:val="zh-CN" w:eastAsia="zh-CN" w:bidi="zh-CN"/>
      </w:rPr>
    </w:lvl>
    <w:lvl w:ilvl="5" w:tentative="0">
      <w:start w:val="0"/>
      <w:numFmt w:val="bullet"/>
      <w:lvlText w:val="•"/>
      <w:lvlJc w:val="left"/>
      <w:pPr>
        <w:ind w:left="3873" w:hanging="423"/>
      </w:pPr>
      <w:rPr>
        <w:rFonts w:hint="default"/>
        <w:lang w:val="zh-CN" w:eastAsia="zh-CN" w:bidi="zh-CN"/>
      </w:rPr>
    </w:lvl>
    <w:lvl w:ilvl="6" w:tentative="0">
      <w:start w:val="0"/>
      <w:numFmt w:val="bullet"/>
      <w:lvlText w:val="•"/>
      <w:lvlJc w:val="left"/>
      <w:pPr>
        <w:ind w:left="5179" w:hanging="423"/>
      </w:pPr>
      <w:rPr>
        <w:rFonts w:hint="default"/>
        <w:lang w:val="zh-CN" w:eastAsia="zh-CN" w:bidi="zh-CN"/>
      </w:rPr>
    </w:lvl>
    <w:lvl w:ilvl="7" w:tentative="0">
      <w:start w:val="0"/>
      <w:numFmt w:val="bullet"/>
      <w:lvlText w:val="•"/>
      <w:lvlJc w:val="left"/>
      <w:pPr>
        <w:ind w:left="6486" w:hanging="423"/>
      </w:pPr>
      <w:rPr>
        <w:rFonts w:hint="default"/>
        <w:lang w:val="zh-CN" w:eastAsia="zh-CN" w:bidi="zh-CN"/>
      </w:rPr>
    </w:lvl>
    <w:lvl w:ilvl="8" w:tentative="0">
      <w:start w:val="0"/>
      <w:numFmt w:val="bullet"/>
      <w:lvlText w:val="•"/>
      <w:lvlJc w:val="left"/>
      <w:pPr>
        <w:ind w:left="7793" w:hanging="423"/>
      </w:pPr>
      <w:rPr>
        <w:rFonts w:hint="default"/>
        <w:lang w:val="zh-CN" w:eastAsia="zh-CN" w:bidi="zh-CN"/>
      </w:rPr>
    </w:lvl>
  </w:abstractNum>
  <w:abstractNum w:abstractNumId="23">
    <w:nsid w:val="BF50FE6B"/>
    <w:multiLevelType w:val="multilevel"/>
    <w:tmpl w:val="BF50FE6B"/>
    <w:lvl w:ilvl="0" w:tentative="0">
      <w:start w:val="27"/>
      <w:numFmt w:val="decimal"/>
      <w:lvlText w:val="%1"/>
      <w:lvlJc w:val="left"/>
      <w:pPr>
        <w:ind w:left="1164" w:hanging="529"/>
      </w:pPr>
      <w:rPr>
        <w:rFonts w:hint="default"/>
        <w:lang w:val="zh-CN" w:eastAsia="zh-CN" w:bidi="zh-CN"/>
      </w:rPr>
    </w:lvl>
    <w:lvl w:ilvl="1" w:tentative="0">
      <w:start w:val="3"/>
      <w:numFmt w:val="decimal"/>
      <w:lvlText w:val="%1.%2."/>
      <w:lvlJc w:val="left"/>
      <w:pPr>
        <w:ind w:left="1164" w:hanging="529"/>
      </w:pPr>
      <w:rPr>
        <w:rFonts w:hint="default" w:ascii="宋体" w:hAnsi="宋体" w:eastAsia="宋体" w:cs="宋体"/>
        <w:b/>
        <w:bCs/>
        <w:spacing w:val="-1"/>
        <w:w w:val="99"/>
        <w:sz w:val="19"/>
        <w:szCs w:val="19"/>
        <w:lang w:val="zh-CN" w:eastAsia="zh-CN" w:bidi="zh-CN"/>
      </w:rPr>
    </w:lvl>
    <w:lvl w:ilvl="2" w:tentative="0">
      <w:start w:val="1"/>
      <w:numFmt w:val="decimal"/>
      <w:lvlText w:val="%1.%2.%3"/>
      <w:lvlJc w:val="left"/>
      <w:pPr>
        <w:ind w:left="212" w:hanging="689"/>
      </w:pPr>
      <w:rPr>
        <w:rFonts w:hint="default" w:ascii="宋体" w:hAnsi="宋体" w:eastAsia="宋体" w:cs="宋体"/>
        <w:b/>
        <w:bCs/>
        <w:w w:val="99"/>
        <w:sz w:val="21"/>
        <w:szCs w:val="21"/>
        <w:lang w:val="zh-CN" w:eastAsia="zh-CN" w:bidi="zh-CN"/>
      </w:rPr>
    </w:lvl>
    <w:lvl w:ilvl="3" w:tentative="0">
      <w:start w:val="0"/>
      <w:numFmt w:val="bullet"/>
      <w:lvlText w:val="•"/>
      <w:lvlJc w:val="left"/>
      <w:pPr>
        <w:ind w:left="3214" w:hanging="689"/>
      </w:pPr>
      <w:rPr>
        <w:rFonts w:hint="default"/>
        <w:lang w:val="zh-CN" w:eastAsia="zh-CN" w:bidi="zh-CN"/>
      </w:rPr>
    </w:lvl>
    <w:lvl w:ilvl="4" w:tentative="0">
      <w:start w:val="0"/>
      <w:numFmt w:val="bullet"/>
      <w:lvlText w:val="•"/>
      <w:lvlJc w:val="left"/>
      <w:pPr>
        <w:ind w:left="4242" w:hanging="689"/>
      </w:pPr>
      <w:rPr>
        <w:rFonts w:hint="default"/>
        <w:lang w:val="zh-CN" w:eastAsia="zh-CN" w:bidi="zh-CN"/>
      </w:rPr>
    </w:lvl>
    <w:lvl w:ilvl="5" w:tentative="0">
      <w:start w:val="0"/>
      <w:numFmt w:val="bullet"/>
      <w:lvlText w:val="•"/>
      <w:lvlJc w:val="left"/>
      <w:pPr>
        <w:ind w:left="5269" w:hanging="689"/>
      </w:pPr>
      <w:rPr>
        <w:rFonts w:hint="default"/>
        <w:lang w:val="zh-CN" w:eastAsia="zh-CN" w:bidi="zh-CN"/>
      </w:rPr>
    </w:lvl>
    <w:lvl w:ilvl="6" w:tentative="0">
      <w:start w:val="0"/>
      <w:numFmt w:val="bullet"/>
      <w:lvlText w:val="•"/>
      <w:lvlJc w:val="left"/>
      <w:pPr>
        <w:ind w:left="6296" w:hanging="689"/>
      </w:pPr>
      <w:rPr>
        <w:rFonts w:hint="default"/>
        <w:lang w:val="zh-CN" w:eastAsia="zh-CN" w:bidi="zh-CN"/>
      </w:rPr>
    </w:lvl>
    <w:lvl w:ilvl="7" w:tentative="0">
      <w:start w:val="0"/>
      <w:numFmt w:val="bullet"/>
      <w:lvlText w:val="•"/>
      <w:lvlJc w:val="left"/>
      <w:pPr>
        <w:ind w:left="7324" w:hanging="689"/>
      </w:pPr>
      <w:rPr>
        <w:rFonts w:hint="default"/>
        <w:lang w:val="zh-CN" w:eastAsia="zh-CN" w:bidi="zh-CN"/>
      </w:rPr>
    </w:lvl>
    <w:lvl w:ilvl="8" w:tentative="0">
      <w:start w:val="0"/>
      <w:numFmt w:val="bullet"/>
      <w:lvlText w:val="•"/>
      <w:lvlJc w:val="left"/>
      <w:pPr>
        <w:ind w:left="8351" w:hanging="689"/>
      </w:pPr>
      <w:rPr>
        <w:rFonts w:hint="default"/>
        <w:lang w:val="zh-CN" w:eastAsia="zh-CN" w:bidi="zh-CN"/>
      </w:rPr>
    </w:lvl>
  </w:abstractNum>
  <w:abstractNum w:abstractNumId="24">
    <w:nsid w:val="C0915F4F"/>
    <w:multiLevelType w:val="multilevel"/>
    <w:tmpl w:val="C0915F4F"/>
    <w:lvl w:ilvl="0" w:tentative="0">
      <w:start w:val="1"/>
      <w:numFmt w:val="decimal"/>
      <w:lvlText w:val="（%1）"/>
      <w:lvlJc w:val="left"/>
      <w:pPr>
        <w:ind w:left="212" w:hanging="529"/>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1238" w:hanging="529"/>
      </w:pPr>
      <w:rPr>
        <w:rFonts w:hint="default"/>
        <w:lang w:val="zh-CN" w:eastAsia="zh-CN" w:bidi="zh-CN"/>
      </w:rPr>
    </w:lvl>
    <w:lvl w:ilvl="2" w:tentative="0">
      <w:start w:val="0"/>
      <w:numFmt w:val="bullet"/>
      <w:lvlText w:val="•"/>
      <w:lvlJc w:val="left"/>
      <w:pPr>
        <w:ind w:left="2257" w:hanging="529"/>
      </w:pPr>
      <w:rPr>
        <w:rFonts w:hint="default"/>
        <w:lang w:val="zh-CN" w:eastAsia="zh-CN" w:bidi="zh-CN"/>
      </w:rPr>
    </w:lvl>
    <w:lvl w:ilvl="3" w:tentative="0">
      <w:start w:val="0"/>
      <w:numFmt w:val="bullet"/>
      <w:lvlText w:val="•"/>
      <w:lvlJc w:val="left"/>
      <w:pPr>
        <w:ind w:left="3275" w:hanging="529"/>
      </w:pPr>
      <w:rPr>
        <w:rFonts w:hint="default"/>
        <w:lang w:val="zh-CN" w:eastAsia="zh-CN" w:bidi="zh-CN"/>
      </w:rPr>
    </w:lvl>
    <w:lvl w:ilvl="4" w:tentative="0">
      <w:start w:val="0"/>
      <w:numFmt w:val="bullet"/>
      <w:lvlText w:val="•"/>
      <w:lvlJc w:val="left"/>
      <w:pPr>
        <w:ind w:left="4294" w:hanging="529"/>
      </w:pPr>
      <w:rPr>
        <w:rFonts w:hint="default"/>
        <w:lang w:val="zh-CN" w:eastAsia="zh-CN" w:bidi="zh-CN"/>
      </w:rPr>
    </w:lvl>
    <w:lvl w:ilvl="5" w:tentative="0">
      <w:start w:val="0"/>
      <w:numFmt w:val="bullet"/>
      <w:lvlText w:val="•"/>
      <w:lvlJc w:val="left"/>
      <w:pPr>
        <w:ind w:left="5313" w:hanging="529"/>
      </w:pPr>
      <w:rPr>
        <w:rFonts w:hint="default"/>
        <w:lang w:val="zh-CN" w:eastAsia="zh-CN" w:bidi="zh-CN"/>
      </w:rPr>
    </w:lvl>
    <w:lvl w:ilvl="6" w:tentative="0">
      <w:start w:val="0"/>
      <w:numFmt w:val="bullet"/>
      <w:lvlText w:val="•"/>
      <w:lvlJc w:val="left"/>
      <w:pPr>
        <w:ind w:left="6331" w:hanging="529"/>
      </w:pPr>
      <w:rPr>
        <w:rFonts w:hint="default"/>
        <w:lang w:val="zh-CN" w:eastAsia="zh-CN" w:bidi="zh-CN"/>
      </w:rPr>
    </w:lvl>
    <w:lvl w:ilvl="7" w:tentative="0">
      <w:start w:val="0"/>
      <w:numFmt w:val="bullet"/>
      <w:lvlText w:val="•"/>
      <w:lvlJc w:val="left"/>
      <w:pPr>
        <w:ind w:left="7350" w:hanging="529"/>
      </w:pPr>
      <w:rPr>
        <w:rFonts w:hint="default"/>
        <w:lang w:val="zh-CN" w:eastAsia="zh-CN" w:bidi="zh-CN"/>
      </w:rPr>
    </w:lvl>
    <w:lvl w:ilvl="8" w:tentative="0">
      <w:start w:val="0"/>
      <w:numFmt w:val="bullet"/>
      <w:lvlText w:val="•"/>
      <w:lvlJc w:val="left"/>
      <w:pPr>
        <w:ind w:left="8369" w:hanging="529"/>
      </w:pPr>
      <w:rPr>
        <w:rFonts w:hint="default"/>
        <w:lang w:val="zh-CN" w:eastAsia="zh-CN" w:bidi="zh-CN"/>
      </w:rPr>
    </w:lvl>
  </w:abstractNum>
  <w:abstractNum w:abstractNumId="25">
    <w:nsid w:val="C4E0D24A"/>
    <w:multiLevelType w:val="multilevel"/>
    <w:tmpl w:val="C4E0D24A"/>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26">
    <w:nsid w:val="C90D1B09"/>
    <w:multiLevelType w:val="multilevel"/>
    <w:tmpl w:val="C90D1B09"/>
    <w:lvl w:ilvl="0" w:tentative="0">
      <w:start w:val="27"/>
      <w:numFmt w:val="decimal"/>
      <w:lvlText w:val="%1"/>
      <w:lvlJc w:val="left"/>
      <w:pPr>
        <w:ind w:left="1059" w:hanging="424"/>
      </w:pPr>
      <w:rPr>
        <w:rFonts w:hint="default"/>
        <w:lang w:val="zh-CN" w:eastAsia="zh-CN" w:bidi="zh-CN"/>
      </w:rPr>
    </w:lvl>
    <w:lvl w:ilvl="1" w:tentative="0">
      <w:start w:val="4"/>
      <w:numFmt w:val="decimal"/>
      <w:lvlText w:val="%1.%2"/>
      <w:lvlJc w:val="left"/>
      <w:pPr>
        <w:ind w:left="1059" w:hanging="424"/>
      </w:pPr>
      <w:rPr>
        <w:rFonts w:hint="default" w:ascii="宋体" w:hAnsi="宋体" w:eastAsia="宋体" w:cs="宋体"/>
        <w:b/>
        <w:bCs/>
        <w:w w:val="99"/>
        <w:sz w:val="19"/>
        <w:szCs w:val="19"/>
        <w:lang w:val="zh-CN" w:eastAsia="zh-CN" w:bidi="zh-CN"/>
      </w:rPr>
    </w:lvl>
    <w:lvl w:ilvl="2" w:tentative="0">
      <w:start w:val="1"/>
      <w:numFmt w:val="decimal"/>
      <w:lvlText w:val="%1.%2.%3"/>
      <w:lvlJc w:val="left"/>
      <w:pPr>
        <w:ind w:left="212" w:hanging="742"/>
      </w:pPr>
      <w:rPr>
        <w:rFonts w:hint="default" w:ascii="宋体" w:hAnsi="宋体" w:eastAsia="宋体" w:cs="宋体"/>
        <w:b/>
        <w:bCs/>
        <w:w w:val="99"/>
        <w:sz w:val="21"/>
        <w:szCs w:val="21"/>
        <w:lang w:val="zh-CN" w:eastAsia="zh-CN" w:bidi="zh-CN"/>
      </w:rPr>
    </w:lvl>
    <w:lvl w:ilvl="3" w:tentative="0">
      <w:start w:val="0"/>
      <w:numFmt w:val="bullet"/>
      <w:lvlText w:val="•"/>
      <w:lvlJc w:val="left"/>
      <w:pPr>
        <w:ind w:left="3136" w:hanging="742"/>
      </w:pPr>
      <w:rPr>
        <w:rFonts w:hint="default"/>
        <w:lang w:val="zh-CN" w:eastAsia="zh-CN" w:bidi="zh-CN"/>
      </w:rPr>
    </w:lvl>
    <w:lvl w:ilvl="4" w:tentative="0">
      <w:start w:val="0"/>
      <w:numFmt w:val="bullet"/>
      <w:lvlText w:val="•"/>
      <w:lvlJc w:val="left"/>
      <w:pPr>
        <w:ind w:left="4175" w:hanging="742"/>
      </w:pPr>
      <w:rPr>
        <w:rFonts w:hint="default"/>
        <w:lang w:val="zh-CN" w:eastAsia="zh-CN" w:bidi="zh-CN"/>
      </w:rPr>
    </w:lvl>
    <w:lvl w:ilvl="5" w:tentative="0">
      <w:start w:val="0"/>
      <w:numFmt w:val="bullet"/>
      <w:lvlText w:val="•"/>
      <w:lvlJc w:val="left"/>
      <w:pPr>
        <w:ind w:left="5213" w:hanging="742"/>
      </w:pPr>
      <w:rPr>
        <w:rFonts w:hint="default"/>
        <w:lang w:val="zh-CN" w:eastAsia="zh-CN" w:bidi="zh-CN"/>
      </w:rPr>
    </w:lvl>
    <w:lvl w:ilvl="6" w:tentative="0">
      <w:start w:val="0"/>
      <w:numFmt w:val="bullet"/>
      <w:lvlText w:val="•"/>
      <w:lvlJc w:val="left"/>
      <w:pPr>
        <w:ind w:left="6252" w:hanging="742"/>
      </w:pPr>
      <w:rPr>
        <w:rFonts w:hint="default"/>
        <w:lang w:val="zh-CN" w:eastAsia="zh-CN" w:bidi="zh-CN"/>
      </w:rPr>
    </w:lvl>
    <w:lvl w:ilvl="7" w:tentative="0">
      <w:start w:val="0"/>
      <w:numFmt w:val="bullet"/>
      <w:lvlText w:val="•"/>
      <w:lvlJc w:val="left"/>
      <w:pPr>
        <w:ind w:left="7290" w:hanging="742"/>
      </w:pPr>
      <w:rPr>
        <w:rFonts w:hint="default"/>
        <w:lang w:val="zh-CN" w:eastAsia="zh-CN" w:bidi="zh-CN"/>
      </w:rPr>
    </w:lvl>
    <w:lvl w:ilvl="8" w:tentative="0">
      <w:start w:val="0"/>
      <w:numFmt w:val="bullet"/>
      <w:lvlText w:val="•"/>
      <w:lvlJc w:val="left"/>
      <w:pPr>
        <w:ind w:left="8329" w:hanging="742"/>
      </w:pPr>
      <w:rPr>
        <w:rFonts w:hint="default"/>
        <w:lang w:val="zh-CN" w:eastAsia="zh-CN" w:bidi="zh-CN"/>
      </w:rPr>
    </w:lvl>
  </w:abstractNum>
  <w:abstractNum w:abstractNumId="27">
    <w:nsid w:val="CD699D1D"/>
    <w:multiLevelType w:val="multilevel"/>
    <w:tmpl w:val="CD699D1D"/>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28">
    <w:nsid w:val="D1EB1714"/>
    <w:multiLevelType w:val="multilevel"/>
    <w:tmpl w:val="D1EB1714"/>
    <w:lvl w:ilvl="0" w:tentative="0">
      <w:start w:val="9"/>
      <w:numFmt w:val="decimal"/>
      <w:lvlText w:val="%1"/>
      <w:lvlJc w:val="left"/>
      <w:pPr>
        <w:ind w:left="530" w:hanging="318"/>
      </w:pPr>
      <w:rPr>
        <w:rFonts w:hint="default"/>
        <w:lang w:val="zh-CN" w:eastAsia="zh-CN" w:bidi="zh-CN"/>
      </w:rPr>
    </w:lvl>
    <w:lvl w:ilvl="1" w:tentative="0">
      <w:start w:val="1"/>
      <w:numFmt w:val="decimal"/>
      <w:lvlText w:val="%1.%2"/>
      <w:lvlJc w:val="left"/>
      <w:pPr>
        <w:ind w:left="530" w:hanging="318"/>
      </w:pPr>
      <w:rPr>
        <w:rFonts w:hint="default" w:ascii="宋体" w:hAnsi="宋体" w:eastAsia="宋体" w:cs="宋体"/>
        <w:b/>
        <w:bCs/>
        <w:w w:val="99"/>
        <w:sz w:val="19"/>
        <w:szCs w:val="19"/>
        <w:lang w:val="zh-CN" w:eastAsia="zh-CN" w:bidi="zh-CN"/>
      </w:rPr>
    </w:lvl>
    <w:lvl w:ilvl="2" w:tentative="0">
      <w:start w:val="1"/>
      <w:numFmt w:val="decimal"/>
      <w:lvlText w:val="%1.%2.%3"/>
      <w:lvlJc w:val="left"/>
      <w:pPr>
        <w:ind w:left="738" w:hanging="527"/>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2888" w:hanging="527"/>
      </w:pPr>
      <w:rPr>
        <w:rFonts w:hint="default"/>
        <w:lang w:val="zh-CN" w:eastAsia="zh-CN" w:bidi="zh-CN"/>
      </w:rPr>
    </w:lvl>
    <w:lvl w:ilvl="4" w:tentative="0">
      <w:start w:val="0"/>
      <w:numFmt w:val="bullet"/>
      <w:lvlText w:val="•"/>
      <w:lvlJc w:val="left"/>
      <w:pPr>
        <w:ind w:left="3962" w:hanging="527"/>
      </w:pPr>
      <w:rPr>
        <w:rFonts w:hint="default"/>
        <w:lang w:val="zh-CN" w:eastAsia="zh-CN" w:bidi="zh-CN"/>
      </w:rPr>
    </w:lvl>
    <w:lvl w:ilvl="5" w:tentative="0">
      <w:start w:val="0"/>
      <w:numFmt w:val="bullet"/>
      <w:lvlText w:val="•"/>
      <w:lvlJc w:val="left"/>
      <w:pPr>
        <w:ind w:left="5036" w:hanging="527"/>
      </w:pPr>
      <w:rPr>
        <w:rFonts w:hint="default"/>
        <w:lang w:val="zh-CN" w:eastAsia="zh-CN" w:bidi="zh-CN"/>
      </w:rPr>
    </w:lvl>
    <w:lvl w:ilvl="6" w:tentative="0">
      <w:start w:val="0"/>
      <w:numFmt w:val="bullet"/>
      <w:lvlText w:val="•"/>
      <w:lvlJc w:val="left"/>
      <w:pPr>
        <w:ind w:left="6110" w:hanging="527"/>
      </w:pPr>
      <w:rPr>
        <w:rFonts w:hint="default"/>
        <w:lang w:val="zh-CN" w:eastAsia="zh-CN" w:bidi="zh-CN"/>
      </w:rPr>
    </w:lvl>
    <w:lvl w:ilvl="7" w:tentative="0">
      <w:start w:val="0"/>
      <w:numFmt w:val="bullet"/>
      <w:lvlText w:val="•"/>
      <w:lvlJc w:val="left"/>
      <w:pPr>
        <w:ind w:left="7184" w:hanging="527"/>
      </w:pPr>
      <w:rPr>
        <w:rFonts w:hint="default"/>
        <w:lang w:val="zh-CN" w:eastAsia="zh-CN" w:bidi="zh-CN"/>
      </w:rPr>
    </w:lvl>
    <w:lvl w:ilvl="8" w:tentative="0">
      <w:start w:val="0"/>
      <w:numFmt w:val="bullet"/>
      <w:lvlText w:val="•"/>
      <w:lvlJc w:val="left"/>
      <w:pPr>
        <w:ind w:left="8258" w:hanging="527"/>
      </w:pPr>
      <w:rPr>
        <w:rFonts w:hint="default"/>
        <w:lang w:val="zh-CN" w:eastAsia="zh-CN" w:bidi="zh-CN"/>
      </w:rPr>
    </w:lvl>
  </w:abstractNum>
  <w:abstractNum w:abstractNumId="29">
    <w:nsid w:val="D7D140E4"/>
    <w:multiLevelType w:val="multilevel"/>
    <w:tmpl w:val="D7D140E4"/>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30">
    <w:nsid w:val="DAD3A854"/>
    <w:multiLevelType w:val="multilevel"/>
    <w:tmpl w:val="DAD3A854"/>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31">
    <w:nsid w:val="E093A4B0"/>
    <w:multiLevelType w:val="multilevel"/>
    <w:tmpl w:val="E093A4B0"/>
    <w:lvl w:ilvl="0" w:tentative="0">
      <w:start w:val="1"/>
      <w:numFmt w:val="decimal"/>
      <w:lvlText w:val="（%1）"/>
      <w:lvlJc w:val="left"/>
      <w:pPr>
        <w:ind w:left="638"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184" w:hanging="529"/>
      </w:pPr>
      <w:rPr>
        <w:rFonts w:hint="default"/>
        <w:lang w:val="zh-CN" w:eastAsia="zh-CN" w:bidi="zh-CN"/>
      </w:rPr>
    </w:lvl>
    <w:lvl w:ilvl="2" w:tentative="0">
      <w:start w:val="0"/>
      <w:numFmt w:val="bullet"/>
      <w:lvlText w:val="•"/>
      <w:lvlJc w:val="left"/>
      <w:pPr>
        <w:ind w:left="1728" w:hanging="529"/>
      </w:pPr>
      <w:rPr>
        <w:rFonts w:hint="default"/>
        <w:lang w:val="zh-CN" w:eastAsia="zh-CN" w:bidi="zh-CN"/>
      </w:rPr>
    </w:lvl>
    <w:lvl w:ilvl="3" w:tentative="0">
      <w:start w:val="0"/>
      <w:numFmt w:val="bullet"/>
      <w:lvlText w:val="•"/>
      <w:lvlJc w:val="left"/>
      <w:pPr>
        <w:ind w:left="2273" w:hanging="529"/>
      </w:pPr>
      <w:rPr>
        <w:rFonts w:hint="default"/>
        <w:lang w:val="zh-CN" w:eastAsia="zh-CN" w:bidi="zh-CN"/>
      </w:rPr>
    </w:lvl>
    <w:lvl w:ilvl="4" w:tentative="0">
      <w:start w:val="0"/>
      <w:numFmt w:val="bullet"/>
      <w:lvlText w:val="•"/>
      <w:lvlJc w:val="left"/>
      <w:pPr>
        <w:ind w:left="2817" w:hanging="529"/>
      </w:pPr>
      <w:rPr>
        <w:rFonts w:hint="default"/>
        <w:lang w:val="zh-CN" w:eastAsia="zh-CN" w:bidi="zh-CN"/>
      </w:rPr>
    </w:lvl>
    <w:lvl w:ilvl="5" w:tentative="0">
      <w:start w:val="0"/>
      <w:numFmt w:val="bullet"/>
      <w:lvlText w:val="•"/>
      <w:lvlJc w:val="left"/>
      <w:pPr>
        <w:ind w:left="3362" w:hanging="529"/>
      </w:pPr>
      <w:rPr>
        <w:rFonts w:hint="default"/>
        <w:lang w:val="zh-CN" w:eastAsia="zh-CN" w:bidi="zh-CN"/>
      </w:rPr>
    </w:lvl>
    <w:lvl w:ilvl="6" w:tentative="0">
      <w:start w:val="0"/>
      <w:numFmt w:val="bullet"/>
      <w:lvlText w:val="•"/>
      <w:lvlJc w:val="left"/>
      <w:pPr>
        <w:ind w:left="3906" w:hanging="529"/>
      </w:pPr>
      <w:rPr>
        <w:rFonts w:hint="default"/>
        <w:lang w:val="zh-CN" w:eastAsia="zh-CN" w:bidi="zh-CN"/>
      </w:rPr>
    </w:lvl>
    <w:lvl w:ilvl="7" w:tentative="0">
      <w:start w:val="0"/>
      <w:numFmt w:val="bullet"/>
      <w:lvlText w:val="•"/>
      <w:lvlJc w:val="left"/>
      <w:pPr>
        <w:ind w:left="4450" w:hanging="529"/>
      </w:pPr>
      <w:rPr>
        <w:rFonts w:hint="default"/>
        <w:lang w:val="zh-CN" w:eastAsia="zh-CN" w:bidi="zh-CN"/>
      </w:rPr>
    </w:lvl>
    <w:lvl w:ilvl="8" w:tentative="0">
      <w:start w:val="0"/>
      <w:numFmt w:val="bullet"/>
      <w:lvlText w:val="•"/>
      <w:lvlJc w:val="left"/>
      <w:pPr>
        <w:ind w:left="4995" w:hanging="529"/>
      </w:pPr>
      <w:rPr>
        <w:rFonts w:hint="default"/>
        <w:lang w:val="zh-CN" w:eastAsia="zh-CN" w:bidi="zh-CN"/>
      </w:rPr>
    </w:lvl>
  </w:abstractNum>
  <w:abstractNum w:abstractNumId="32">
    <w:nsid w:val="E504947C"/>
    <w:multiLevelType w:val="multilevel"/>
    <w:tmpl w:val="E504947C"/>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33">
    <w:nsid w:val="E7B27C5B"/>
    <w:multiLevelType w:val="multilevel"/>
    <w:tmpl w:val="E7B27C5B"/>
    <w:lvl w:ilvl="0" w:tentative="0">
      <w:start w:val="1"/>
      <w:numFmt w:val="decimal"/>
      <w:lvlText w:val="（%1）"/>
      <w:lvlJc w:val="left"/>
      <w:pPr>
        <w:ind w:left="1159" w:hanging="527"/>
      </w:pPr>
      <w:rPr>
        <w:rFonts w:hint="default" w:ascii="宋体" w:hAnsi="宋体" w:eastAsia="宋体" w:cs="宋体"/>
        <w:spacing w:val="-25"/>
        <w:w w:val="100"/>
        <w:sz w:val="19"/>
        <w:szCs w:val="19"/>
        <w:lang w:val="zh-CN" w:eastAsia="zh-CN" w:bidi="zh-CN"/>
      </w:rPr>
    </w:lvl>
    <w:lvl w:ilvl="1" w:tentative="0">
      <w:start w:val="0"/>
      <w:numFmt w:val="bullet"/>
      <w:lvlText w:val="•"/>
      <w:lvlJc w:val="left"/>
      <w:pPr>
        <w:ind w:left="2084" w:hanging="527"/>
      </w:pPr>
      <w:rPr>
        <w:rFonts w:hint="default"/>
        <w:lang w:val="zh-CN" w:eastAsia="zh-CN" w:bidi="zh-CN"/>
      </w:rPr>
    </w:lvl>
    <w:lvl w:ilvl="2" w:tentative="0">
      <w:start w:val="0"/>
      <w:numFmt w:val="bullet"/>
      <w:lvlText w:val="•"/>
      <w:lvlJc w:val="left"/>
      <w:pPr>
        <w:ind w:left="3009" w:hanging="527"/>
      </w:pPr>
      <w:rPr>
        <w:rFonts w:hint="default"/>
        <w:lang w:val="zh-CN" w:eastAsia="zh-CN" w:bidi="zh-CN"/>
      </w:rPr>
    </w:lvl>
    <w:lvl w:ilvl="3" w:tentative="0">
      <w:start w:val="0"/>
      <w:numFmt w:val="bullet"/>
      <w:lvlText w:val="•"/>
      <w:lvlJc w:val="left"/>
      <w:pPr>
        <w:ind w:left="3933" w:hanging="527"/>
      </w:pPr>
      <w:rPr>
        <w:rFonts w:hint="default"/>
        <w:lang w:val="zh-CN" w:eastAsia="zh-CN" w:bidi="zh-CN"/>
      </w:rPr>
    </w:lvl>
    <w:lvl w:ilvl="4" w:tentative="0">
      <w:start w:val="0"/>
      <w:numFmt w:val="bullet"/>
      <w:lvlText w:val="•"/>
      <w:lvlJc w:val="left"/>
      <w:pPr>
        <w:ind w:left="4858" w:hanging="527"/>
      </w:pPr>
      <w:rPr>
        <w:rFonts w:hint="default"/>
        <w:lang w:val="zh-CN" w:eastAsia="zh-CN" w:bidi="zh-CN"/>
      </w:rPr>
    </w:lvl>
    <w:lvl w:ilvl="5" w:tentative="0">
      <w:start w:val="0"/>
      <w:numFmt w:val="bullet"/>
      <w:lvlText w:val="•"/>
      <w:lvlJc w:val="left"/>
      <w:pPr>
        <w:ind w:left="5783" w:hanging="527"/>
      </w:pPr>
      <w:rPr>
        <w:rFonts w:hint="default"/>
        <w:lang w:val="zh-CN" w:eastAsia="zh-CN" w:bidi="zh-CN"/>
      </w:rPr>
    </w:lvl>
    <w:lvl w:ilvl="6" w:tentative="0">
      <w:start w:val="0"/>
      <w:numFmt w:val="bullet"/>
      <w:lvlText w:val="•"/>
      <w:lvlJc w:val="left"/>
      <w:pPr>
        <w:ind w:left="6707" w:hanging="527"/>
      </w:pPr>
      <w:rPr>
        <w:rFonts w:hint="default"/>
        <w:lang w:val="zh-CN" w:eastAsia="zh-CN" w:bidi="zh-CN"/>
      </w:rPr>
    </w:lvl>
    <w:lvl w:ilvl="7" w:tentative="0">
      <w:start w:val="0"/>
      <w:numFmt w:val="bullet"/>
      <w:lvlText w:val="•"/>
      <w:lvlJc w:val="left"/>
      <w:pPr>
        <w:ind w:left="7632" w:hanging="527"/>
      </w:pPr>
      <w:rPr>
        <w:rFonts w:hint="default"/>
        <w:lang w:val="zh-CN" w:eastAsia="zh-CN" w:bidi="zh-CN"/>
      </w:rPr>
    </w:lvl>
    <w:lvl w:ilvl="8" w:tentative="0">
      <w:start w:val="0"/>
      <w:numFmt w:val="bullet"/>
      <w:lvlText w:val="•"/>
      <w:lvlJc w:val="left"/>
      <w:pPr>
        <w:ind w:left="8557" w:hanging="527"/>
      </w:pPr>
      <w:rPr>
        <w:rFonts w:hint="default"/>
        <w:lang w:val="zh-CN" w:eastAsia="zh-CN" w:bidi="zh-CN"/>
      </w:rPr>
    </w:lvl>
  </w:abstractNum>
  <w:abstractNum w:abstractNumId="34">
    <w:nsid w:val="F0E89278"/>
    <w:multiLevelType w:val="multilevel"/>
    <w:tmpl w:val="F0E89278"/>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35">
    <w:nsid w:val="F4A942FE"/>
    <w:multiLevelType w:val="multilevel"/>
    <w:tmpl w:val="F4A942FE"/>
    <w:lvl w:ilvl="0" w:tentative="0">
      <w:start w:val="28"/>
      <w:numFmt w:val="decimal"/>
      <w:lvlText w:val="%1"/>
      <w:lvlJc w:val="left"/>
      <w:pPr>
        <w:ind w:left="212" w:hanging="531"/>
      </w:pPr>
      <w:rPr>
        <w:rFonts w:hint="default"/>
        <w:lang w:val="zh-CN" w:eastAsia="zh-CN" w:bidi="zh-CN"/>
      </w:rPr>
    </w:lvl>
    <w:lvl w:ilvl="1" w:tentative="0">
      <w:start w:val="1"/>
      <w:numFmt w:val="decimal"/>
      <w:lvlText w:val="%1.%2"/>
      <w:lvlJc w:val="left"/>
      <w:pPr>
        <w:ind w:left="212" w:hanging="531"/>
      </w:pPr>
      <w:rPr>
        <w:rFonts w:hint="default" w:ascii="宋体" w:hAnsi="宋体" w:eastAsia="宋体" w:cs="宋体"/>
        <w:b/>
        <w:bCs/>
        <w:w w:val="99"/>
        <w:sz w:val="21"/>
        <w:szCs w:val="21"/>
        <w:lang w:val="zh-CN" w:eastAsia="zh-CN" w:bidi="zh-CN"/>
      </w:rPr>
    </w:lvl>
    <w:lvl w:ilvl="2" w:tentative="0">
      <w:start w:val="0"/>
      <w:numFmt w:val="bullet"/>
      <w:lvlText w:val="•"/>
      <w:lvlJc w:val="left"/>
      <w:pPr>
        <w:ind w:left="2257" w:hanging="531"/>
      </w:pPr>
      <w:rPr>
        <w:rFonts w:hint="default"/>
        <w:lang w:val="zh-CN" w:eastAsia="zh-CN" w:bidi="zh-CN"/>
      </w:rPr>
    </w:lvl>
    <w:lvl w:ilvl="3" w:tentative="0">
      <w:start w:val="0"/>
      <w:numFmt w:val="bullet"/>
      <w:lvlText w:val="•"/>
      <w:lvlJc w:val="left"/>
      <w:pPr>
        <w:ind w:left="3275" w:hanging="531"/>
      </w:pPr>
      <w:rPr>
        <w:rFonts w:hint="default"/>
        <w:lang w:val="zh-CN" w:eastAsia="zh-CN" w:bidi="zh-CN"/>
      </w:rPr>
    </w:lvl>
    <w:lvl w:ilvl="4" w:tentative="0">
      <w:start w:val="0"/>
      <w:numFmt w:val="bullet"/>
      <w:lvlText w:val="•"/>
      <w:lvlJc w:val="left"/>
      <w:pPr>
        <w:ind w:left="4294" w:hanging="531"/>
      </w:pPr>
      <w:rPr>
        <w:rFonts w:hint="default"/>
        <w:lang w:val="zh-CN" w:eastAsia="zh-CN" w:bidi="zh-CN"/>
      </w:rPr>
    </w:lvl>
    <w:lvl w:ilvl="5" w:tentative="0">
      <w:start w:val="0"/>
      <w:numFmt w:val="bullet"/>
      <w:lvlText w:val="•"/>
      <w:lvlJc w:val="left"/>
      <w:pPr>
        <w:ind w:left="5313" w:hanging="531"/>
      </w:pPr>
      <w:rPr>
        <w:rFonts w:hint="default"/>
        <w:lang w:val="zh-CN" w:eastAsia="zh-CN" w:bidi="zh-CN"/>
      </w:rPr>
    </w:lvl>
    <w:lvl w:ilvl="6" w:tentative="0">
      <w:start w:val="0"/>
      <w:numFmt w:val="bullet"/>
      <w:lvlText w:val="•"/>
      <w:lvlJc w:val="left"/>
      <w:pPr>
        <w:ind w:left="6331" w:hanging="531"/>
      </w:pPr>
      <w:rPr>
        <w:rFonts w:hint="default"/>
        <w:lang w:val="zh-CN" w:eastAsia="zh-CN" w:bidi="zh-CN"/>
      </w:rPr>
    </w:lvl>
    <w:lvl w:ilvl="7" w:tentative="0">
      <w:start w:val="0"/>
      <w:numFmt w:val="bullet"/>
      <w:lvlText w:val="•"/>
      <w:lvlJc w:val="left"/>
      <w:pPr>
        <w:ind w:left="7350" w:hanging="531"/>
      </w:pPr>
      <w:rPr>
        <w:rFonts w:hint="default"/>
        <w:lang w:val="zh-CN" w:eastAsia="zh-CN" w:bidi="zh-CN"/>
      </w:rPr>
    </w:lvl>
    <w:lvl w:ilvl="8" w:tentative="0">
      <w:start w:val="0"/>
      <w:numFmt w:val="bullet"/>
      <w:lvlText w:val="•"/>
      <w:lvlJc w:val="left"/>
      <w:pPr>
        <w:ind w:left="8369" w:hanging="531"/>
      </w:pPr>
      <w:rPr>
        <w:rFonts w:hint="default"/>
        <w:lang w:val="zh-CN" w:eastAsia="zh-CN" w:bidi="zh-CN"/>
      </w:rPr>
    </w:lvl>
  </w:abstractNum>
  <w:abstractNum w:abstractNumId="36">
    <w:nsid w:val="F585BF25"/>
    <w:multiLevelType w:val="multilevel"/>
    <w:tmpl w:val="F585BF25"/>
    <w:lvl w:ilvl="0" w:tentative="0">
      <w:start w:val="16"/>
      <w:numFmt w:val="decimal"/>
      <w:lvlText w:val="%1."/>
      <w:lvlJc w:val="left"/>
      <w:pPr>
        <w:ind w:left="603" w:hanging="392"/>
        <w:jc w:val="right"/>
      </w:pPr>
      <w:rPr>
        <w:rFonts w:hint="default"/>
        <w:b/>
        <w:bCs/>
        <w:spacing w:val="-1"/>
        <w:w w:val="100"/>
        <w:lang w:val="zh-CN" w:eastAsia="zh-CN" w:bidi="zh-CN"/>
      </w:rPr>
    </w:lvl>
    <w:lvl w:ilvl="1" w:tentative="0">
      <w:start w:val="1"/>
      <w:numFmt w:val="decimal"/>
      <w:lvlText w:val="%1.%2"/>
      <w:lvlJc w:val="left"/>
      <w:pPr>
        <w:ind w:left="981" w:hanging="632"/>
      </w:pPr>
      <w:rPr>
        <w:rFonts w:hint="default"/>
        <w:spacing w:val="-4"/>
        <w:w w:val="100"/>
        <w:lang w:val="zh-CN" w:eastAsia="zh-CN" w:bidi="zh-CN"/>
      </w:rPr>
    </w:lvl>
    <w:lvl w:ilvl="2" w:tentative="0">
      <w:start w:val="1"/>
      <w:numFmt w:val="decimal"/>
      <w:lvlText w:val="%1.%2.%3"/>
      <w:lvlJc w:val="left"/>
      <w:pPr>
        <w:ind w:left="1264" w:hanging="632"/>
      </w:pPr>
      <w:rPr>
        <w:rFonts w:hint="default"/>
        <w:w w:val="100"/>
        <w:lang w:val="zh-CN" w:eastAsia="zh-CN" w:bidi="zh-CN"/>
      </w:rPr>
    </w:lvl>
    <w:lvl w:ilvl="3" w:tentative="0">
      <w:start w:val="1"/>
      <w:numFmt w:val="decimal"/>
      <w:lvlText w:val="(%4)"/>
      <w:lvlJc w:val="left"/>
      <w:pPr>
        <w:ind w:left="1266" w:hanging="632"/>
      </w:pPr>
      <w:rPr>
        <w:rFonts w:hint="default" w:ascii="宋体" w:hAnsi="宋体" w:eastAsia="宋体" w:cs="宋体"/>
        <w:w w:val="100"/>
        <w:sz w:val="21"/>
        <w:szCs w:val="21"/>
        <w:lang w:val="zh-CN" w:eastAsia="zh-CN" w:bidi="zh-CN"/>
      </w:rPr>
    </w:lvl>
    <w:lvl w:ilvl="4" w:tentative="0">
      <w:start w:val="0"/>
      <w:numFmt w:val="bullet"/>
      <w:lvlText w:val="•"/>
      <w:lvlJc w:val="left"/>
      <w:pPr>
        <w:ind w:left="1060" w:hanging="632"/>
      </w:pPr>
      <w:rPr>
        <w:rFonts w:hint="default"/>
        <w:lang w:val="zh-CN" w:eastAsia="zh-CN" w:bidi="zh-CN"/>
      </w:rPr>
    </w:lvl>
    <w:lvl w:ilvl="5" w:tentative="0">
      <w:start w:val="0"/>
      <w:numFmt w:val="bullet"/>
      <w:lvlText w:val="•"/>
      <w:lvlJc w:val="left"/>
      <w:pPr>
        <w:ind w:left="1220" w:hanging="632"/>
      </w:pPr>
      <w:rPr>
        <w:rFonts w:hint="default"/>
        <w:lang w:val="zh-CN" w:eastAsia="zh-CN" w:bidi="zh-CN"/>
      </w:rPr>
    </w:lvl>
    <w:lvl w:ilvl="6" w:tentative="0">
      <w:start w:val="0"/>
      <w:numFmt w:val="bullet"/>
      <w:lvlText w:val="•"/>
      <w:lvlJc w:val="left"/>
      <w:pPr>
        <w:ind w:left="1260" w:hanging="632"/>
      </w:pPr>
      <w:rPr>
        <w:rFonts w:hint="default"/>
        <w:lang w:val="zh-CN" w:eastAsia="zh-CN" w:bidi="zh-CN"/>
      </w:rPr>
    </w:lvl>
    <w:lvl w:ilvl="7" w:tentative="0">
      <w:start w:val="0"/>
      <w:numFmt w:val="bullet"/>
      <w:lvlText w:val="•"/>
      <w:lvlJc w:val="left"/>
      <w:pPr>
        <w:ind w:left="1440" w:hanging="632"/>
      </w:pPr>
      <w:rPr>
        <w:rFonts w:hint="default"/>
        <w:lang w:val="zh-CN" w:eastAsia="zh-CN" w:bidi="zh-CN"/>
      </w:rPr>
    </w:lvl>
    <w:lvl w:ilvl="8" w:tentative="0">
      <w:start w:val="0"/>
      <w:numFmt w:val="bullet"/>
      <w:lvlText w:val="•"/>
      <w:lvlJc w:val="left"/>
      <w:pPr>
        <w:ind w:left="4428" w:hanging="632"/>
      </w:pPr>
      <w:rPr>
        <w:rFonts w:hint="default"/>
        <w:lang w:val="zh-CN" w:eastAsia="zh-CN" w:bidi="zh-CN"/>
      </w:rPr>
    </w:lvl>
  </w:abstractNum>
  <w:abstractNum w:abstractNumId="37">
    <w:nsid w:val="F689643B"/>
    <w:multiLevelType w:val="multilevel"/>
    <w:tmpl w:val="F689643B"/>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38">
    <w:nsid w:val="FEC2EA36"/>
    <w:multiLevelType w:val="multilevel"/>
    <w:tmpl w:val="FEC2EA36"/>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39">
    <w:nsid w:val="01836A6D"/>
    <w:multiLevelType w:val="multilevel"/>
    <w:tmpl w:val="01836A6D"/>
    <w:lvl w:ilvl="0" w:tentative="0">
      <w:start w:val="1"/>
      <w:numFmt w:val="decimal"/>
      <w:lvlText w:val="（%1）"/>
      <w:lvlJc w:val="left"/>
      <w:pPr>
        <w:ind w:left="1078" w:hanging="529"/>
      </w:pPr>
      <w:rPr>
        <w:rFonts w:hint="default" w:ascii="宋体" w:hAnsi="宋体" w:eastAsia="宋体" w:cs="宋体"/>
        <w:b/>
        <w:bCs/>
        <w:spacing w:val="-3"/>
        <w:w w:val="99"/>
        <w:sz w:val="19"/>
        <w:szCs w:val="19"/>
        <w:lang w:val="zh-CN" w:eastAsia="zh-CN" w:bidi="zh-CN"/>
      </w:rPr>
    </w:lvl>
    <w:lvl w:ilvl="1" w:tentative="0">
      <w:start w:val="0"/>
      <w:numFmt w:val="bullet"/>
      <w:lvlText w:val="•"/>
      <w:lvlJc w:val="left"/>
      <w:pPr>
        <w:ind w:left="2012" w:hanging="529"/>
      </w:pPr>
      <w:rPr>
        <w:rFonts w:hint="default"/>
        <w:lang w:val="zh-CN" w:eastAsia="zh-CN" w:bidi="zh-CN"/>
      </w:rPr>
    </w:lvl>
    <w:lvl w:ilvl="2" w:tentative="0">
      <w:start w:val="0"/>
      <w:numFmt w:val="bullet"/>
      <w:lvlText w:val="•"/>
      <w:lvlJc w:val="left"/>
      <w:pPr>
        <w:ind w:left="2945" w:hanging="529"/>
      </w:pPr>
      <w:rPr>
        <w:rFonts w:hint="default"/>
        <w:lang w:val="zh-CN" w:eastAsia="zh-CN" w:bidi="zh-CN"/>
      </w:rPr>
    </w:lvl>
    <w:lvl w:ilvl="3" w:tentative="0">
      <w:start w:val="0"/>
      <w:numFmt w:val="bullet"/>
      <w:lvlText w:val="•"/>
      <w:lvlJc w:val="left"/>
      <w:pPr>
        <w:ind w:left="3877" w:hanging="529"/>
      </w:pPr>
      <w:rPr>
        <w:rFonts w:hint="default"/>
        <w:lang w:val="zh-CN" w:eastAsia="zh-CN" w:bidi="zh-CN"/>
      </w:rPr>
    </w:lvl>
    <w:lvl w:ilvl="4" w:tentative="0">
      <w:start w:val="0"/>
      <w:numFmt w:val="bullet"/>
      <w:lvlText w:val="•"/>
      <w:lvlJc w:val="left"/>
      <w:pPr>
        <w:ind w:left="4810" w:hanging="529"/>
      </w:pPr>
      <w:rPr>
        <w:rFonts w:hint="default"/>
        <w:lang w:val="zh-CN" w:eastAsia="zh-CN" w:bidi="zh-CN"/>
      </w:rPr>
    </w:lvl>
    <w:lvl w:ilvl="5" w:tentative="0">
      <w:start w:val="0"/>
      <w:numFmt w:val="bullet"/>
      <w:lvlText w:val="•"/>
      <w:lvlJc w:val="left"/>
      <w:pPr>
        <w:ind w:left="5743" w:hanging="529"/>
      </w:pPr>
      <w:rPr>
        <w:rFonts w:hint="default"/>
        <w:lang w:val="zh-CN" w:eastAsia="zh-CN" w:bidi="zh-CN"/>
      </w:rPr>
    </w:lvl>
    <w:lvl w:ilvl="6" w:tentative="0">
      <w:start w:val="0"/>
      <w:numFmt w:val="bullet"/>
      <w:lvlText w:val="•"/>
      <w:lvlJc w:val="left"/>
      <w:pPr>
        <w:ind w:left="6675" w:hanging="529"/>
      </w:pPr>
      <w:rPr>
        <w:rFonts w:hint="default"/>
        <w:lang w:val="zh-CN" w:eastAsia="zh-CN" w:bidi="zh-CN"/>
      </w:rPr>
    </w:lvl>
    <w:lvl w:ilvl="7" w:tentative="0">
      <w:start w:val="0"/>
      <w:numFmt w:val="bullet"/>
      <w:lvlText w:val="•"/>
      <w:lvlJc w:val="left"/>
      <w:pPr>
        <w:ind w:left="7608" w:hanging="529"/>
      </w:pPr>
      <w:rPr>
        <w:rFonts w:hint="default"/>
        <w:lang w:val="zh-CN" w:eastAsia="zh-CN" w:bidi="zh-CN"/>
      </w:rPr>
    </w:lvl>
    <w:lvl w:ilvl="8" w:tentative="0">
      <w:start w:val="0"/>
      <w:numFmt w:val="bullet"/>
      <w:lvlText w:val="•"/>
      <w:lvlJc w:val="left"/>
      <w:pPr>
        <w:ind w:left="8541" w:hanging="529"/>
      </w:pPr>
      <w:rPr>
        <w:rFonts w:hint="default"/>
        <w:lang w:val="zh-CN" w:eastAsia="zh-CN" w:bidi="zh-CN"/>
      </w:rPr>
    </w:lvl>
  </w:abstractNum>
  <w:abstractNum w:abstractNumId="40">
    <w:nsid w:val="02011A30"/>
    <w:multiLevelType w:val="multilevel"/>
    <w:tmpl w:val="02011A30"/>
    <w:lvl w:ilvl="0" w:tentative="0">
      <w:start w:val="6"/>
      <w:numFmt w:val="decimal"/>
      <w:lvlText w:val="%1"/>
      <w:lvlJc w:val="left"/>
      <w:pPr>
        <w:ind w:left="525" w:hanging="525"/>
      </w:pPr>
      <w:rPr>
        <w:rFonts w:hint="default" w:ascii="宋体" w:eastAsia="宋体"/>
      </w:rPr>
    </w:lvl>
    <w:lvl w:ilvl="1" w:tentative="0">
      <w:start w:val="1"/>
      <w:numFmt w:val="decimal"/>
      <w:lvlText w:val="%1.%2"/>
      <w:lvlJc w:val="left"/>
      <w:pPr>
        <w:ind w:left="525" w:hanging="525"/>
      </w:pPr>
      <w:rPr>
        <w:rFonts w:hint="default" w:ascii="宋体" w:eastAsia="宋体"/>
      </w:rPr>
    </w:lvl>
    <w:lvl w:ilvl="2" w:tentative="0">
      <w:start w:val="2"/>
      <w:numFmt w:val="decimal"/>
      <w:lvlText w:val="%1.%2.%3"/>
      <w:lvlJc w:val="left"/>
      <w:pPr>
        <w:ind w:left="720" w:hanging="720"/>
      </w:pPr>
      <w:rPr>
        <w:rFonts w:hint="default" w:ascii="宋体" w:eastAsia="宋体"/>
      </w:rPr>
    </w:lvl>
    <w:lvl w:ilvl="3" w:tentative="0">
      <w:start w:val="1"/>
      <w:numFmt w:val="decimal"/>
      <w:lvlText w:val="%1.%2.%3.%4"/>
      <w:lvlJc w:val="left"/>
      <w:pPr>
        <w:ind w:left="1080" w:hanging="1080"/>
      </w:pPr>
      <w:rPr>
        <w:rFonts w:hint="default" w:ascii="宋体" w:eastAsia="宋体"/>
      </w:rPr>
    </w:lvl>
    <w:lvl w:ilvl="4" w:tentative="0">
      <w:start w:val="1"/>
      <w:numFmt w:val="decimal"/>
      <w:lvlText w:val="%1.%2.%3.%4.%5"/>
      <w:lvlJc w:val="left"/>
      <w:pPr>
        <w:ind w:left="1080" w:hanging="1080"/>
      </w:pPr>
      <w:rPr>
        <w:rFonts w:hint="default" w:ascii="宋体" w:eastAsia="宋体"/>
      </w:rPr>
    </w:lvl>
    <w:lvl w:ilvl="5" w:tentative="0">
      <w:start w:val="1"/>
      <w:numFmt w:val="decimal"/>
      <w:lvlText w:val="%1.%2.%3.%4.%5.%6"/>
      <w:lvlJc w:val="left"/>
      <w:pPr>
        <w:ind w:left="1440" w:hanging="1440"/>
      </w:pPr>
      <w:rPr>
        <w:rFonts w:hint="default" w:ascii="宋体" w:eastAsia="宋体"/>
      </w:rPr>
    </w:lvl>
    <w:lvl w:ilvl="6" w:tentative="0">
      <w:start w:val="1"/>
      <w:numFmt w:val="decimal"/>
      <w:lvlText w:val="%1.%2.%3.%4.%5.%6.%7"/>
      <w:lvlJc w:val="left"/>
      <w:pPr>
        <w:ind w:left="1440" w:hanging="1440"/>
      </w:pPr>
      <w:rPr>
        <w:rFonts w:hint="default" w:ascii="宋体" w:eastAsia="宋体"/>
      </w:rPr>
    </w:lvl>
    <w:lvl w:ilvl="7" w:tentative="0">
      <w:start w:val="1"/>
      <w:numFmt w:val="decimal"/>
      <w:lvlText w:val="%1.%2.%3.%4.%5.%6.%7.%8"/>
      <w:lvlJc w:val="left"/>
      <w:pPr>
        <w:ind w:left="1800" w:hanging="1800"/>
      </w:pPr>
      <w:rPr>
        <w:rFonts w:hint="default" w:ascii="宋体" w:eastAsia="宋体"/>
      </w:rPr>
    </w:lvl>
    <w:lvl w:ilvl="8" w:tentative="0">
      <w:start w:val="1"/>
      <w:numFmt w:val="decimal"/>
      <w:lvlText w:val="%1.%2.%3.%4.%5.%6.%7.%8.%9"/>
      <w:lvlJc w:val="left"/>
      <w:pPr>
        <w:ind w:left="1800" w:hanging="1800"/>
      </w:pPr>
      <w:rPr>
        <w:rFonts w:hint="default" w:ascii="宋体" w:eastAsia="宋体"/>
      </w:rPr>
    </w:lvl>
  </w:abstractNum>
  <w:abstractNum w:abstractNumId="41">
    <w:nsid w:val="03A63A41"/>
    <w:multiLevelType w:val="multilevel"/>
    <w:tmpl w:val="03A63A41"/>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42">
    <w:nsid w:val="03C240C0"/>
    <w:multiLevelType w:val="multilevel"/>
    <w:tmpl w:val="03C240C0"/>
    <w:lvl w:ilvl="0" w:tentative="0">
      <w:start w:val="4"/>
      <w:numFmt w:val="decimal"/>
      <w:lvlText w:val="%1"/>
      <w:lvlJc w:val="left"/>
      <w:pPr>
        <w:ind w:left="1108" w:hanging="370"/>
      </w:pPr>
      <w:rPr>
        <w:rFonts w:hint="default"/>
        <w:lang w:val="zh-CN" w:eastAsia="zh-CN" w:bidi="zh-CN"/>
      </w:rPr>
    </w:lvl>
    <w:lvl w:ilvl="1" w:tentative="0">
      <w:start w:val="1"/>
      <w:numFmt w:val="decimal"/>
      <w:lvlText w:val="%1.%2"/>
      <w:lvlJc w:val="left"/>
      <w:pPr>
        <w:ind w:left="1108" w:hanging="370"/>
      </w:pPr>
      <w:rPr>
        <w:rFonts w:hint="default" w:ascii="宋体" w:hAnsi="宋体" w:eastAsia="宋体" w:cs="宋体"/>
        <w:w w:val="100"/>
        <w:sz w:val="21"/>
        <w:szCs w:val="21"/>
        <w:lang w:val="zh-CN" w:eastAsia="zh-CN" w:bidi="zh-CN"/>
      </w:rPr>
    </w:lvl>
    <w:lvl w:ilvl="2" w:tentative="0">
      <w:start w:val="0"/>
      <w:numFmt w:val="bullet"/>
      <w:lvlText w:val="•"/>
      <w:lvlJc w:val="left"/>
      <w:pPr>
        <w:ind w:left="2961" w:hanging="370"/>
      </w:pPr>
      <w:rPr>
        <w:rFonts w:hint="default"/>
        <w:lang w:val="zh-CN" w:eastAsia="zh-CN" w:bidi="zh-CN"/>
      </w:rPr>
    </w:lvl>
    <w:lvl w:ilvl="3" w:tentative="0">
      <w:start w:val="0"/>
      <w:numFmt w:val="bullet"/>
      <w:lvlText w:val="•"/>
      <w:lvlJc w:val="left"/>
      <w:pPr>
        <w:ind w:left="3891" w:hanging="370"/>
      </w:pPr>
      <w:rPr>
        <w:rFonts w:hint="default"/>
        <w:lang w:val="zh-CN" w:eastAsia="zh-CN" w:bidi="zh-CN"/>
      </w:rPr>
    </w:lvl>
    <w:lvl w:ilvl="4" w:tentative="0">
      <w:start w:val="0"/>
      <w:numFmt w:val="bullet"/>
      <w:lvlText w:val="•"/>
      <w:lvlJc w:val="left"/>
      <w:pPr>
        <w:ind w:left="4822" w:hanging="370"/>
      </w:pPr>
      <w:rPr>
        <w:rFonts w:hint="default"/>
        <w:lang w:val="zh-CN" w:eastAsia="zh-CN" w:bidi="zh-CN"/>
      </w:rPr>
    </w:lvl>
    <w:lvl w:ilvl="5" w:tentative="0">
      <w:start w:val="0"/>
      <w:numFmt w:val="bullet"/>
      <w:lvlText w:val="•"/>
      <w:lvlJc w:val="left"/>
      <w:pPr>
        <w:ind w:left="5753" w:hanging="370"/>
      </w:pPr>
      <w:rPr>
        <w:rFonts w:hint="default"/>
        <w:lang w:val="zh-CN" w:eastAsia="zh-CN" w:bidi="zh-CN"/>
      </w:rPr>
    </w:lvl>
    <w:lvl w:ilvl="6" w:tentative="0">
      <w:start w:val="0"/>
      <w:numFmt w:val="bullet"/>
      <w:lvlText w:val="•"/>
      <w:lvlJc w:val="left"/>
      <w:pPr>
        <w:ind w:left="6683" w:hanging="370"/>
      </w:pPr>
      <w:rPr>
        <w:rFonts w:hint="default"/>
        <w:lang w:val="zh-CN" w:eastAsia="zh-CN" w:bidi="zh-CN"/>
      </w:rPr>
    </w:lvl>
    <w:lvl w:ilvl="7" w:tentative="0">
      <w:start w:val="0"/>
      <w:numFmt w:val="bullet"/>
      <w:lvlText w:val="•"/>
      <w:lvlJc w:val="left"/>
      <w:pPr>
        <w:ind w:left="7614" w:hanging="370"/>
      </w:pPr>
      <w:rPr>
        <w:rFonts w:hint="default"/>
        <w:lang w:val="zh-CN" w:eastAsia="zh-CN" w:bidi="zh-CN"/>
      </w:rPr>
    </w:lvl>
    <w:lvl w:ilvl="8" w:tentative="0">
      <w:start w:val="0"/>
      <w:numFmt w:val="bullet"/>
      <w:lvlText w:val="•"/>
      <w:lvlJc w:val="left"/>
      <w:pPr>
        <w:ind w:left="8545" w:hanging="370"/>
      </w:pPr>
      <w:rPr>
        <w:rFonts w:hint="default"/>
        <w:lang w:val="zh-CN" w:eastAsia="zh-CN" w:bidi="zh-CN"/>
      </w:rPr>
    </w:lvl>
  </w:abstractNum>
  <w:abstractNum w:abstractNumId="43">
    <w:nsid w:val="046374E5"/>
    <w:multiLevelType w:val="multilevel"/>
    <w:tmpl w:val="046374E5"/>
    <w:lvl w:ilvl="0" w:tentative="0">
      <w:start w:val="23"/>
      <w:numFmt w:val="decimal"/>
      <w:lvlText w:val="%1"/>
      <w:lvlJc w:val="left"/>
      <w:pPr>
        <w:ind w:left="480" w:hanging="480"/>
      </w:pPr>
      <w:rPr>
        <w:rFonts w:hint="default" w:ascii="宋体" w:eastAsia="宋体"/>
      </w:rPr>
    </w:lvl>
    <w:lvl w:ilvl="1" w:tentative="0">
      <w:start w:val="3"/>
      <w:numFmt w:val="decimal"/>
      <w:lvlText w:val="%1.%2"/>
      <w:lvlJc w:val="left"/>
      <w:pPr>
        <w:ind w:left="916" w:hanging="480"/>
      </w:pPr>
      <w:rPr>
        <w:rFonts w:hint="default" w:ascii="宋体" w:eastAsia="宋体"/>
      </w:rPr>
    </w:lvl>
    <w:lvl w:ilvl="2" w:tentative="0">
      <w:start w:val="1"/>
      <w:numFmt w:val="decimal"/>
      <w:lvlText w:val="%1.%2.%3"/>
      <w:lvlJc w:val="left"/>
      <w:pPr>
        <w:ind w:left="1592" w:hanging="720"/>
      </w:pPr>
      <w:rPr>
        <w:rFonts w:hint="default" w:ascii="宋体" w:eastAsia="宋体"/>
      </w:rPr>
    </w:lvl>
    <w:lvl w:ilvl="3" w:tentative="0">
      <w:start w:val="1"/>
      <w:numFmt w:val="decimal"/>
      <w:lvlText w:val="%1.%2.%3.%4"/>
      <w:lvlJc w:val="left"/>
      <w:pPr>
        <w:ind w:left="2028" w:hanging="720"/>
      </w:pPr>
      <w:rPr>
        <w:rFonts w:hint="default" w:ascii="宋体" w:eastAsia="宋体"/>
      </w:rPr>
    </w:lvl>
    <w:lvl w:ilvl="4" w:tentative="0">
      <w:start w:val="1"/>
      <w:numFmt w:val="decimal"/>
      <w:lvlText w:val="%1.%2.%3.%4.%5"/>
      <w:lvlJc w:val="left"/>
      <w:pPr>
        <w:ind w:left="2824" w:hanging="1080"/>
      </w:pPr>
      <w:rPr>
        <w:rFonts w:hint="default" w:ascii="宋体" w:eastAsia="宋体"/>
      </w:rPr>
    </w:lvl>
    <w:lvl w:ilvl="5" w:tentative="0">
      <w:start w:val="1"/>
      <w:numFmt w:val="decimal"/>
      <w:lvlText w:val="%1.%2.%3.%4.%5.%6"/>
      <w:lvlJc w:val="left"/>
      <w:pPr>
        <w:ind w:left="3260" w:hanging="1080"/>
      </w:pPr>
      <w:rPr>
        <w:rFonts w:hint="default" w:ascii="宋体" w:eastAsia="宋体"/>
      </w:rPr>
    </w:lvl>
    <w:lvl w:ilvl="6" w:tentative="0">
      <w:start w:val="1"/>
      <w:numFmt w:val="decimal"/>
      <w:lvlText w:val="%1.%2.%3.%4.%5.%6.%7"/>
      <w:lvlJc w:val="left"/>
      <w:pPr>
        <w:ind w:left="3696" w:hanging="1080"/>
      </w:pPr>
      <w:rPr>
        <w:rFonts w:hint="default" w:ascii="宋体" w:eastAsia="宋体"/>
      </w:rPr>
    </w:lvl>
    <w:lvl w:ilvl="7" w:tentative="0">
      <w:start w:val="1"/>
      <w:numFmt w:val="decimal"/>
      <w:lvlText w:val="%1.%2.%3.%4.%5.%6.%7.%8"/>
      <w:lvlJc w:val="left"/>
      <w:pPr>
        <w:ind w:left="4492" w:hanging="1440"/>
      </w:pPr>
      <w:rPr>
        <w:rFonts w:hint="default" w:ascii="宋体" w:eastAsia="宋体"/>
      </w:rPr>
    </w:lvl>
    <w:lvl w:ilvl="8" w:tentative="0">
      <w:start w:val="1"/>
      <w:numFmt w:val="decimal"/>
      <w:lvlText w:val="%1.%2.%3.%4.%5.%6.%7.%8.%9"/>
      <w:lvlJc w:val="left"/>
      <w:pPr>
        <w:ind w:left="4928" w:hanging="1440"/>
      </w:pPr>
      <w:rPr>
        <w:rFonts w:hint="default" w:ascii="宋体" w:eastAsia="宋体"/>
      </w:rPr>
    </w:lvl>
  </w:abstractNum>
  <w:abstractNum w:abstractNumId="44">
    <w:nsid w:val="0709FD3E"/>
    <w:multiLevelType w:val="multilevel"/>
    <w:tmpl w:val="0709FD3E"/>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45">
    <w:nsid w:val="08BB247D"/>
    <w:multiLevelType w:val="multilevel"/>
    <w:tmpl w:val="08BB247D"/>
    <w:lvl w:ilvl="0" w:tentative="0">
      <w:start w:val="12"/>
      <w:numFmt w:val="decimal"/>
      <w:lvlText w:val="%1"/>
      <w:lvlJc w:val="left"/>
      <w:pPr>
        <w:ind w:left="420" w:hanging="420"/>
      </w:pPr>
      <w:rPr>
        <w:rFonts w:hint="eastAsia"/>
        <w:sz w:val="21"/>
      </w:rPr>
    </w:lvl>
    <w:lvl w:ilvl="1" w:tentative="0">
      <w:start w:val="1"/>
      <w:numFmt w:val="decimal"/>
      <w:lvlText w:val="%1.%2"/>
      <w:lvlJc w:val="left"/>
      <w:pPr>
        <w:ind w:left="623" w:hanging="420"/>
      </w:pPr>
      <w:rPr>
        <w:rFonts w:hint="eastAsia"/>
        <w:sz w:val="21"/>
      </w:rPr>
    </w:lvl>
    <w:lvl w:ilvl="2" w:tentative="0">
      <w:start w:val="1"/>
      <w:numFmt w:val="decimal"/>
      <w:lvlText w:val="%1.%2.%3"/>
      <w:lvlJc w:val="left"/>
      <w:pPr>
        <w:ind w:left="1126" w:hanging="720"/>
      </w:pPr>
      <w:rPr>
        <w:rFonts w:hint="eastAsia"/>
        <w:sz w:val="21"/>
      </w:rPr>
    </w:lvl>
    <w:lvl w:ilvl="3" w:tentative="0">
      <w:start w:val="1"/>
      <w:numFmt w:val="decimal"/>
      <w:lvlText w:val="%1.%2.%3.%4"/>
      <w:lvlJc w:val="left"/>
      <w:pPr>
        <w:ind w:left="1329" w:hanging="720"/>
      </w:pPr>
      <w:rPr>
        <w:rFonts w:hint="eastAsia"/>
        <w:sz w:val="21"/>
      </w:rPr>
    </w:lvl>
    <w:lvl w:ilvl="4" w:tentative="0">
      <w:start w:val="1"/>
      <w:numFmt w:val="decimal"/>
      <w:lvlText w:val="%1.%2.%3.%4.%5"/>
      <w:lvlJc w:val="left"/>
      <w:pPr>
        <w:ind w:left="1892" w:hanging="1080"/>
      </w:pPr>
      <w:rPr>
        <w:rFonts w:hint="eastAsia"/>
        <w:sz w:val="21"/>
      </w:rPr>
    </w:lvl>
    <w:lvl w:ilvl="5" w:tentative="0">
      <w:start w:val="1"/>
      <w:numFmt w:val="decimal"/>
      <w:lvlText w:val="%1.%2.%3.%4.%5.%6"/>
      <w:lvlJc w:val="left"/>
      <w:pPr>
        <w:ind w:left="2095" w:hanging="1080"/>
      </w:pPr>
      <w:rPr>
        <w:rFonts w:hint="eastAsia"/>
        <w:sz w:val="21"/>
      </w:rPr>
    </w:lvl>
    <w:lvl w:ilvl="6" w:tentative="0">
      <w:start w:val="1"/>
      <w:numFmt w:val="decimal"/>
      <w:lvlText w:val="%1.%2.%3.%4.%5.%6.%7"/>
      <w:lvlJc w:val="left"/>
      <w:pPr>
        <w:ind w:left="2658" w:hanging="1440"/>
      </w:pPr>
      <w:rPr>
        <w:rFonts w:hint="eastAsia"/>
        <w:sz w:val="21"/>
      </w:rPr>
    </w:lvl>
    <w:lvl w:ilvl="7" w:tentative="0">
      <w:start w:val="1"/>
      <w:numFmt w:val="decimal"/>
      <w:lvlText w:val="%1.%2.%3.%4.%5.%6.%7.%8"/>
      <w:lvlJc w:val="left"/>
      <w:pPr>
        <w:ind w:left="2861" w:hanging="1440"/>
      </w:pPr>
      <w:rPr>
        <w:rFonts w:hint="eastAsia"/>
        <w:sz w:val="21"/>
      </w:rPr>
    </w:lvl>
    <w:lvl w:ilvl="8" w:tentative="0">
      <w:start w:val="1"/>
      <w:numFmt w:val="decimal"/>
      <w:lvlText w:val="%1.%2.%3.%4.%5.%6.%7.%8.%9"/>
      <w:lvlJc w:val="left"/>
      <w:pPr>
        <w:ind w:left="3424" w:hanging="1800"/>
      </w:pPr>
      <w:rPr>
        <w:rFonts w:hint="eastAsia"/>
        <w:sz w:val="21"/>
      </w:rPr>
    </w:lvl>
  </w:abstractNum>
  <w:abstractNum w:abstractNumId="46">
    <w:nsid w:val="09D607A1"/>
    <w:multiLevelType w:val="multilevel"/>
    <w:tmpl w:val="09D607A1"/>
    <w:lvl w:ilvl="0" w:tentative="0">
      <w:start w:val="5"/>
      <w:numFmt w:val="decimal"/>
      <w:lvlText w:val="%1"/>
      <w:lvlJc w:val="left"/>
      <w:pPr>
        <w:ind w:left="525" w:hanging="525"/>
      </w:pPr>
      <w:rPr>
        <w:rFonts w:hint="default"/>
      </w:rPr>
    </w:lvl>
    <w:lvl w:ilvl="1" w:tentative="0">
      <w:start w:val="1"/>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7">
    <w:nsid w:val="0BAC691E"/>
    <w:multiLevelType w:val="multilevel"/>
    <w:tmpl w:val="0BAC691E"/>
    <w:lvl w:ilvl="0" w:tentative="0">
      <w:start w:val="2"/>
      <w:numFmt w:val="decimal"/>
      <w:lvlText w:val="%1"/>
      <w:lvlJc w:val="left"/>
      <w:pPr>
        <w:ind w:left="360" w:hanging="360"/>
      </w:pPr>
      <w:rPr>
        <w:rFonts w:hint="eastAsia" w:ascii="宋体" w:eastAsia="宋体"/>
      </w:rPr>
    </w:lvl>
    <w:lvl w:ilvl="1" w:tentative="0">
      <w:start w:val="2"/>
      <w:numFmt w:val="decimal"/>
      <w:lvlText w:val="%1.%2"/>
      <w:lvlJc w:val="left"/>
      <w:pPr>
        <w:ind w:left="360" w:hanging="360"/>
      </w:pPr>
      <w:rPr>
        <w:rFonts w:hint="eastAsia" w:ascii="宋体" w:eastAsia="宋体"/>
      </w:rPr>
    </w:lvl>
    <w:lvl w:ilvl="2" w:tentative="0">
      <w:start w:val="1"/>
      <w:numFmt w:val="decimal"/>
      <w:lvlText w:val="%1.%2.%3"/>
      <w:lvlJc w:val="left"/>
      <w:pPr>
        <w:ind w:left="720" w:hanging="720"/>
      </w:pPr>
      <w:rPr>
        <w:rFonts w:hint="eastAsia" w:ascii="宋体" w:eastAsia="宋体"/>
      </w:rPr>
    </w:lvl>
    <w:lvl w:ilvl="3" w:tentative="0">
      <w:start w:val="1"/>
      <w:numFmt w:val="decimal"/>
      <w:lvlText w:val="%1.%2.%3.%4"/>
      <w:lvlJc w:val="left"/>
      <w:pPr>
        <w:ind w:left="1080" w:hanging="1080"/>
      </w:pPr>
      <w:rPr>
        <w:rFonts w:hint="eastAsia" w:ascii="宋体" w:eastAsia="宋体"/>
      </w:rPr>
    </w:lvl>
    <w:lvl w:ilvl="4" w:tentative="0">
      <w:start w:val="1"/>
      <w:numFmt w:val="decimal"/>
      <w:lvlText w:val="%1.%2.%3.%4.%5"/>
      <w:lvlJc w:val="left"/>
      <w:pPr>
        <w:ind w:left="1080" w:hanging="1080"/>
      </w:pPr>
      <w:rPr>
        <w:rFonts w:hint="eastAsia" w:ascii="宋体" w:eastAsia="宋体"/>
      </w:rPr>
    </w:lvl>
    <w:lvl w:ilvl="5" w:tentative="0">
      <w:start w:val="1"/>
      <w:numFmt w:val="decimal"/>
      <w:lvlText w:val="%1.%2.%3.%4.%5.%6"/>
      <w:lvlJc w:val="left"/>
      <w:pPr>
        <w:ind w:left="1440" w:hanging="1440"/>
      </w:pPr>
      <w:rPr>
        <w:rFonts w:hint="eastAsia" w:ascii="宋体" w:eastAsia="宋体"/>
      </w:rPr>
    </w:lvl>
    <w:lvl w:ilvl="6" w:tentative="0">
      <w:start w:val="1"/>
      <w:numFmt w:val="decimal"/>
      <w:lvlText w:val="%1.%2.%3.%4.%5.%6.%7"/>
      <w:lvlJc w:val="left"/>
      <w:pPr>
        <w:ind w:left="1440" w:hanging="1440"/>
      </w:pPr>
      <w:rPr>
        <w:rFonts w:hint="eastAsia" w:ascii="宋体" w:eastAsia="宋体"/>
      </w:rPr>
    </w:lvl>
    <w:lvl w:ilvl="7" w:tentative="0">
      <w:start w:val="1"/>
      <w:numFmt w:val="decimal"/>
      <w:lvlText w:val="%1.%2.%3.%4.%5.%6.%7.%8"/>
      <w:lvlJc w:val="left"/>
      <w:pPr>
        <w:ind w:left="1800" w:hanging="1800"/>
      </w:pPr>
      <w:rPr>
        <w:rFonts w:hint="eastAsia" w:ascii="宋体" w:eastAsia="宋体"/>
      </w:rPr>
    </w:lvl>
    <w:lvl w:ilvl="8" w:tentative="0">
      <w:start w:val="1"/>
      <w:numFmt w:val="decimal"/>
      <w:lvlText w:val="%1.%2.%3.%4.%5.%6.%7.%8.%9"/>
      <w:lvlJc w:val="left"/>
      <w:pPr>
        <w:ind w:left="1800" w:hanging="1800"/>
      </w:pPr>
      <w:rPr>
        <w:rFonts w:hint="eastAsia" w:ascii="宋体" w:eastAsia="宋体"/>
      </w:rPr>
    </w:lvl>
  </w:abstractNum>
  <w:abstractNum w:abstractNumId="48">
    <w:nsid w:val="0CEF100B"/>
    <w:multiLevelType w:val="multilevel"/>
    <w:tmpl w:val="0CEF100B"/>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49">
    <w:nsid w:val="0F9F9CCA"/>
    <w:multiLevelType w:val="multilevel"/>
    <w:tmpl w:val="0F9F9CCA"/>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50">
    <w:nsid w:val="10F0DB0B"/>
    <w:multiLevelType w:val="multilevel"/>
    <w:tmpl w:val="10F0DB0B"/>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51">
    <w:nsid w:val="12EADF99"/>
    <w:multiLevelType w:val="multilevel"/>
    <w:tmpl w:val="12EADF99"/>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52">
    <w:nsid w:val="130A2028"/>
    <w:multiLevelType w:val="multilevel"/>
    <w:tmpl w:val="130A2028"/>
    <w:lvl w:ilvl="0" w:tentative="0">
      <w:start w:val="1"/>
      <w:numFmt w:val="decimal"/>
      <w:lvlText w:val="%1"/>
      <w:lvlJc w:val="left"/>
      <w:pPr>
        <w:ind w:left="600" w:hanging="600"/>
      </w:pPr>
      <w:rPr>
        <w:rFonts w:hint="default"/>
      </w:rPr>
    </w:lvl>
    <w:lvl w:ilvl="1" w:tentative="0">
      <w:start w:val="13"/>
      <w:numFmt w:val="decimal"/>
      <w:lvlText w:val="%1.%2"/>
      <w:lvlJc w:val="left"/>
      <w:pPr>
        <w:ind w:left="600" w:hanging="60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3">
    <w:nsid w:val="15C84776"/>
    <w:multiLevelType w:val="multilevel"/>
    <w:tmpl w:val="15C84776"/>
    <w:lvl w:ilvl="0" w:tentative="0">
      <w:start w:val="1"/>
      <w:numFmt w:val="decimal"/>
      <w:lvlText w:val="%1"/>
      <w:lvlJc w:val="left"/>
      <w:pPr>
        <w:ind w:left="525" w:hanging="525"/>
      </w:pPr>
      <w:rPr>
        <w:rFonts w:hint="eastAsia"/>
      </w:rPr>
    </w:lvl>
    <w:lvl w:ilvl="1" w:tentative="0">
      <w:start w:val="9"/>
      <w:numFmt w:val="decimal"/>
      <w:lvlText w:val="%1.%2"/>
      <w:lvlJc w:val="left"/>
      <w:pPr>
        <w:ind w:left="525" w:hanging="525"/>
      </w:pPr>
      <w:rPr>
        <w:rFonts w:hint="eastAsia"/>
      </w:rPr>
    </w:lvl>
    <w:lvl w:ilvl="2" w:tentative="0">
      <w:start w:val="1"/>
      <w:numFmt w:val="decimal"/>
      <w:lvlText w:val="%1.%2.%3"/>
      <w:lvlJc w:val="left"/>
      <w:pPr>
        <w:ind w:left="862" w:hanging="720"/>
      </w:pPr>
      <w:rPr>
        <w:rFonts w:hint="eastAsia"/>
      </w:rPr>
    </w:lvl>
    <w:lvl w:ilvl="3" w:tentative="0">
      <w:start w:val="1"/>
      <w:numFmt w:val="decimal"/>
      <w:lvlText w:val="%1.%2.%3.%4"/>
      <w:lvlJc w:val="left"/>
      <w:pPr>
        <w:ind w:left="1080" w:hanging="1080"/>
      </w:pPr>
      <w:rPr>
        <w:rFonts w:hint="eastAsia"/>
      </w:rPr>
    </w:lvl>
    <w:lvl w:ilvl="4" w:tentative="0">
      <w:start w:val="1"/>
      <w:numFmt w:val="decimal"/>
      <w:lvlText w:val="%1.%2.%3.%4.%5"/>
      <w:lvlJc w:val="left"/>
      <w:pPr>
        <w:ind w:left="1080" w:hanging="1080"/>
      </w:pPr>
      <w:rPr>
        <w:rFonts w:hint="eastAsia"/>
      </w:rPr>
    </w:lvl>
    <w:lvl w:ilvl="5" w:tentative="0">
      <w:start w:val="1"/>
      <w:numFmt w:val="decimal"/>
      <w:lvlText w:val="%1.%2.%3.%4.%5.%6"/>
      <w:lvlJc w:val="left"/>
      <w:pPr>
        <w:ind w:left="1440" w:hanging="1440"/>
      </w:pPr>
      <w:rPr>
        <w:rFonts w:hint="eastAsia"/>
      </w:rPr>
    </w:lvl>
    <w:lvl w:ilvl="6" w:tentative="0">
      <w:start w:val="1"/>
      <w:numFmt w:val="decimal"/>
      <w:lvlText w:val="%1.%2.%3.%4.%5.%6.%7"/>
      <w:lvlJc w:val="left"/>
      <w:pPr>
        <w:ind w:left="1440" w:hanging="1440"/>
      </w:pPr>
      <w:rPr>
        <w:rFonts w:hint="eastAsia"/>
      </w:rPr>
    </w:lvl>
    <w:lvl w:ilvl="7" w:tentative="0">
      <w:start w:val="1"/>
      <w:numFmt w:val="decimal"/>
      <w:lvlText w:val="%1.%2.%3.%4.%5.%6.%7.%8"/>
      <w:lvlJc w:val="left"/>
      <w:pPr>
        <w:ind w:left="1800" w:hanging="1800"/>
      </w:pPr>
      <w:rPr>
        <w:rFonts w:hint="eastAsia"/>
      </w:rPr>
    </w:lvl>
    <w:lvl w:ilvl="8" w:tentative="0">
      <w:start w:val="1"/>
      <w:numFmt w:val="decimal"/>
      <w:lvlText w:val="%1.%2.%3.%4.%5.%6.%7.%8.%9"/>
      <w:lvlJc w:val="left"/>
      <w:pPr>
        <w:ind w:left="1800" w:hanging="1800"/>
      </w:pPr>
      <w:rPr>
        <w:rFonts w:hint="eastAsia"/>
      </w:rPr>
    </w:lvl>
  </w:abstractNum>
  <w:abstractNum w:abstractNumId="54">
    <w:nsid w:val="16D63616"/>
    <w:multiLevelType w:val="multilevel"/>
    <w:tmpl w:val="16D63616"/>
    <w:lvl w:ilvl="0" w:tentative="0">
      <w:start w:val="2"/>
      <w:numFmt w:val="decimal"/>
      <w:lvlText w:val="%1"/>
      <w:lvlJc w:val="left"/>
      <w:pPr>
        <w:ind w:left="525" w:hanging="525"/>
      </w:pPr>
      <w:rPr>
        <w:rFonts w:hint="eastAsia"/>
      </w:rPr>
    </w:lvl>
    <w:lvl w:ilvl="1" w:tentative="0">
      <w:start w:val="4"/>
      <w:numFmt w:val="decimal"/>
      <w:lvlText w:val="%1.%2"/>
      <w:lvlJc w:val="left"/>
      <w:pPr>
        <w:ind w:left="525" w:hanging="525"/>
      </w:pPr>
      <w:rPr>
        <w:rFonts w:hint="eastAsia"/>
      </w:rPr>
    </w:lvl>
    <w:lvl w:ilvl="2" w:tentative="0">
      <w:start w:val="3"/>
      <w:numFmt w:val="decimal"/>
      <w:lvlText w:val="%1.%2.%3"/>
      <w:lvlJc w:val="left"/>
      <w:pPr>
        <w:ind w:left="720" w:hanging="720"/>
      </w:pPr>
      <w:rPr>
        <w:rFonts w:hint="eastAsia"/>
      </w:rPr>
    </w:lvl>
    <w:lvl w:ilvl="3" w:tentative="0">
      <w:start w:val="1"/>
      <w:numFmt w:val="decimal"/>
      <w:lvlText w:val="%1.%2.%3.%4"/>
      <w:lvlJc w:val="left"/>
      <w:pPr>
        <w:ind w:left="1080" w:hanging="1080"/>
      </w:pPr>
      <w:rPr>
        <w:rFonts w:hint="eastAsia"/>
      </w:rPr>
    </w:lvl>
    <w:lvl w:ilvl="4" w:tentative="0">
      <w:start w:val="1"/>
      <w:numFmt w:val="decimal"/>
      <w:lvlText w:val="%1.%2.%3.%4.%5"/>
      <w:lvlJc w:val="left"/>
      <w:pPr>
        <w:ind w:left="1080" w:hanging="1080"/>
      </w:pPr>
      <w:rPr>
        <w:rFonts w:hint="eastAsia"/>
      </w:rPr>
    </w:lvl>
    <w:lvl w:ilvl="5" w:tentative="0">
      <w:start w:val="1"/>
      <w:numFmt w:val="decimal"/>
      <w:lvlText w:val="%1.%2.%3.%4.%5.%6"/>
      <w:lvlJc w:val="left"/>
      <w:pPr>
        <w:ind w:left="1440" w:hanging="1440"/>
      </w:pPr>
      <w:rPr>
        <w:rFonts w:hint="eastAsia"/>
      </w:rPr>
    </w:lvl>
    <w:lvl w:ilvl="6" w:tentative="0">
      <w:start w:val="1"/>
      <w:numFmt w:val="decimal"/>
      <w:lvlText w:val="%1.%2.%3.%4.%5.%6.%7"/>
      <w:lvlJc w:val="left"/>
      <w:pPr>
        <w:ind w:left="1440" w:hanging="1440"/>
      </w:pPr>
      <w:rPr>
        <w:rFonts w:hint="eastAsia"/>
      </w:rPr>
    </w:lvl>
    <w:lvl w:ilvl="7" w:tentative="0">
      <w:start w:val="1"/>
      <w:numFmt w:val="decimal"/>
      <w:lvlText w:val="%1.%2.%3.%4.%5.%6.%7.%8"/>
      <w:lvlJc w:val="left"/>
      <w:pPr>
        <w:ind w:left="1800" w:hanging="1800"/>
      </w:pPr>
      <w:rPr>
        <w:rFonts w:hint="eastAsia"/>
      </w:rPr>
    </w:lvl>
    <w:lvl w:ilvl="8" w:tentative="0">
      <w:start w:val="1"/>
      <w:numFmt w:val="decimal"/>
      <w:lvlText w:val="%1.%2.%3.%4.%5.%6.%7.%8.%9"/>
      <w:lvlJc w:val="left"/>
      <w:pPr>
        <w:ind w:left="1800" w:hanging="1800"/>
      </w:pPr>
      <w:rPr>
        <w:rFonts w:hint="eastAsia"/>
      </w:rPr>
    </w:lvl>
  </w:abstractNum>
  <w:abstractNum w:abstractNumId="55">
    <w:nsid w:val="18F74015"/>
    <w:multiLevelType w:val="multilevel"/>
    <w:tmpl w:val="18F74015"/>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56">
    <w:nsid w:val="1A212C7F"/>
    <w:multiLevelType w:val="multilevel"/>
    <w:tmpl w:val="1A212C7F"/>
    <w:lvl w:ilvl="0" w:tentative="0">
      <w:start w:val="15"/>
      <w:numFmt w:val="decimal"/>
      <w:lvlText w:val="%1"/>
      <w:lvlJc w:val="left"/>
      <w:pPr>
        <w:ind w:left="571" w:hanging="360"/>
      </w:pPr>
      <w:rPr>
        <w:rFonts w:hint="default"/>
      </w:rPr>
    </w:lvl>
    <w:lvl w:ilvl="1" w:tentative="0">
      <w:start w:val="1"/>
      <w:numFmt w:val="lowerLetter"/>
      <w:lvlText w:val="%2)"/>
      <w:lvlJc w:val="left"/>
      <w:pPr>
        <w:ind w:left="1051" w:hanging="420"/>
      </w:pPr>
    </w:lvl>
    <w:lvl w:ilvl="2" w:tentative="0">
      <w:start w:val="1"/>
      <w:numFmt w:val="lowerRoman"/>
      <w:lvlText w:val="%3."/>
      <w:lvlJc w:val="right"/>
      <w:pPr>
        <w:ind w:left="1471" w:hanging="420"/>
      </w:pPr>
    </w:lvl>
    <w:lvl w:ilvl="3" w:tentative="0">
      <w:start w:val="1"/>
      <w:numFmt w:val="decimal"/>
      <w:lvlText w:val="%4."/>
      <w:lvlJc w:val="left"/>
      <w:pPr>
        <w:ind w:left="1891" w:hanging="420"/>
      </w:pPr>
    </w:lvl>
    <w:lvl w:ilvl="4" w:tentative="0">
      <w:start w:val="1"/>
      <w:numFmt w:val="lowerLetter"/>
      <w:lvlText w:val="%5)"/>
      <w:lvlJc w:val="left"/>
      <w:pPr>
        <w:ind w:left="2311" w:hanging="420"/>
      </w:pPr>
    </w:lvl>
    <w:lvl w:ilvl="5" w:tentative="0">
      <w:start w:val="1"/>
      <w:numFmt w:val="lowerRoman"/>
      <w:lvlText w:val="%6."/>
      <w:lvlJc w:val="right"/>
      <w:pPr>
        <w:ind w:left="2731" w:hanging="420"/>
      </w:pPr>
    </w:lvl>
    <w:lvl w:ilvl="6" w:tentative="0">
      <w:start w:val="1"/>
      <w:numFmt w:val="decimal"/>
      <w:lvlText w:val="%7."/>
      <w:lvlJc w:val="left"/>
      <w:pPr>
        <w:ind w:left="3151" w:hanging="420"/>
      </w:pPr>
    </w:lvl>
    <w:lvl w:ilvl="7" w:tentative="0">
      <w:start w:val="1"/>
      <w:numFmt w:val="lowerLetter"/>
      <w:lvlText w:val="%8)"/>
      <w:lvlJc w:val="left"/>
      <w:pPr>
        <w:ind w:left="3571" w:hanging="420"/>
      </w:pPr>
    </w:lvl>
    <w:lvl w:ilvl="8" w:tentative="0">
      <w:start w:val="1"/>
      <w:numFmt w:val="lowerRoman"/>
      <w:lvlText w:val="%9."/>
      <w:lvlJc w:val="right"/>
      <w:pPr>
        <w:ind w:left="3991" w:hanging="420"/>
      </w:pPr>
    </w:lvl>
  </w:abstractNum>
  <w:abstractNum w:abstractNumId="57">
    <w:nsid w:val="1ACDE60F"/>
    <w:multiLevelType w:val="multilevel"/>
    <w:tmpl w:val="1ACDE60F"/>
    <w:lvl w:ilvl="0" w:tentative="0">
      <w:start w:val="1"/>
      <w:numFmt w:val="decimal"/>
      <w:lvlText w:val="（%1）"/>
      <w:lvlJc w:val="left"/>
      <w:pPr>
        <w:ind w:left="110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30" w:hanging="529"/>
      </w:pPr>
      <w:rPr>
        <w:rFonts w:hint="default"/>
        <w:lang w:val="zh-CN" w:eastAsia="zh-CN" w:bidi="zh-CN"/>
      </w:rPr>
    </w:lvl>
    <w:lvl w:ilvl="2" w:tentative="0">
      <w:start w:val="0"/>
      <w:numFmt w:val="bullet"/>
      <w:lvlText w:val="•"/>
      <w:lvlJc w:val="left"/>
      <w:pPr>
        <w:ind w:left="2961" w:hanging="529"/>
      </w:pPr>
      <w:rPr>
        <w:rFonts w:hint="default"/>
        <w:lang w:val="zh-CN" w:eastAsia="zh-CN" w:bidi="zh-CN"/>
      </w:rPr>
    </w:lvl>
    <w:lvl w:ilvl="3" w:tentative="0">
      <w:start w:val="0"/>
      <w:numFmt w:val="bullet"/>
      <w:lvlText w:val="•"/>
      <w:lvlJc w:val="left"/>
      <w:pPr>
        <w:ind w:left="3891" w:hanging="529"/>
      </w:pPr>
      <w:rPr>
        <w:rFonts w:hint="default"/>
        <w:lang w:val="zh-CN" w:eastAsia="zh-CN" w:bidi="zh-CN"/>
      </w:rPr>
    </w:lvl>
    <w:lvl w:ilvl="4" w:tentative="0">
      <w:start w:val="0"/>
      <w:numFmt w:val="bullet"/>
      <w:lvlText w:val="•"/>
      <w:lvlJc w:val="left"/>
      <w:pPr>
        <w:ind w:left="4822" w:hanging="529"/>
      </w:pPr>
      <w:rPr>
        <w:rFonts w:hint="default"/>
        <w:lang w:val="zh-CN" w:eastAsia="zh-CN" w:bidi="zh-CN"/>
      </w:rPr>
    </w:lvl>
    <w:lvl w:ilvl="5" w:tentative="0">
      <w:start w:val="0"/>
      <w:numFmt w:val="bullet"/>
      <w:lvlText w:val="•"/>
      <w:lvlJc w:val="left"/>
      <w:pPr>
        <w:ind w:left="5753" w:hanging="529"/>
      </w:pPr>
      <w:rPr>
        <w:rFonts w:hint="default"/>
        <w:lang w:val="zh-CN" w:eastAsia="zh-CN" w:bidi="zh-CN"/>
      </w:rPr>
    </w:lvl>
    <w:lvl w:ilvl="6" w:tentative="0">
      <w:start w:val="0"/>
      <w:numFmt w:val="bullet"/>
      <w:lvlText w:val="•"/>
      <w:lvlJc w:val="left"/>
      <w:pPr>
        <w:ind w:left="6683" w:hanging="529"/>
      </w:pPr>
      <w:rPr>
        <w:rFonts w:hint="default"/>
        <w:lang w:val="zh-CN" w:eastAsia="zh-CN" w:bidi="zh-CN"/>
      </w:rPr>
    </w:lvl>
    <w:lvl w:ilvl="7" w:tentative="0">
      <w:start w:val="0"/>
      <w:numFmt w:val="bullet"/>
      <w:lvlText w:val="•"/>
      <w:lvlJc w:val="left"/>
      <w:pPr>
        <w:ind w:left="7614" w:hanging="529"/>
      </w:pPr>
      <w:rPr>
        <w:rFonts w:hint="default"/>
        <w:lang w:val="zh-CN" w:eastAsia="zh-CN" w:bidi="zh-CN"/>
      </w:rPr>
    </w:lvl>
    <w:lvl w:ilvl="8" w:tentative="0">
      <w:start w:val="0"/>
      <w:numFmt w:val="bullet"/>
      <w:lvlText w:val="•"/>
      <w:lvlJc w:val="left"/>
      <w:pPr>
        <w:ind w:left="8545" w:hanging="529"/>
      </w:pPr>
      <w:rPr>
        <w:rFonts w:hint="default"/>
        <w:lang w:val="zh-CN" w:eastAsia="zh-CN" w:bidi="zh-CN"/>
      </w:rPr>
    </w:lvl>
  </w:abstractNum>
  <w:abstractNum w:abstractNumId="58">
    <w:nsid w:val="1AD50295"/>
    <w:multiLevelType w:val="multilevel"/>
    <w:tmpl w:val="1AD50295"/>
    <w:lvl w:ilvl="0" w:tentative="0">
      <w:start w:val="19"/>
      <w:numFmt w:val="decimal"/>
      <w:lvlText w:val="%1"/>
      <w:lvlJc w:val="left"/>
      <w:pPr>
        <w:ind w:left="981" w:hanging="632"/>
      </w:pPr>
      <w:rPr>
        <w:rFonts w:hint="default"/>
        <w:lang w:val="zh-CN" w:eastAsia="zh-CN" w:bidi="zh-CN"/>
      </w:rPr>
    </w:lvl>
    <w:lvl w:ilvl="1" w:tentative="0">
      <w:start w:val="7"/>
      <w:numFmt w:val="decimal"/>
      <w:lvlText w:val="%1.%2"/>
      <w:lvlJc w:val="left"/>
      <w:pPr>
        <w:ind w:left="981" w:hanging="632"/>
      </w:pPr>
      <w:rPr>
        <w:rFonts w:hint="default" w:ascii="Times New Roman" w:hAnsi="Times New Roman" w:eastAsia="Times New Roman" w:cs="Times New Roman"/>
        <w:spacing w:val="-4"/>
        <w:w w:val="100"/>
        <w:sz w:val="28"/>
        <w:szCs w:val="28"/>
        <w:lang w:val="zh-CN" w:eastAsia="zh-CN" w:bidi="zh-CN"/>
      </w:rPr>
    </w:lvl>
    <w:lvl w:ilvl="2" w:tentative="0">
      <w:start w:val="1"/>
      <w:numFmt w:val="decimal"/>
      <w:lvlText w:val="（%3）"/>
      <w:lvlJc w:val="left"/>
      <w:pPr>
        <w:ind w:left="1267" w:hanging="529"/>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292" w:hanging="529"/>
      </w:pPr>
      <w:rPr>
        <w:rFonts w:hint="default"/>
        <w:lang w:val="zh-CN" w:eastAsia="zh-CN" w:bidi="zh-CN"/>
      </w:rPr>
    </w:lvl>
    <w:lvl w:ilvl="4" w:tentative="0">
      <w:start w:val="0"/>
      <w:numFmt w:val="bullet"/>
      <w:lvlText w:val="•"/>
      <w:lvlJc w:val="left"/>
      <w:pPr>
        <w:ind w:left="4308" w:hanging="529"/>
      </w:pPr>
      <w:rPr>
        <w:rFonts w:hint="default"/>
        <w:lang w:val="zh-CN" w:eastAsia="zh-CN" w:bidi="zh-CN"/>
      </w:rPr>
    </w:lvl>
    <w:lvl w:ilvl="5" w:tentative="0">
      <w:start w:val="0"/>
      <w:numFmt w:val="bullet"/>
      <w:lvlText w:val="•"/>
      <w:lvlJc w:val="left"/>
      <w:pPr>
        <w:ind w:left="5325" w:hanging="529"/>
      </w:pPr>
      <w:rPr>
        <w:rFonts w:hint="default"/>
        <w:lang w:val="zh-CN" w:eastAsia="zh-CN" w:bidi="zh-CN"/>
      </w:rPr>
    </w:lvl>
    <w:lvl w:ilvl="6" w:tentative="0">
      <w:start w:val="0"/>
      <w:numFmt w:val="bullet"/>
      <w:lvlText w:val="•"/>
      <w:lvlJc w:val="left"/>
      <w:pPr>
        <w:ind w:left="6341" w:hanging="529"/>
      </w:pPr>
      <w:rPr>
        <w:rFonts w:hint="default"/>
        <w:lang w:val="zh-CN" w:eastAsia="zh-CN" w:bidi="zh-CN"/>
      </w:rPr>
    </w:lvl>
    <w:lvl w:ilvl="7" w:tentative="0">
      <w:start w:val="0"/>
      <w:numFmt w:val="bullet"/>
      <w:lvlText w:val="•"/>
      <w:lvlJc w:val="left"/>
      <w:pPr>
        <w:ind w:left="7357" w:hanging="529"/>
      </w:pPr>
      <w:rPr>
        <w:rFonts w:hint="default"/>
        <w:lang w:val="zh-CN" w:eastAsia="zh-CN" w:bidi="zh-CN"/>
      </w:rPr>
    </w:lvl>
    <w:lvl w:ilvl="8" w:tentative="0">
      <w:start w:val="0"/>
      <w:numFmt w:val="bullet"/>
      <w:lvlText w:val="•"/>
      <w:lvlJc w:val="left"/>
      <w:pPr>
        <w:ind w:left="8373" w:hanging="529"/>
      </w:pPr>
      <w:rPr>
        <w:rFonts w:hint="default"/>
        <w:lang w:val="zh-CN" w:eastAsia="zh-CN" w:bidi="zh-CN"/>
      </w:rPr>
    </w:lvl>
  </w:abstractNum>
  <w:abstractNum w:abstractNumId="59">
    <w:nsid w:val="1C257C7B"/>
    <w:multiLevelType w:val="multilevel"/>
    <w:tmpl w:val="1C257C7B"/>
    <w:lvl w:ilvl="0" w:tentative="0">
      <w:start w:val="6"/>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60">
    <w:nsid w:val="1C482999"/>
    <w:multiLevelType w:val="multilevel"/>
    <w:tmpl w:val="1C482999"/>
    <w:lvl w:ilvl="0" w:tentative="0">
      <w:start w:val="18"/>
      <w:numFmt w:val="decimal"/>
      <w:lvlText w:val="%1"/>
      <w:lvlJc w:val="left"/>
      <w:pPr>
        <w:ind w:left="480" w:hanging="480"/>
      </w:pPr>
      <w:rPr>
        <w:rFonts w:hint="default" w:ascii="宋体" w:eastAsia="宋体"/>
      </w:rPr>
    </w:lvl>
    <w:lvl w:ilvl="1" w:tentative="0">
      <w:start w:val="1"/>
      <w:numFmt w:val="decimal"/>
      <w:lvlText w:val="%1.%2"/>
      <w:lvlJc w:val="left"/>
      <w:pPr>
        <w:ind w:left="1017" w:hanging="480"/>
      </w:pPr>
      <w:rPr>
        <w:rFonts w:hint="default" w:ascii="宋体" w:eastAsia="宋体"/>
      </w:rPr>
    </w:lvl>
    <w:lvl w:ilvl="2" w:tentative="0">
      <w:start w:val="1"/>
      <w:numFmt w:val="decimal"/>
      <w:lvlText w:val="%1.%2.%3"/>
      <w:lvlJc w:val="left"/>
      <w:pPr>
        <w:ind w:left="1794" w:hanging="720"/>
      </w:pPr>
      <w:rPr>
        <w:rFonts w:hint="default" w:ascii="宋体" w:eastAsia="宋体"/>
      </w:rPr>
    </w:lvl>
    <w:lvl w:ilvl="3" w:tentative="0">
      <w:start w:val="1"/>
      <w:numFmt w:val="decimal"/>
      <w:lvlText w:val="%1.%2.%3.%4"/>
      <w:lvlJc w:val="left"/>
      <w:pPr>
        <w:ind w:left="2331" w:hanging="720"/>
      </w:pPr>
      <w:rPr>
        <w:rFonts w:hint="default" w:ascii="宋体" w:eastAsia="宋体"/>
      </w:rPr>
    </w:lvl>
    <w:lvl w:ilvl="4" w:tentative="0">
      <w:start w:val="1"/>
      <w:numFmt w:val="decimal"/>
      <w:lvlText w:val="%1.%2.%3.%4.%5"/>
      <w:lvlJc w:val="left"/>
      <w:pPr>
        <w:ind w:left="3228" w:hanging="1080"/>
      </w:pPr>
      <w:rPr>
        <w:rFonts w:hint="default" w:ascii="宋体" w:eastAsia="宋体"/>
      </w:rPr>
    </w:lvl>
    <w:lvl w:ilvl="5" w:tentative="0">
      <w:start w:val="1"/>
      <w:numFmt w:val="decimal"/>
      <w:lvlText w:val="%1.%2.%3.%4.%5.%6"/>
      <w:lvlJc w:val="left"/>
      <w:pPr>
        <w:ind w:left="3765" w:hanging="1080"/>
      </w:pPr>
      <w:rPr>
        <w:rFonts w:hint="default" w:ascii="宋体" w:eastAsia="宋体"/>
      </w:rPr>
    </w:lvl>
    <w:lvl w:ilvl="6" w:tentative="0">
      <w:start w:val="1"/>
      <w:numFmt w:val="decimal"/>
      <w:lvlText w:val="%1.%2.%3.%4.%5.%6.%7"/>
      <w:lvlJc w:val="left"/>
      <w:pPr>
        <w:ind w:left="4302" w:hanging="1080"/>
      </w:pPr>
      <w:rPr>
        <w:rFonts w:hint="default" w:ascii="宋体" w:eastAsia="宋体"/>
      </w:rPr>
    </w:lvl>
    <w:lvl w:ilvl="7" w:tentative="0">
      <w:start w:val="1"/>
      <w:numFmt w:val="decimal"/>
      <w:lvlText w:val="%1.%2.%3.%4.%5.%6.%7.%8"/>
      <w:lvlJc w:val="left"/>
      <w:pPr>
        <w:ind w:left="5199" w:hanging="1440"/>
      </w:pPr>
      <w:rPr>
        <w:rFonts w:hint="default" w:ascii="宋体" w:eastAsia="宋体"/>
      </w:rPr>
    </w:lvl>
    <w:lvl w:ilvl="8" w:tentative="0">
      <w:start w:val="1"/>
      <w:numFmt w:val="decimal"/>
      <w:lvlText w:val="%1.%2.%3.%4.%5.%6.%7.%8.%9"/>
      <w:lvlJc w:val="left"/>
      <w:pPr>
        <w:ind w:left="5736" w:hanging="1440"/>
      </w:pPr>
      <w:rPr>
        <w:rFonts w:hint="default" w:ascii="宋体" w:eastAsia="宋体"/>
      </w:rPr>
    </w:lvl>
  </w:abstractNum>
  <w:abstractNum w:abstractNumId="61">
    <w:nsid w:val="1C800345"/>
    <w:multiLevelType w:val="multilevel"/>
    <w:tmpl w:val="1C800345"/>
    <w:lvl w:ilvl="0" w:tentative="0">
      <w:start w:val="21"/>
      <w:numFmt w:val="decimal"/>
      <w:lvlText w:val="%1"/>
      <w:lvlJc w:val="left"/>
      <w:pPr>
        <w:ind w:left="480" w:hanging="480"/>
      </w:pPr>
      <w:rPr>
        <w:rFonts w:hint="default" w:ascii="宋体" w:eastAsia="宋体"/>
      </w:rPr>
    </w:lvl>
    <w:lvl w:ilvl="1" w:tentative="0">
      <w:start w:val="1"/>
      <w:numFmt w:val="decimal"/>
      <w:lvlText w:val="%1.%2"/>
      <w:lvlJc w:val="left"/>
      <w:pPr>
        <w:ind w:left="916" w:hanging="480"/>
      </w:pPr>
      <w:rPr>
        <w:rFonts w:hint="default" w:ascii="宋体" w:eastAsia="宋体"/>
      </w:rPr>
    </w:lvl>
    <w:lvl w:ilvl="2" w:tentative="0">
      <w:start w:val="1"/>
      <w:numFmt w:val="decimal"/>
      <w:lvlText w:val="%1.%2.%3"/>
      <w:lvlJc w:val="left"/>
      <w:pPr>
        <w:ind w:left="1592" w:hanging="720"/>
      </w:pPr>
      <w:rPr>
        <w:rFonts w:hint="default" w:ascii="宋体" w:eastAsia="宋体"/>
      </w:rPr>
    </w:lvl>
    <w:lvl w:ilvl="3" w:tentative="0">
      <w:start w:val="1"/>
      <w:numFmt w:val="decimal"/>
      <w:lvlText w:val="%1.%2.%3.%4"/>
      <w:lvlJc w:val="left"/>
      <w:pPr>
        <w:ind w:left="2028" w:hanging="720"/>
      </w:pPr>
      <w:rPr>
        <w:rFonts w:hint="default" w:ascii="宋体" w:eastAsia="宋体"/>
      </w:rPr>
    </w:lvl>
    <w:lvl w:ilvl="4" w:tentative="0">
      <w:start w:val="1"/>
      <w:numFmt w:val="decimal"/>
      <w:lvlText w:val="%1.%2.%3.%4.%5"/>
      <w:lvlJc w:val="left"/>
      <w:pPr>
        <w:ind w:left="2824" w:hanging="1080"/>
      </w:pPr>
      <w:rPr>
        <w:rFonts w:hint="default" w:ascii="宋体" w:eastAsia="宋体"/>
      </w:rPr>
    </w:lvl>
    <w:lvl w:ilvl="5" w:tentative="0">
      <w:start w:val="1"/>
      <w:numFmt w:val="decimal"/>
      <w:lvlText w:val="%1.%2.%3.%4.%5.%6"/>
      <w:lvlJc w:val="left"/>
      <w:pPr>
        <w:ind w:left="3260" w:hanging="1080"/>
      </w:pPr>
      <w:rPr>
        <w:rFonts w:hint="default" w:ascii="宋体" w:eastAsia="宋体"/>
      </w:rPr>
    </w:lvl>
    <w:lvl w:ilvl="6" w:tentative="0">
      <w:start w:val="1"/>
      <w:numFmt w:val="decimal"/>
      <w:lvlText w:val="%1.%2.%3.%4.%5.%6.%7"/>
      <w:lvlJc w:val="left"/>
      <w:pPr>
        <w:ind w:left="3696" w:hanging="1080"/>
      </w:pPr>
      <w:rPr>
        <w:rFonts w:hint="default" w:ascii="宋体" w:eastAsia="宋体"/>
      </w:rPr>
    </w:lvl>
    <w:lvl w:ilvl="7" w:tentative="0">
      <w:start w:val="1"/>
      <w:numFmt w:val="decimal"/>
      <w:lvlText w:val="%1.%2.%3.%4.%5.%6.%7.%8"/>
      <w:lvlJc w:val="left"/>
      <w:pPr>
        <w:ind w:left="4492" w:hanging="1440"/>
      </w:pPr>
      <w:rPr>
        <w:rFonts w:hint="default" w:ascii="宋体" w:eastAsia="宋体"/>
      </w:rPr>
    </w:lvl>
    <w:lvl w:ilvl="8" w:tentative="0">
      <w:start w:val="1"/>
      <w:numFmt w:val="decimal"/>
      <w:lvlText w:val="%1.%2.%3.%4.%5.%6.%7.%8.%9"/>
      <w:lvlJc w:val="left"/>
      <w:pPr>
        <w:ind w:left="4928" w:hanging="1440"/>
      </w:pPr>
      <w:rPr>
        <w:rFonts w:hint="default" w:ascii="宋体" w:eastAsia="宋体"/>
      </w:rPr>
    </w:lvl>
  </w:abstractNum>
  <w:abstractNum w:abstractNumId="62">
    <w:nsid w:val="1D533B76"/>
    <w:multiLevelType w:val="multilevel"/>
    <w:tmpl w:val="1D533B76"/>
    <w:lvl w:ilvl="0" w:tentative="0">
      <w:start w:val="7"/>
      <w:numFmt w:val="decimal"/>
      <w:lvlText w:val="%1"/>
      <w:lvlJc w:val="left"/>
      <w:pPr>
        <w:ind w:left="360" w:hanging="360"/>
      </w:pPr>
      <w:rPr>
        <w:rFonts w:hint="default" w:ascii="宋体" w:eastAsia="宋体"/>
      </w:rPr>
    </w:lvl>
    <w:lvl w:ilvl="1" w:tentative="0">
      <w:start w:val="5"/>
      <w:numFmt w:val="decimal"/>
      <w:lvlText w:val="%1.%2"/>
      <w:lvlJc w:val="left"/>
      <w:pPr>
        <w:ind w:left="470" w:hanging="360"/>
      </w:pPr>
      <w:rPr>
        <w:rFonts w:hint="default" w:ascii="宋体" w:eastAsia="宋体"/>
      </w:rPr>
    </w:lvl>
    <w:lvl w:ilvl="2" w:tentative="0">
      <w:start w:val="1"/>
      <w:numFmt w:val="decimal"/>
      <w:lvlText w:val="%1.%2.%3"/>
      <w:lvlJc w:val="left"/>
      <w:pPr>
        <w:ind w:left="940" w:hanging="720"/>
      </w:pPr>
      <w:rPr>
        <w:rFonts w:hint="default" w:ascii="宋体" w:eastAsia="宋体"/>
      </w:rPr>
    </w:lvl>
    <w:lvl w:ilvl="3" w:tentative="0">
      <w:start w:val="1"/>
      <w:numFmt w:val="decimal"/>
      <w:lvlText w:val="%1.%2.%3.%4"/>
      <w:lvlJc w:val="left"/>
      <w:pPr>
        <w:ind w:left="1050" w:hanging="720"/>
      </w:pPr>
      <w:rPr>
        <w:rFonts w:hint="default" w:ascii="宋体" w:eastAsia="宋体"/>
      </w:rPr>
    </w:lvl>
    <w:lvl w:ilvl="4" w:tentative="0">
      <w:start w:val="1"/>
      <w:numFmt w:val="decimal"/>
      <w:lvlText w:val="%1.%2.%3.%4.%5"/>
      <w:lvlJc w:val="left"/>
      <w:pPr>
        <w:ind w:left="1520" w:hanging="1080"/>
      </w:pPr>
      <w:rPr>
        <w:rFonts w:hint="default" w:ascii="宋体" w:eastAsia="宋体"/>
      </w:rPr>
    </w:lvl>
    <w:lvl w:ilvl="5" w:tentative="0">
      <w:start w:val="1"/>
      <w:numFmt w:val="decimal"/>
      <w:lvlText w:val="%1.%2.%3.%4.%5.%6"/>
      <w:lvlJc w:val="left"/>
      <w:pPr>
        <w:ind w:left="1630" w:hanging="1080"/>
      </w:pPr>
      <w:rPr>
        <w:rFonts w:hint="default" w:ascii="宋体" w:eastAsia="宋体"/>
      </w:rPr>
    </w:lvl>
    <w:lvl w:ilvl="6" w:tentative="0">
      <w:start w:val="1"/>
      <w:numFmt w:val="decimal"/>
      <w:lvlText w:val="%1.%2.%3.%4.%5.%6.%7"/>
      <w:lvlJc w:val="left"/>
      <w:pPr>
        <w:ind w:left="1740" w:hanging="1080"/>
      </w:pPr>
      <w:rPr>
        <w:rFonts w:hint="default" w:ascii="宋体" w:eastAsia="宋体"/>
      </w:rPr>
    </w:lvl>
    <w:lvl w:ilvl="7" w:tentative="0">
      <w:start w:val="1"/>
      <w:numFmt w:val="decimal"/>
      <w:lvlText w:val="%1.%2.%3.%4.%5.%6.%7.%8"/>
      <w:lvlJc w:val="left"/>
      <w:pPr>
        <w:ind w:left="2210" w:hanging="1440"/>
      </w:pPr>
      <w:rPr>
        <w:rFonts w:hint="default" w:ascii="宋体" w:eastAsia="宋体"/>
      </w:rPr>
    </w:lvl>
    <w:lvl w:ilvl="8" w:tentative="0">
      <w:start w:val="1"/>
      <w:numFmt w:val="decimal"/>
      <w:lvlText w:val="%1.%2.%3.%4.%5.%6.%7.%8.%9"/>
      <w:lvlJc w:val="left"/>
      <w:pPr>
        <w:ind w:left="2320" w:hanging="1440"/>
      </w:pPr>
      <w:rPr>
        <w:rFonts w:hint="default" w:ascii="宋体" w:eastAsia="宋体"/>
      </w:rPr>
    </w:lvl>
  </w:abstractNum>
  <w:abstractNum w:abstractNumId="63">
    <w:nsid w:val="21B3B1B1"/>
    <w:multiLevelType w:val="multilevel"/>
    <w:tmpl w:val="21B3B1B1"/>
    <w:lvl w:ilvl="0" w:tentative="0">
      <w:start w:val="1"/>
      <w:numFmt w:val="decimal"/>
      <w:lvlText w:val="%1"/>
      <w:lvlJc w:val="left"/>
      <w:pPr>
        <w:ind w:left="951" w:hanging="318"/>
      </w:pPr>
      <w:rPr>
        <w:rFonts w:hint="default"/>
        <w:lang w:val="zh-CN" w:eastAsia="zh-CN" w:bidi="zh-CN"/>
      </w:rPr>
    </w:lvl>
    <w:lvl w:ilvl="1" w:tentative="0">
      <w:start w:val="1"/>
      <w:numFmt w:val="decimal"/>
      <w:lvlText w:val="%1.%2"/>
      <w:lvlJc w:val="left"/>
      <w:pPr>
        <w:ind w:left="951" w:hanging="318"/>
      </w:pPr>
      <w:rPr>
        <w:rFonts w:hint="default" w:ascii="宋体" w:hAnsi="宋体" w:eastAsia="宋体" w:cs="宋体"/>
        <w:w w:val="100"/>
        <w:sz w:val="19"/>
        <w:szCs w:val="19"/>
        <w:lang w:val="zh-CN" w:eastAsia="zh-CN" w:bidi="zh-CN"/>
      </w:rPr>
    </w:lvl>
    <w:lvl w:ilvl="2" w:tentative="0">
      <w:start w:val="0"/>
      <w:numFmt w:val="bullet"/>
      <w:lvlText w:val="•"/>
      <w:lvlJc w:val="left"/>
      <w:pPr>
        <w:ind w:left="2849" w:hanging="318"/>
      </w:pPr>
      <w:rPr>
        <w:rFonts w:hint="default"/>
        <w:lang w:val="zh-CN" w:eastAsia="zh-CN" w:bidi="zh-CN"/>
      </w:rPr>
    </w:lvl>
    <w:lvl w:ilvl="3" w:tentative="0">
      <w:start w:val="0"/>
      <w:numFmt w:val="bullet"/>
      <w:lvlText w:val="•"/>
      <w:lvlJc w:val="left"/>
      <w:pPr>
        <w:ind w:left="3793" w:hanging="318"/>
      </w:pPr>
      <w:rPr>
        <w:rFonts w:hint="default"/>
        <w:lang w:val="zh-CN" w:eastAsia="zh-CN" w:bidi="zh-CN"/>
      </w:rPr>
    </w:lvl>
    <w:lvl w:ilvl="4" w:tentative="0">
      <w:start w:val="0"/>
      <w:numFmt w:val="bullet"/>
      <w:lvlText w:val="•"/>
      <w:lvlJc w:val="left"/>
      <w:pPr>
        <w:ind w:left="4738" w:hanging="318"/>
      </w:pPr>
      <w:rPr>
        <w:rFonts w:hint="default"/>
        <w:lang w:val="zh-CN" w:eastAsia="zh-CN" w:bidi="zh-CN"/>
      </w:rPr>
    </w:lvl>
    <w:lvl w:ilvl="5" w:tentative="0">
      <w:start w:val="0"/>
      <w:numFmt w:val="bullet"/>
      <w:lvlText w:val="•"/>
      <w:lvlJc w:val="left"/>
      <w:pPr>
        <w:ind w:left="5683" w:hanging="318"/>
      </w:pPr>
      <w:rPr>
        <w:rFonts w:hint="default"/>
        <w:lang w:val="zh-CN" w:eastAsia="zh-CN" w:bidi="zh-CN"/>
      </w:rPr>
    </w:lvl>
    <w:lvl w:ilvl="6" w:tentative="0">
      <w:start w:val="0"/>
      <w:numFmt w:val="bullet"/>
      <w:lvlText w:val="•"/>
      <w:lvlJc w:val="left"/>
      <w:pPr>
        <w:ind w:left="6627" w:hanging="318"/>
      </w:pPr>
      <w:rPr>
        <w:rFonts w:hint="default"/>
        <w:lang w:val="zh-CN" w:eastAsia="zh-CN" w:bidi="zh-CN"/>
      </w:rPr>
    </w:lvl>
    <w:lvl w:ilvl="7" w:tentative="0">
      <w:start w:val="0"/>
      <w:numFmt w:val="bullet"/>
      <w:lvlText w:val="•"/>
      <w:lvlJc w:val="left"/>
      <w:pPr>
        <w:ind w:left="7572" w:hanging="318"/>
      </w:pPr>
      <w:rPr>
        <w:rFonts w:hint="default"/>
        <w:lang w:val="zh-CN" w:eastAsia="zh-CN" w:bidi="zh-CN"/>
      </w:rPr>
    </w:lvl>
    <w:lvl w:ilvl="8" w:tentative="0">
      <w:start w:val="0"/>
      <w:numFmt w:val="bullet"/>
      <w:lvlText w:val="•"/>
      <w:lvlJc w:val="left"/>
      <w:pPr>
        <w:ind w:left="8517" w:hanging="318"/>
      </w:pPr>
      <w:rPr>
        <w:rFonts w:hint="default"/>
        <w:lang w:val="zh-CN" w:eastAsia="zh-CN" w:bidi="zh-CN"/>
      </w:rPr>
    </w:lvl>
  </w:abstractNum>
  <w:abstractNum w:abstractNumId="64">
    <w:nsid w:val="227C9188"/>
    <w:multiLevelType w:val="multilevel"/>
    <w:tmpl w:val="227C9188"/>
    <w:lvl w:ilvl="0" w:tentative="0">
      <w:start w:val="2"/>
      <w:numFmt w:val="decimal"/>
      <w:lvlText w:val="（%1）"/>
      <w:lvlJc w:val="left"/>
      <w:pPr>
        <w:ind w:left="1056" w:hanging="529"/>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212" w:hanging="298"/>
      </w:pPr>
      <w:rPr>
        <w:rFonts w:hint="default" w:ascii="Times New Roman" w:hAnsi="Times New Roman" w:eastAsia="Times New Roman" w:cs="Times New Roman"/>
        <w:spacing w:val="-220"/>
        <w:w w:val="100"/>
        <w:sz w:val="24"/>
        <w:szCs w:val="24"/>
        <w:lang w:val="zh-CN" w:eastAsia="zh-CN" w:bidi="zh-CN"/>
      </w:rPr>
    </w:lvl>
    <w:lvl w:ilvl="2" w:tentative="0">
      <w:start w:val="1"/>
      <w:numFmt w:val="decimal"/>
      <w:lvlText w:val="%2.%3."/>
      <w:lvlJc w:val="left"/>
      <w:pPr>
        <w:ind w:left="212" w:hanging="361"/>
      </w:pPr>
      <w:rPr>
        <w:rFonts w:hint="default" w:ascii="Times New Roman" w:hAnsi="Times New Roman" w:eastAsia="Times New Roman" w:cs="Times New Roman"/>
        <w:w w:val="100"/>
        <w:sz w:val="22"/>
        <w:szCs w:val="22"/>
        <w:lang w:val="zh-CN" w:eastAsia="zh-CN" w:bidi="zh-CN"/>
      </w:rPr>
    </w:lvl>
    <w:lvl w:ilvl="3" w:tentative="0">
      <w:start w:val="0"/>
      <w:numFmt w:val="bullet"/>
      <w:lvlText w:val="•"/>
      <w:lvlJc w:val="left"/>
      <w:pPr>
        <w:ind w:left="3136" w:hanging="361"/>
      </w:pPr>
      <w:rPr>
        <w:rFonts w:hint="default"/>
        <w:lang w:val="zh-CN" w:eastAsia="zh-CN" w:bidi="zh-CN"/>
      </w:rPr>
    </w:lvl>
    <w:lvl w:ilvl="4" w:tentative="0">
      <w:start w:val="0"/>
      <w:numFmt w:val="bullet"/>
      <w:lvlText w:val="•"/>
      <w:lvlJc w:val="left"/>
      <w:pPr>
        <w:ind w:left="4175" w:hanging="361"/>
      </w:pPr>
      <w:rPr>
        <w:rFonts w:hint="default"/>
        <w:lang w:val="zh-CN" w:eastAsia="zh-CN" w:bidi="zh-CN"/>
      </w:rPr>
    </w:lvl>
    <w:lvl w:ilvl="5" w:tentative="0">
      <w:start w:val="0"/>
      <w:numFmt w:val="bullet"/>
      <w:lvlText w:val="•"/>
      <w:lvlJc w:val="left"/>
      <w:pPr>
        <w:ind w:left="5213" w:hanging="361"/>
      </w:pPr>
      <w:rPr>
        <w:rFonts w:hint="default"/>
        <w:lang w:val="zh-CN" w:eastAsia="zh-CN" w:bidi="zh-CN"/>
      </w:rPr>
    </w:lvl>
    <w:lvl w:ilvl="6" w:tentative="0">
      <w:start w:val="0"/>
      <w:numFmt w:val="bullet"/>
      <w:lvlText w:val="•"/>
      <w:lvlJc w:val="left"/>
      <w:pPr>
        <w:ind w:left="6252" w:hanging="361"/>
      </w:pPr>
      <w:rPr>
        <w:rFonts w:hint="default"/>
        <w:lang w:val="zh-CN" w:eastAsia="zh-CN" w:bidi="zh-CN"/>
      </w:rPr>
    </w:lvl>
    <w:lvl w:ilvl="7" w:tentative="0">
      <w:start w:val="0"/>
      <w:numFmt w:val="bullet"/>
      <w:lvlText w:val="•"/>
      <w:lvlJc w:val="left"/>
      <w:pPr>
        <w:ind w:left="7290" w:hanging="361"/>
      </w:pPr>
      <w:rPr>
        <w:rFonts w:hint="default"/>
        <w:lang w:val="zh-CN" w:eastAsia="zh-CN" w:bidi="zh-CN"/>
      </w:rPr>
    </w:lvl>
    <w:lvl w:ilvl="8" w:tentative="0">
      <w:start w:val="0"/>
      <w:numFmt w:val="bullet"/>
      <w:lvlText w:val="•"/>
      <w:lvlJc w:val="left"/>
      <w:pPr>
        <w:ind w:left="8329" w:hanging="361"/>
      </w:pPr>
      <w:rPr>
        <w:rFonts w:hint="default"/>
        <w:lang w:val="zh-CN" w:eastAsia="zh-CN" w:bidi="zh-CN"/>
      </w:rPr>
    </w:lvl>
  </w:abstractNum>
  <w:abstractNum w:abstractNumId="65">
    <w:nsid w:val="23E97754"/>
    <w:multiLevelType w:val="multilevel"/>
    <w:tmpl w:val="23E97754"/>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66">
    <w:nsid w:val="27AB0F5B"/>
    <w:multiLevelType w:val="multilevel"/>
    <w:tmpl w:val="27AB0F5B"/>
    <w:lvl w:ilvl="0" w:tentative="0">
      <w:start w:val="17"/>
      <w:numFmt w:val="decimal"/>
      <w:lvlText w:val="%1"/>
      <w:lvlJc w:val="left"/>
      <w:pPr>
        <w:ind w:left="480" w:hanging="480"/>
      </w:pPr>
      <w:rPr>
        <w:rFonts w:hint="default" w:ascii="宋体" w:eastAsia="宋体"/>
      </w:rPr>
    </w:lvl>
    <w:lvl w:ilvl="1" w:tentative="0">
      <w:start w:val="3"/>
      <w:numFmt w:val="decimal"/>
      <w:lvlText w:val="%1.%2"/>
      <w:lvlJc w:val="left"/>
      <w:pPr>
        <w:ind w:left="909" w:hanging="480"/>
      </w:pPr>
      <w:rPr>
        <w:rFonts w:hint="default" w:ascii="宋体" w:eastAsia="宋体"/>
      </w:rPr>
    </w:lvl>
    <w:lvl w:ilvl="2" w:tentative="0">
      <w:start w:val="1"/>
      <w:numFmt w:val="decimal"/>
      <w:lvlText w:val="%1.%2.%3"/>
      <w:lvlJc w:val="left"/>
      <w:pPr>
        <w:ind w:left="1578" w:hanging="720"/>
      </w:pPr>
      <w:rPr>
        <w:rFonts w:hint="default" w:ascii="宋体" w:eastAsia="宋体"/>
      </w:rPr>
    </w:lvl>
    <w:lvl w:ilvl="3" w:tentative="0">
      <w:start w:val="1"/>
      <w:numFmt w:val="decimal"/>
      <w:lvlText w:val="%1.%2.%3.%4"/>
      <w:lvlJc w:val="left"/>
      <w:pPr>
        <w:ind w:left="2007" w:hanging="720"/>
      </w:pPr>
      <w:rPr>
        <w:rFonts w:hint="default" w:ascii="宋体" w:eastAsia="宋体"/>
      </w:rPr>
    </w:lvl>
    <w:lvl w:ilvl="4" w:tentative="0">
      <w:start w:val="1"/>
      <w:numFmt w:val="decimal"/>
      <w:lvlText w:val="%1.%2.%3.%4.%5"/>
      <w:lvlJc w:val="left"/>
      <w:pPr>
        <w:ind w:left="2796" w:hanging="1080"/>
      </w:pPr>
      <w:rPr>
        <w:rFonts w:hint="default" w:ascii="宋体" w:eastAsia="宋体"/>
      </w:rPr>
    </w:lvl>
    <w:lvl w:ilvl="5" w:tentative="0">
      <w:start w:val="1"/>
      <w:numFmt w:val="decimal"/>
      <w:lvlText w:val="%1.%2.%3.%4.%5.%6"/>
      <w:lvlJc w:val="left"/>
      <w:pPr>
        <w:ind w:left="3225" w:hanging="1080"/>
      </w:pPr>
      <w:rPr>
        <w:rFonts w:hint="default" w:ascii="宋体" w:eastAsia="宋体"/>
      </w:rPr>
    </w:lvl>
    <w:lvl w:ilvl="6" w:tentative="0">
      <w:start w:val="1"/>
      <w:numFmt w:val="decimal"/>
      <w:lvlText w:val="%1.%2.%3.%4.%5.%6.%7"/>
      <w:lvlJc w:val="left"/>
      <w:pPr>
        <w:ind w:left="3654" w:hanging="1080"/>
      </w:pPr>
      <w:rPr>
        <w:rFonts w:hint="default" w:ascii="宋体" w:eastAsia="宋体"/>
      </w:rPr>
    </w:lvl>
    <w:lvl w:ilvl="7" w:tentative="0">
      <w:start w:val="1"/>
      <w:numFmt w:val="decimal"/>
      <w:lvlText w:val="%1.%2.%3.%4.%5.%6.%7.%8"/>
      <w:lvlJc w:val="left"/>
      <w:pPr>
        <w:ind w:left="4443" w:hanging="1440"/>
      </w:pPr>
      <w:rPr>
        <w:rFonts w:hint="default" w:ascii="宋体" w:eastAsia="宋体"/>
      </w:rPr>
    </w:lvl>
    <w:lvl w:ilvl="8" w:tentative="0">
      <w:start w:val="1"/>
      <w:numFmt w:val="decimal"/>
      <w:lvlText w:val="%1.%2.%3.%4.%5.%6.%7.%8.%9"/>
      <w:lvlJc w:val="left"/>
      <w:pPr>
        <w:ind w:left="4872" w:hanging="1440"/>
      </w:pPr>
      <w:rPr>
        <w:rFonts w:hint="default" w:ascii="宋体" w:eastAsia="宋体"/>
      </w:rPr>
    </w:lvl>
  </w:abstractNum>
  <w:abstractNum w:abstractNumId="67">
    <w:nsid w:val="2A640409"/>
    <w:multiLevelType w:val="multilevel"/>
    <w:tmpl w:val="2A640409"/>
    <w:lvl w:ilvl="0" w:tentative="0">
      <w:start w:val="18"/>
      <w:numFmt w:val="decimal"/>
      <w:lvlText w:val="%1"/>
      <w:lvlJc w:val="left"/>
      <w:pPr>
        <w:ind w:left="480" w:hanging="480"/>
      </w:pPr>
      <w:rPr>
        <w:rFonts w:hint="default" w:ascii="宋体" w:eastAsia="宋体"/>
      </w:rPr>
    </w:lvl>
    <w:lvl w:ilvl="1" w:tentative="0">
      <w:start w:val="5"/>
      <w:numFmt w:val="decimal"/>
      <w:lvlText w:val="%1.%2"/>
      <w:lvlJc w:val="left"/>
      <w:pPr>
        <w:ind w:left="909" w:hanging="480"/>
      </w:pPr>
      <w:rPr>
        <w:rFonts w:hint="default" w:ascii="宋体" w:eastAsia="宋体"/>
      </w:rPr>
    </w:lvl>
    <w:lvl w:ilvl="2" w:tentative="0">
      <w:start w:val="1"/>
      <w:numFmt w:val="decimal"/>
      <w:lvlText w:val="%1.%2.%3"/>
      <w:lvlJc w:val="left"/>
      <w:pPr>
        <w:ind w:left="1578" w:hanging="720"/>
      </w:pPr>
      <w:rPr>
        <w:rFonts w:hint="default" w:ascii="宋体" w:eastAsia="宋体"/>
      </w:rPr>
    </w:lvl>
    <w:lvl w:ilvl="3" w:tentative="0">
      <w:start w:val="1"/>
      <w:numFmt w:val="decimal"/>
      <w:lvlText w:val="%1.%2.%3.%4"/>
      <w:lvlJc w:val="left"/>
      <w:pPr>
        <w:ind w:left="2007" w:hanging="720"/>
      </w:pPr>
      <w:rPr>
        <w:rFonts w:hint="default" w:ascii="宋体" w:eastAsia="宋体"/>
      </w:rPr>
    </w:lvl>
    <w:lvl w:ilvl="4" w:tentative="0">
      <w:start w:val="1"/>
      <w:numFmt w:val="decimal"/>
      <w:lvlText w:val="%1.%2.%3.%4.%5"/>
      <w:lvlJc w:val="left"/>
      <w:pPr>
        <w:ind w:left="2796" w:hanging="1080"/>
      </w:pPr>
      <w:rPr>
        <w:rFonts w:hint="default" w:ascii="宋体" w:eastAsia="宋体"/>
      </w:rPr>
    </w:lvl>
    <w:lvl w:ilvl="5" w:tentative="0">
      <w:start w:val="1"/>
      <w:numFmt w:val="decimal"/>
      <w:lvlText w:val="%1.%2.%3.%4.%5.%6"/>
      <w:lvlJc w:val="left"/>
      <w:pPr>
        <w:ind w:left="3225" w:hanging="1080"/>
      </w:pPr>
      <w:rPr>
        <w:rFonts w:hint="default" w:ascii="宋体" w:eastAsia="宋体"/>
      </w:rPr>
    </w:lvl>
    <w:lvl w:ilvl="6" w:tentative="0">
      <w:start w:val="1"/>
      <w:numFmt w:val="decimal"/>
      <w:lvlText w:val="%1.%2.%3.%4.%5.%6.%7"/>
      <w:lvlJc w:val="left"/>
      <w:pPr>
        <w:ind w:left="3654" w:hanging="1080"/>
      </w:pPr>
      <w:rPr>
        <w:rFonts w:hint="default" w:ascii="宋体" w:eastAsia="宋体"/>
      </w:rPr>
    </w:lvl>
    <w:lvl w:ilvl="7" w:tentative="0">
      <w:start w:val="1"/>
      <w:numFmt w:val="decimal"/>
      <w:lvlText w:val="%1.%2.%3.%4.%5.%6.%7.%8"/>
      <w:lvlJc w:val="left"/>
      <w:pPr>
        <w:ind w:left="4443" w:hanging="1440"/>
      </w:pPr>
      <w:rPr>
        <w:rFonts w:hint="default" w:ascii="宋体" w:eastAsia="宋体"/>
      </w:rPr>
    </w:lvl>
    <w:lvl w:ilvl="8" w:tentative="0">
      <w:start w:val="1"/>
      <w:numFmt w:val="decimal"/>
      <w:lvlText w:val="%1.%2.%3.%4.%5.%6.%7.%8.%9"/>
      <w:lvlJc w:val="left"/>
      <w:pPr>
        <w:ind w:left="4872" w:hanging="1440"/>
      </w:pPr>
      <w:rPr>
        <w:rFonts w:hint="default" w:ascii="宋体" w:eastAsia="宋体"/>
      </w:rPr>
    </w:lvl>
  </w:abstractNum>
  <w:abstractNum w:abstractNumId="68">
    <w:nsid w:val="2B3F3F89"/>
    <w:multiLevelType w:val="multilevel"/>
    <w:tmpl w:val="2B3F3F89"/>
    <w:lvl w:ilvl="0" w:tentative="0">
      <w:start w:val="10"/>
      <w:numFmt w:val="decimal"/>
      <w:lvlText w:val="%1"/>
      <w:lvlJc w:val="left"/>
      <w:pPr>
        <w:ind w:left="1162" w:hanging="424"/>
      </w:pPr>
      <w:rPr>
        <w:rFonts w:hint="default"/>
        <w:lang w:val="zh-CN" w:eastAsia="zh-CN" w:bidi="zh-CN"/>
      </w:rPr>
    </w:lvl>
    <w:lvl w:ilvl="1" w:tentative="0">
      <w:start w:val="1"/>
      <w:numFmt w:val="decimal"/>
      <w:lvlText w:val="%1.%2"/>
      <w:lvlJc w:val="left"/>
      <w:pPr>
        <w:ind w:left="1162" w:hanging="424"/>
      </w:pPr>
      <w:rPr>
        <w:rFonts w:hint="default" w:ascii="宋体" w:hAnsi="宋体" w:eastAsia="宋体" w:cs="宋体"/>
        <w:spacing w:val="-1"/>
        <w:w w:val="100"/>
        <w:sz w:val="19"/>
        <w:szCs w:val="19"/>
        <w:lang w:val="zh-CN" w:eastAsia="zh-CN" w:bidi="zh-CN"/>
      </w:rPr>
    </w:lvl>
    <w:lvl w:ilvl="2" w:tentative="0">
      <w:start w:val="0"/>
      <w:numFmt w:val="bullet"/>
      <w:lvlText w:val="•"/>
      <w:lvlJc w:val="left"/>
      <w:pPr>
        <w:ind w:left="3009" w:hanging="424"/>
      </w:pPr>
      <w:rPr>
        <w:rFonts w:hint="default"/>
        <w:lang w:val="zh-CN" w:eastAsia="zh-CN" w:bidi="zh-CN"/>
      </w:rPr>
    </w:lvl>
    <w:lvl w:ilvl="3" w:tentative="0">
      <w:start w:val="0"/>
      <w:numFmt w:val="bullet"/>
      <w:lvlText w:val="•"/>
      <w:lvlJc w:val="left"/>
      <w:pPr>
        <w:ind w:left="3933" w:hanging="424"/>
      </w:pPr>
      <w:rPr>
        <w:rFonts w:hint="default"/>
        <w:lang w:val="zh-CN" w:eastAsia="zh-CN" w:bidi="zh-CN"/>
      </w:rPr>
    </w:lvl>
    <w:lvl w:ilvl="4" w:tentative="0">
      <w:start w:val="0"/>
      <w:numFmt w:val="bullet"/>
      <w:lvlText w:val="•"/>
      <w:lvlJc w:val="left"/>
      <w:pPr>
        <w:ind w:left="4858" w:hanging="424"/>
      </w:pPr>
      <w:rPr>
        <w:rFonts w:hint="default"/>
        <w:lang w:val="zh-CN" w:eastAsia="zh-CN" w:bidi="zh-CN"/>
      </w:rPr>
    </w:lvl>
    <w:lvl w:ilvl="5" w:tentative="0">
      <w:start w:val="0"/>
      <w:numFmt w:val="bullet"/>
      <w:lvlText w:val="•"/>
      <w:lvlJc w:val="left"/>
      <w:pPr>
        <w:ind w:left="5783" w:hanging="424"/>
      </w:pPr>
      <w:rPr>
        <w:rFonts w:hint="default"/>
        <w:lang w:val="zh-CN" w:eastAsia="zh-CN" w:bidi="zh-CN"/>
      </w:rPr>
    </w:lvl>
    <w:lvl w:ilvl="6" w:tentative="0">
      <w:start w:val="0"/>
      <w:numFmt w:val="bullet"/>
      <w:lvlText w:val="•"/>
      <w:lvlJc w:val="left"/>
      <w:pPr>
        <w:ind w:left="6707" w:hanging="424"/>
      </w:pPr>
      <w:rPr>
        <w:rFonts w:hint="default"/>
        <w:lang w:val="zh-CN" w:eastAsia="zh-CN" w:bidi="zh-CN"/>
      </w:rPr>
    </w:lvl>
    <w:lvl w:ilvl="7" w:tentative="0">
      <w:start w:val="0"/>
      <w:numFmt w:val="bullet"/>
      <w:lvlText w:val="•"/>
      <w:lvlJc w:val="left"/>
      <w:pPr>
        <w:ind w:left="7632" w:hanging="424"/>
      </w:pPr>
      <w:rPr>
        <w:rFonts w:hint="default"/>
        <w:lang w:val="zh-CN" w:eastAsia="zh-CN" w:bidi="zh-CN"/>
      </w:rPr>
    </w:lvl>
    <w:lvl w:ilvl="8" w:tentative="0">
      <w:start w:val="0"/>
      <w:numFmt w:val="bullet"/>
      <w:lvlText w:val="•"/>
      <w:lvlJc w:val="left"/>
      <w:pPr>
        <w:ind w:left="8557" w:hanging="424"/>
      </w:pPr>
      <w:rPr>
        <w:rFonts w:hint="default"/>
        <w:lang w:val="zh-CN" w:eastAsia="zh-CN" w:bidi="zh-CN"/>
      </w:rPr>
    </w:lvl>
  </w:abstractNum>
  <w:abstractNum w:abstractNumId="69">
    <w:nsid w:val="2CC12C6B"/>
    <w:multiLevelType w:val="multilevel"/>
    <w:tmpl w:val="2CC12C6B"/>
    <w:lvl w:ilvl="0" w:tentative="0">
      <w:start w:val="12"/>
      <w:numFmt w:val="decimal"/>
      <w:lvlText w:val="%1"/>
      <w:lvlJc w:val="left"/>
      <w:pPr>
        <w:ind w:left="615" w:hanging="615"/>
      </w:pPr>
      <w:rPr>
        <w:rFonts w:hint="default"/>
      </w:rPr>
    </w:lvl>
    <w:lvl w:ilvl="1" w:tentative="0">
      <w:start w:val="1"/>
      <w:numFmt w:val="decimal"/>
      <w:lvlText w:val="%1.%2"/>
      <w:lvlJc w:val="left"/>
      <w:pPr>
        <w:ind w:left="716" w:hanging="615"/>
      </w:pPr>
      <w:rPr>
        <w:rFonts w:hint="default"/>
      </w:rPr>
    </w:lvl>
    <w:lvl w:ilvl="2" w:tentative="0">
      <w:start w:val="2"/>
      <w:numFmt w:val="decimal"/>
      <w:lvlText w:val="%1.%2.%3"/>
      <w:lvlJc w:val="left"/>
      <w:pPr>
        <w:ind w:left="922" w:hanging="720"/>
      </w:pPr>
      <w:rPr>
        <w:rFonts w:hint="default"/>
      </w:rPr>
    </w:lvl>
    <w:lvl w:ilvl="3" w:tentative="0">
      <w:start w:val="1"/>
      <w:numFmt w:val="decimal"/>
      <w:lvlText w:val="%1.%2.%3.%4"/>
      <w:lvlJc w:val="left"/>
      <w:pPr>
        <w:ind w:left="1383" w:hanging="1080"/>
      </w:pPr>
      <w:rPr>
        <w:rFonts w:hint="default"/>
      </w:rPr>
    </w:lvl>
    <w:lvl w:ilvl="4" w:tentative="0">
      <w:start w:val="1"/>
      <w:numFmt w:val="decimal"/>
      <w:lvlText w:val="%1.%2.%3.%4.%5"/>
      <w:lvlJc w:val="left"/>
      <w:pPr>
        <w:ind w:left="1484" w:hanging="1080"/>
      </w:pPr>
      <w:rPr>
        <w:rFonts w:hint="default"/>
      </w:rPr>
    </w:lvl>
    <w:lvl w:ilvl="5" w:tentative="0">
      <w:start w:val="1"/>
      <w:numFmt w:val="decimal"/>
      <w:lvlText w:val="%1.%2.%3.%4.%5.%6"/>
      <w:lvlJc w:val="left"/>
      <w:pPr>
        <w:ind w:left="1945" w:hanging="1440"/>
      </w:pPr>
      <w:rPr>
        <w:rFonts w:hint="default"/>
      </w:rPr>
    </w:lvl>
    <w:lvl w:ilvl="6" w:tentative="0">
      <w:start w:val="1"/>
      <w:numFmt w:val="decimal"/>
      <w:lvlText w:val="%1.%2.%3.%4.%5.%6.%7"/>
      <w:lvlJc w:val="left"/>
      <w:pPr>
        <w:ind w:left="2046" w:hanging="1440"/>
      </w:pPr>
      <w:rPr>
        <w:rFonts w:hint="default"/>
      </w:rPr>
    </w:lvl>
    <w:lvl w:ilvl="7" w:tentative="0">
      <w:start w:val="1"/>
      <w:numFmt w:val="decimal"/>
      <w:lvlText w:val="%1.%2.%3.%4.%5.%6.%7.%8"/>
      <w:lvlJc w:val="left"/>
      <w:pPr>
        <w:ind w:left="2507" w:hanging="1800"/>
      </w:pPr>
      <w:rPr>
        <w:rFonts w:hint="default"/>
      </w:rPr>
    </w:lvl>
    <w:lvl w:ilvl="8" w:tentative="0">
      <w:start w:val="1"/>
      <w:numFmt w:val="decimal"/>
      <w:lvlText w:val="%1.%2.%3.%4.%5.%6.%7.%8.%9"/>
      <w:lvlJc w:val="left"/>
      <w:pPr>
        <w:ind w:left="2608" w:hanging="1800"/>
      </w:pPr>
      <w:rPr>
        <w:rFonts w:hint="default"/>
      </w:rPr>
    </w:lvl>
  </w:abstractNum>
  <w:abstractNum w:abstractNumId="70">
    <w:nsid w:val="2F2D79CE"/>
    <w:multiLevelType w:val="multilevel"/>
    <w:tmpl w:val="2F2D79CE"/>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71">
    <w:nsid w:val="30A0AC00"/>
    <w:multiLevelType w:val="multilevel"/>
    <w:tmpl w:val="30A0AC00"/>
    <w:lvl w:ilvl="0" w:tentative="0">
      <w:start w:val="1"/>
      <w:numFmt w:val="decimal"/>
      <w:lvlText w:val="（%1）"/>
      <w:lvlJc w:val="left"/>
      <w:pPr>
        <w:ind w:left="212" w:hanging="532"/>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72">
    <w:nsid w:val="30FC5B15"/>
    <w:multiLevelType w:val="multilevel"/>
    <w:tmpl w:val="30FC5B15"/>
    <w:lvl w:ilvl="0" w:tentative="0">
      <w:start w:val="1"/>
      <w:numFmt w:val="decimal"/>
      <w:lvlText w:val="%1."/>
      <w:lvlJc w:val="left"/>
      <w:pPr>
        <w:ind w:left="640" w:hanging="428"/>
      </w:pPr>
      <w:rPr>
        <w:rFonts w:hint="default" w:ascii="Arial" w:hAnsi="Arial" w:eastAsia="Arial" w:cs="Arial"/>
        <w:b/>
        <w:bCs/>
        <w:w w:val="99"/>
        <w:sz w:val="32"/>
        <w:szCs w:val="32"/>
        <w:lang w:val="zh-CN" w:eastAsia="zh-CN" w:bidi="zh-CN"/>
      </w:rPr>
    </w:lvl>
    <w:lvl w:ilvl="1" w:tentative="0">
      <w:start w:val="1"/>
      <w:numFmt w:val="decimal"/>
      <w:lvlText w:val="%1.%2"/>
      <w:lvlJc w:val="left"/>
      <w:pPr>
        <w:ind w:left="839" w:hanging="491"/>
      </w:pPr>
      <w:rPr>
        <w:rFonts w:hint="default"/>
        <w:w w:val="100"/>
        <w:lang w:val="zh-CN" w:eastAsia="zh-CN" w:bidi="zh-CN"/>
      </w:rPr>
    </w:lvl>
    <w:lvl w:ilvl="2" w:tentative="0">
      <w:start w:val="1"/>
      <w:numFmt w:val="decimal"/>
      <w:lvlText w:val="%1.%2.%3"/>
      <w:lvlJc w:val="left"/>
      <w:pPr>
        <w:ind w:left="917" w:hanging="491"/>
      </w:pPr>
      <w:rPr>
        <w:rFonts w:hint="default" w:ascii="Times New Roman" w:hAnsi="Times New Roman" w:eastAsia="Times New Roman" w:cs="Times New Roman"/>
        <w:w w:val="100"/>
        <w:sz w:val="21"/>
        <w:szCs w:val="21"/>
        <w:lang w:val="zh-CN" w:eastAsia="zh-CN" w:bidi="zh-CN"/>
      </w:rPr>
    </w:lvl>
    <w:lvl w:ilvl="3" w:tentative="0">
      <w:start w:val="1"/>
      <w:numFmt w:val="decimal"/>
      <w:lvlText w:val="（%4）"/>
      <w:lvlJc w:val="left"/>
      <w:pPr>
        <w:ind w:left="1459" w:hanging="491"/>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1160" w:hanging="491"/>
      </w:pPr>
      <w:rPr>
        <w:rFonts w:hint="default"/>
        <w:lang w:val="zh-CN" w:eastAsia="zh-CN" w:bidi="zh-CN"/>
      </w:rPr>
    </w:lvl>
    <w:lvl w:ilvl="5" w:tentative="0">
      <w:start w:val="0"/>
      <w:numFmt w:val="bullet"/>
      <w:lvlText w:val="•"/>
      <w:lvlJc w:val="left"/>
      <w:pPr>
        <w:ind w:left="1460" w:hanging="491"/>
      </w:pPr>
      <w:rPr>
        <w:rFonts w:hint="default"/>
        <w:lang w:val="zh-CN" w:eastAsia="zh-CN" w:bidi="zh-CN"/>
      </w:rPr>
    </w:lvl>
    <w:lvl w:ilvl="6" w:tentative="0">
      <w:start w:val="0"/>
      <w:numFmt w:val="bullet"/>
      <w:lvlText w:val="•"/>
      <w:lvlJc w:val="left"/>
      <w:pPr>
        <w:ind w:left="3249" w:hanging="491"/>
      </w:pPr>
      <w:rPr>
        <w:rFonts w:hint="default"/>
        <w:lang w:val="zh-CN" w:eastAsia="zh-CN" w:bidi="zh-CN"/>
      </w:rPr>
    </w:lvl>
    <w:lvl w:ilvl="7" w:tentative="0">
      <w:start w:val="0"/>
      <w:numFmt w:val="bullet"/>
      <w:lvlText w:val="•"/>
      <w:lvlJc w:val="left"/>
      <w:pPr>
        <w:ind w:left="5038" w:hanging="491"/>
      </w:pPr>
      <w:rPr>
        <w:rFonts w:hint="default"/>
        <w:lang w:val="zh-CN" w:eastAsia="zh-CN" w:bidi="zh-CN"/>
      </w:rPr>
    </w:lvl>
    <w:lvl w:ilvl="8" w:tentative="0">
      <w:start w:val="0"/>
      <w:numFmt w:val="bullet"/>
      <w:lvlText w:val="•"/>
      <w:lvlJc w:val="left"/>
      <w:pPr>
        <w:ind w:left="6827" w:hanging="491"/>
      </w:pPr>
      <w:rPr>
        <w:rFonts w:hint="default"/>
        <w:lang w:val="zh-CN" w:eastAsia="zh-CN" w:bidi="zh-CN"/>
      </w:rPr>
    </w:lvl>
  </w:abstractNum>
  <w:abstractNum w:abstractNumId="73">
    <w:nsid w:val="32A7AF2D"/>
    <w:multiLevelType w:val="multilevel"/>
    <w:tmpl w:val="32A7AF2D"/>
    <w:lvl w:ilvl="0" w:tentative="0">
      <w:start w:val="2"/>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74">
    <w:nsid w:val="3304514D"/>
    <w:multiLevelType w:val="multilevel"/>
    <w:tmpl w:val="3304514D"/>
    <w:lvl w:ilvl="0" w:tentative="0">
      <w:start w:val="1"/>
      <w:numFmt w:val="decimal"/>
      <w:lvlText w:val="%1"/>
      <w:lvlJc w:val="left"/>
      <w:pPr>
        <w:ind w:left="525" w:hanging="525"/>
      </w:pPr>
      <w:rPr>
        <w:rFonts w:hint="eastAsia" w:ascii="宋体" w:eastAsia="宋体"/>
      </w:rPr>
    </w:lvl>
    <w:lvl w:ilvl="1" w:tentative="0">
      <w:start w:val="1"/>
      <w:numFmt w:val="decimal"/>
      <w:lvlText w:val="%1.%2"/>
      <w:lvlJc w:val="left"/>
      <w:pPr>
        <w:ind w:left="677" w:hanging="525"/>
      </w:pPr>
      <w:rPr>
        <w:rFonts w:hint="eastAsia" w:ascii="宋体" w:eastAsia="宋体"/>
      </w:rPr>
    </w:lvl>
    <w:lvl w:ilvl="2" w:tentative="0">
      <w:start w:val="1"/>
      <w:numFmt w:val="decimal"/>
      <w:lvlText w:val="%1.%2.%3"/>
      <w:lvlJc w:val="left"/>
      <w:pPr>
        <w:ind w:left="1024" w:hanging="720"/>
      </w:pPr>
      <w:rPr>
        <w:rFonts w:hint="eastAsia" w:ascii="宋体" w:eastAsia="宋体"/>
      </w:rPr>
    </w:lvl>
    <w:lvl w:ilvl="3" w:tentative="0">
      <w:start w:val="1"/>
      <w:numFmt w:val="decimal"/>
      <w:lvlText w:val="%1.%2.%3.%4"/>
      <w:lvlJc w:val="left"/>
      <w:pPr>
        <w:ind w:left="1176" w:hanging="720"/>
      </w:pPr>
      <w:rPr>
        <w:rFonts w:hint="eastAsia" w:ascii="宋体" w:eastAsia="宋体"/>
      </w:rPr>
    </w:lvl>
    <w:lvl w:ilvl="4" w:tentative="0">
      <w:start w:val="1"/>
      <w:numFmt w:val="decimal"/>
      <w:lvlText w:val="%1.%2.%3.%4.%5"/>
      <w:lvlJc w:val="left"/>
      <w:pPr>
        <w:ind w:left="1688" w:hanging="1080"/>
      </w:pPr>
      <w:rPr>
        <w:rFonts w:hint="eastAsia" w:ascii="宋体" w:eastAsia="宋体"/>
      </w:rPr>
    </w:lvl>
    <w:lvl w:ilvl="5" w:tentative="0">
      <w:start w:val="1"/>
      <w:numFmt w:val="decimal"/>
      <w:lvlText w:val="%1.%2.%3.%4.%5.%6"/>
      <w:lvlJc w:val="left"/>
      <w:pPr>
        <w:ind w:left="1840" w:hanging="1080"/>
      </w:pPr>
      <w:rPr>
        <w:rFonts w:hint="eastAsia" w:ascii="宋体" w:eastAsia="宋体"/>
      </w:rPr>
    </w:lvl>
    <w:lvl w:ilvl="6" w:tentative="0">
      <w:start w:val="1"/>
      <w:numFmt w:val="decimal"/>
      <w:lvlText w:val="%1.%2.%3.%4.%5.%6.%7"/>
      <w:lvlJc w:val="left"/>
      <w:pPr>
        <w:ind w:left="1992" w:hanging="1080"/>
      </w:pPr>
      <w:rPr>
        <w:rFonts w:hint="eastAsia" w:ascii="宋体" w:eastAsia="宋体"/>
      </w:rPr>
    </w:lvl>
    <w:lvl w:ilvl="7" w:tentative="0">
      <w:start w:val="1"/>
      <w:numFmt w:val="decimal"/>
      <w:lvlText w:val="%1.%2.%3.%4.%5.%6.%7.%8"/>
      <w:lvlJc w:val="left"/>
      <w:pPr>
        <w:ind w:left="2504" w:hanging="1440"/>
      </w:pPr>
      <w:rPr>
        <w:rFonts w:hint="eastAsia" w:ascii="宋体" w:eastAsia="宋体"/>
      </w:rPr>
    </w:lvl>
    <w:lvl w:ilvl="8" w:tentative="0">
      <w:start w:val="1"/>
      <w:numFmt w:val="decimal"/>
      <w:lvlText w:val="%1.%2.%3.%4.%5.%6.%7.%8.%9"/>
      <w:lvlJc w:val="left"/>
      <w:pPr>
        <w:ind w:left="2656" w:hanging="1440"/>
      </w:pPr>
      <w:rPr>
        <w:rFonts w:hint="eastAsia" w:ascii="宋体" w:eastAsia="宋体"/>
      </w:rPr>
    </w:lvl>
  </w:abstractNum>
  <w:abstractNum w:abstractNumId="75">
    <w:nsid w:val="33504FB0"/>
    <w:multiLevelType w:val="multilevel"/>
    <w:tmpl w:val="33504FB0"/>
    <w:lvl w:ilvl="0" w:tentative="0">
      <w:start w:val="1"/>
      <w:numFmt w:val="decimalEnclosedCircle"/>
      <w:lvlText w:val="%1"/>
      <w:lvlJc w:val="left"/>
      <w:pPr>
        <w:ind w:left="993" w:hanging="360"/>
      </w:pPr>
      <w:rPr>
        <w:rFonts w:hint="default"/>
      </w:rPr>
    </w:lvl>
    <w:lvl w:ilvl="1" w:tentative="0">
      <w:start w:val="1"/>
      <w:numFmt w:val="lowerLetter"/>
      <w:lvlText w:val="%2)"/>
      <w:lvlJc w:val="left"/>
      <w:pPr>
        <w:ind w:left="1473" w:hanging="420"/>
      </w:pPr>
    </w:lvl>
    <w:lvl w:ilvl="2" w:tentative="0">
      <w:start w:val="1"/>
      <w:numFmt w:val="lowerRoman"/>
      <w:lvlText w:val="%3."/>
      <w:lvlJc w:val="right"/>
      <w:pPr>
        <w:ind w:left="1893" w:hanging="420"/>
      </w:pPr>
    </w:lvl>
    <w:lvl w:ilvl="3" w:tentative="0">
      <w:start w:val="1"/>
      <w:numFmt w:val="decimal"/>
      <w:lvlText w:val="%4."/>
      <w:lvlJc w:val="left"/>
      <w:pPr>
        <w:ind w:left="2313" w:hanging="420"/>
      </w:pPr>
    </w:lvl>
    <w:lvl w:ilvl="4" w:tentative="0">
      <w:start w:val="1"/>
      <w:numFmt w:val="lowerLetter"/>
      <w:lvlText w:val="%5)"/>
      <w:lvlJc w:val="left"/>
      <w:pPr>
        <w:ind w:left="2733" w:hanging="420"/>
      </w:pPr>
    </w:lvl>
    <w:lvl w:ilvl="5" w:tentative="0">
      <w:start w:val="1"/>
      <w:numFmt w:val="lowerRoman"/>
      <w:lvlText w:val="%6."/>
      <w:lvlJc w:val="right"/>
      <w:pPr>
        <w:ind w:left="3153" w:hanging="420"/>
      </w:pPr>
    </w:lvl>
    <w:lvl w:ilvl="6" w:tentative="0">
      <w:start w:val="1"/>
      <w:numFmt w:val="decimal"/>
      <w:lvlText w:val="%7."/>
      <w:lvlJc w:val="left"/>
      <w:pPr>
        <w:ind w:left="3573" w:hanging="420"/>
      </w:pPr>
    </w:lvl>
    <w:lvl w:ilvl="7" w:tentative="0">
      <w:start w:val="1"/>
      <w:numFmt w:val="lowerLetter"/>
      <w:lvlText w:val="%8)"/>
      <w:lvlJc w:val="left"/>
      <w:pPr>
        <w:ind w:left="3993" w:hanging="420"/>
      </w:pPr>
    </w:lvl>
    <w:lvl w:ilvl="8" w:tentative="0">
      <w:start w:val="1"/>
      <w:numFmt w:val="lowerRoman"/>
      <w:lvlText w:val="%9."/>
      <w:lvlJc w:val="right"/>
      <w:pPr>
        <w:ind w:left="4413" w:hanging="420"/>
      </w:pPr>
    </w:lvl>
  </w:abstractNum>
  <w:abstractNum w:abstractNumId="76">
    <w:nsid w:val="35CF052D"/>
    <w:multiLevelType w:val="multilevel"/>
    <w:tmpl w:val="35CF052D"/>
    <w:lvl w:ilvl="0" w:tentative="0">
      <w:start w:val="17"/>
      <w:numFmt w:val="decimal"/>
      <w:lvlText w:val="%1"/>
      <w:lvlJc w:val="left"/>
      <w:pPr>
        <w:ind w:left="420" w:hanging="420"/>
      </w:pPr>
      <w:rPr>
        <w:rFonts w:hint="default" w:ascii="宋体" w:eastAsia="宋体"/>
      </w:rPr>
    </w:lvl>
    <w:lvl w:ilvl="1" w:tentative="0">
      <w:start w:val="3"/>
      <w:numFmt w:val="decimal"/>
      <w:lvlText w:val="%1.%2"/>
      <w:lvlJc w:val="left"/>
      <w:pPr>
        <w:ind w:left="1053" w:hanging="420"/>
      </w:pPr>
      <w:rPr>
        <w:rFonts w:hint="default" w:ascii="宋体" w:eastAsia="宋体"/>
      </w:rPr>
    </w:lvl>
    <w:lvl w:ilvl="2" w:tentative="0">
      <w:start w:val="1"/>
      <w:numFmt w:val="decimal"/>
      <w:lvlText w:val="%1.%2.%3"/>
      <w:lvlJc w:val="left"/>
      <w:pPr>
        <w:ind w:left="1986" w:hanging="720"/>
      </w:pPr>
      <w:rPr>
        <w:rFonts w:hint="default" w:ascii="宋体" w:eastAsia="宋体"/>
      </w:rPr>
    </w:lvl>
    <w:lvl w:ilvl="3" w:tentative="0">
      <w:start w:val="1"/>
      <w:numFmt w:val="decimal"/>
      <w:lvlText w:val="%1.%2.%3.%4"/>
      <w:lvlJc w:val="left"/>
      <w:pPr>
        <w:ind w:left="2619" w:hanging="720"/>
      </w:pPr>
      <w:rPr>
        <w:rFonts w:hint="default" w:ascii="宋体" w:eastAsia="宋体"/>
      </w:rPr>
    </w:lvl>
    <w:lvl w:ilvl="4" w:tentative="0">
      <w:start w:val="1"/>
      <w:numFmt w:val="decimal"/>
      <w:lvlText w:val="%1.%2.%3.%4.%5"/>
      <w:lvlJc w:val="left"/>
      <w:pPr>
        <w:ind w:left="3612" w:hanging="1080"/>
      </w:pPr>
      <w:rPr>
        <w:rFonts w:hint="default" w:ascii="宋体" w:eastAsia="宋体"/>
      </w:rPr>
    </w:lvl>
    <w:lvl w:ilvl="5" w:tentative="0">
      <w:start w:val="1"/>
      <w:numFmt w:val="decimal"/>
      <w:lvlText w:val="%1.%2.%3.%4.%5.%6"/>
      <w:lvlJc w:val="left"/>
      <w:pPr>
        <w:ind w:left="4245" w:hanging="1080"/>
      </w:pPr>
      <w:rPr>
        <w:rFonts w:hint="default" w:ascii="宋体" w:eastAsia="宋体"/>
      </w:rPr>
    </w:lvl>
    <w:lvl w:ilvl="6" w:tentative="0">
      <w:start w:val="1"/>
      <w:numFmt w:val="decimal"/>
      <w:lvlText w:val="%1.%2.%3.%4.%5.%6.%7"/>
      <w:lvlJc w:val="left"/>
      <w:pPr>
        <w:ind w:left="4878" w:hanging="1080"/>
      </w:pPr>
      <w:rPr>
        <w:rFonts w:hint="default" w:ascii="宋体" w:eastAsia="宋体"/>
      </w:rPr>
    </w:lvl>
    <w:lvl w:ilvl="7" w:tentative="0">
      <w:start w:val="1"/>
      <w:numFmt w:val="decimal"/>
      <w:lvlText w:val="%1.%2.%3.%4.%5.%6.%7.%8"/>
      <w:lvlJc w:val="left"/>
      <w:pPr>
        <w:ind w:left="5871" w:hanging="1440"/>
      </w:pPr>
      <w:rPr>
        <w:rFonts w:hint="default" w:ascii="宋体" w:eastAsia="宋体"/>
      </w:rPr>
    </w:lvl>
    <w:lvl w:ilvl="8" w:tentative="0">
      <w:start w:val="1"/>
      <w:numFmt w:val="decimal"/>
      <w:lvlText w:val="%1.%2.%3.%4.%5.%6.%7.%8.%9"/>
      <w:lvlJc w:val="left"/>
      <w:pPr>
        <w:ind w:left="6504" w:hanging="1440"/>
      </w:pPr>
      <w:rPr>
        <w:rFonts w:hint="default" w:ascii="宋体" w:eastAsia="宋体"/>
      </w:rPr>
    </w:lvl>
  </w:abstractNum>
  <w:abstractNum w:abstractNumId="77">
    <w:nsid w:val="35E83B33"/>
    <w:multiLevelType w:val="multilevel"/>
    <w:tmpl w:val="35E83B33"/>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78">
    <w:nsid w:val="3B8127DF"/>
    <w:multiLevelType w:val="multilevel"/>
    <w:tmpl w:val="3B8127DF"/>
    <w:lvl w:ilvl="0" w:tentative="0">
      <w:start w:val="1"/>
      <w:numFmt w:val="decimal"/>
      <w:lvlText w:val="（%1）"/>
      <w:lvlJc w:val="left"/>
      <w:pPr>
        <w:ind w:left="212" w:hanging="532"/>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79">
    <w:nsid w:val="3D5F33A3"/>
    <w:multiLevelType w:val="multilevel"/>
    <w:tmpl w:val="3D5F33A3"/>
    <w:lvl w:ilvl="0" w:tentative="0">
      <w:start w:val="15"/>
      <w:numFmt w:val="decimal"/>
      <w:lvlText w:val="%1"/>
      <w:lvlJc w:val="left"/>
      <w:pPr>
        <w:ind w:left="480" w:hanging="480"/>
      </w:pPr>
      <w:rPr>
        <w:rFonts w:hint="default" w:ascii="宋体" w:eastAsia="宋体"/>
      </w:rPr>
    </w:lvl>
    <w:lvl w:ilvl="1" w:tentative="0">
      <w:start w:val="3"/>
      <w:numFmt w:val="decimal"/>
      <w:lvlText w:val="%1.%2"/>
      <w:lvlJc w:val="left"/>
      <w:pPr>
        <w:ind w:left="695" w:hanging="480"/>
      </w:pPr>
      <w:rPr>
        <w:rFonts w:hint="default" w:ascii="宋体" w:eastAsia="宋体"/>
      </w:rPr>
    </w:lvl>
    <w:lvl w:ilvl="2" w:tentative="0">
      <w:start w:val="1"/>
      <w:numFmt w:val="decimal"/>
      <w:lvlText w:val="%1.%2.%3"/>
      <w:lvlJc w:val="left"/>
      <w:pPr>
        <w:ind w:left="1150" w:hanging="720"/>
      </w:pPr>
      <w:rPr>
        <w:rFonts w:hint="default" w:ascii="宋体" w:eastAsia="宋体"/>
      </w:rPr>
    </w:lvl>
    <w:lvl w:ilvl="3" w:tentative="0">
      <w:start w:val="1"/>
      <w:numFmt w:val="decimal"/>
      <w:lvlText w:val="%1.%2.%3.%4"/>
      <w:lvlJc w:val="left"/>
      <w:pPr>
        <w:ind w:left="1365" w:hanging="720"/>
      </w:pPr>
      <w:rPr>
        <w:rFonts w:hint="default" w:ascii="宋体" w:eastAsia="宋体"/>
      </w:rPr>
    </w:lvl>
    <w:lvl w:ilvl="4" w:tentative="0">
      <w:start w:val="1"/>
      <w:numFmt w:val="decimal"/>
      <w:lvlText w:val="%1.%2.%3.%4.%5"/>
      <w:lvlJc w:val="left"/>
      <w:pPr>
        <w:ind w:left="1940" w:hanging="1080"/>
      </w:pPr>
      <w:rPr>
        <w:rFonts w:hint="default" w:ascii="宋体" w:eastAsia="宋体"/>
      </w:rPr>
    </w:lvl>
    <w:lvl w:ilvl="5" w:tentative="0">
      <w:start w:val="1"/>
      <w:numFmt w:val="decimal"/>
      <w:lvlText w:val="%1.%2.%3.%4.%5.%6"/>
      <w:lvlJc w:val="left"/>
      <w:pPr>
        <w:ind w:left="2155" w:hanging="1080"/>
      </w:pPr>
      <w:rPr>
        <w:rFonts w:hint="default" w:ascii="宋体" w:eastAsia="宋体"/>
      </w:rPr>
    </w:lvl>
    <w:lvl w:ilvl="6" w:tentative="0">
      <w:start w:val="1"/>
      <w:numFmt w:val="decimal"/>
      <w:lvlText w:val="%1.%2.%3.%4.%5.%6.%7"/>
      <w:lvlJc w:val="left"/>
      <w:pPr>
        <w:ind w:left="2370" w:hanging="1080"/>
      </w:pPr>
      <w:rPr>
        <w:rFonts w:hint="default" w:ascii="宋体" w:eastAsia="宋体"/>
      </w:rPr>
    </w:lvl>
    <w:lvl w:ilvl="7" w:tentative="0">
      <w:start w:val="1"/>
      <w:numFmt w:val="decimal"/>
      <w:lvlText w:val="%1.%2.%3.%4.%5.%6.%7.%8"/>
      <w:lvlJc w:val="left"/>
      <w:pPr>
        <w:ind w:left="2945" w:hanging="1440"/>
      </w:pPr>
      <w:rPr>
        <w:rFonts w:hint="default" w:ascii="宋体" w:eastAsia="宋体"/>
      </w:rPr>
    </w:lvl>
    <w:lvl w:ilvl="8" w:tentative="0">
      <w:start w:val="1"/>
      <w:numFmt w:val="decimal"/>
      <w:lvlText w:val="%1.%2.%3.%4.%5.%6.%7.%8.%9"/>
      <w:lvlJc w:val="left"/>
      <w:pPr>
        <w:ind w:left="3160" w:hanging="1440"/>
      </w:pPr>
      <w:rPr>
        <w:rFonts w:hint="default" w:ascii="宋体" w:eastAsia="宋体"/>
      </w:rPr>
    </w:lvl>
  </w:abstractNum>
  <w:abstractNum w:abstractNumId="80">
    <w:nsid w:val="3F9D35B9"/>
    <w:multiLevelType w:val="multilevel"/>
    <w:tmpl w:val="3F9D35B9"/>
    <w:lvl w:ilvl="0" w:tentative="0">
      <w:start w:val="3"/>
      <w:numFmt w:val="decimal"/>
      <w:lvlText w:val="%1"/>
      <w:lvlJc w:val="left"/>
      <w:pPr>
        <w:ind w:left="450" w:hanging="450"/>
      </w:pPr>
      <w:rPr>
        <w:rFonts w:hint="eastAsia"/>
      </w:rPr>
    </w:lvl>
    <w:lvl w:ilvl="1" w:tentative="0">
      <w:start w:val="7"/>
      <w:numFmt w:val="decimal"/>
      <w:lvlText w:val="%1.%2"/>
      <w:lvlJc w:val="left"/>
      <w:pPr>
        <w:ind w:left="450" w:hanging="450"/>
      </w:pPr>
      <w:rPr>
        <w:rFonts w:hint="eastAsia"/>
      </w:rPr>
    </w:lvl>
    <w:lvl w:ilvl="2" w:tentative="0">
      <w:start w:val="5"/>
      <w:numFmt w:val="decimal"/>
      <w:lvlText w:val="%1.%2.%3"/>
      <w:lvlJc w:val="left"/>
      <w:pPr>
        <w:ind w:left="720" w:hanging="720"/>
      </w:pPr>
      <w:rPr>
        <w:rFonts w:hint="eastAsia"/>
      </w:rPr>
    </w:lvl>
    <w:lvl w:ilvl="3" w:tentative="0">
      <w:start w:val="1"/>
      <w:numFmt w:val="decimal"/>
      <w:lvlText w:val="%1.%2.%3.%4"/>
      <w:lvlJc w:val="left"/>
      <w:pPr>
        <w:ind w:left="1080" w:hanging="1080"/>
      </w:pPr>
      <w:rPr>
        <w:rFonts w:hint="eastAsia"/>
      </w:rPr>
    </w:lvl>
    <w:lvl w:ilvl="4" w:tentative="0">
      <w:start w:val="1"/>
      <w:numFmt w:val="decimal"/>
      <w:lvlText w:val="%1.%2.%3.%4.%5"/>
      <w:lvlJc w:val="left"/>
      <w:pPr>
        <w:ind w:left="1080" w:hanging="1080"/>
      </w:pPr>
      <w:rPr>
        <w:rFonts w:hint="eastAsia"/>
      </w:rPr>
    </w:lvl>
    <w:lvl w:ilvl="5" w:tentative="0">
      <w:start w:val="1"/>
      <w:numFmt w:val="decimal"/>
      <w:lvlText w:val="%1.%2.%3.%4.%5.%6"/>
      <w:lvlJc w:val="left"/>
      <w:pPr>
        <w:ind w:left="1440" w:hanging="1440"/>
      </w:pPr>
      <w:rPr>
        <w:rFonts w:hint="eastAsia"/>
      </w:rPr>
    </w:lvl>
    <w:lvl w:ilvl="6" w:tentative="0">
      <w:start w:val="1"/>
      <w:numFmt w:val="decimal"/>
      <w:lvlText w:val="%1.%2.%3.%4.%5.%6.%7"/>
      <w:lvlJc w:val="left"/>
      <w:pPr>
        <w:ind w:left="1440" w:hanging="1440"/>
      </w:pPr>
      <w:rPr>
        <w:rFonts w:hint="eastAsia"/>
      </w:rPr>
    </w:lvl>
    <w:lvl w:ilvl="7" w:tentative="0">
      <w:start w:val="1"/>
      <w:numFmt w:val="decimal"/>
      <w:lvlText w:val="%1.%2.%3.%4.%5.%6.%7.%8"/>
      <w:lvlJc w:val="left"/>
      <w:pPr>
        <w:ind w:left="1800" w:hanging="1800"/>
      </w:pPr>
      <w:rPr>
        <w:rFonts w:hint="eastAsia"/>
      </w:rPr>
    </w:lvl>
    <w:lvl w:ilvl="8" w:tentative="0">
      <w:start w:val="1"/>
      <w:numFmt w:val="decimal"/>
      <w:lvlText w:val="%1.%2.%3.%4.%5.%6.%7.%8.%9"/>
      <w:lvlJc w:val="left"/>
      <w:pPr>
        <w:ind w:left="1800" w:hanging="1800"/>
      </w:pPr>
      <w:rPr>
        <w:rFonts w:hint="eastAsia"/>
      </w:rPr>
    </w:lvl>
  </w:abstractNum>
  <w:abstractNum w:abstractNumId="81">
    <w:nsid w:val="40B249F9"/>
    <w:multiLevelType w:val="multilevel"/>
    <w:tmpl w:val="40B249F9"/>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82">
    <w:nsid w:val="40F245EA"/>
    <w:multiLevelType w:val="multilevel"/>
    <w:tmpl w:val="40F245EA"/>
    <w:lvl w:ilvl="0" w:tentative="0">
      <w:start w:val="1"/>
      <w:numFmt w:val="decimal"/>
      <w:lvlText w:val="（%1）"/>
      <w:lvlJc w:val="left"/>
      <w:pPr>
        <w:ind w:left="212" w:hanging="529"/>
      </w:pPr>
      <w:rPr>
        <w:rFonts w:hint="default" w:ascii="宋体" w:hAnsi="宋体" w:eastAsia="宋体" w:cs="宋体"/>
        <w:spacing w:val="-10"/>
        <w:w w:val="100"/>
        <w:sz w:val="19"/>
        <w:szCs w:val="19"/>
        <w:lang w:val="zh-CN" w:eastAsia="zh-CN" w:bidi="zh-CN"/>
      </w:rPr>
    </w:lvl>
    <w:lvl w:ilvl="1" w:tentative="0">
      <w:start w:val="0"/>
      <w:numFmt w:val="bullet"/>
      <w:lvlText w:val="•"/>
      <w:lvlJc w:val="left"/>
      <w:pPr>
        <w:ind w:left="1238" w:hanging="529"/>
      </w:pPr>
      <w:rPr>
        <w:rFonts w:hint="default"/>
        <w:lang w:val="zh-CN" w:eastAsia="zh-CN" w:bidi="zh-CN"/>
      </w:rPr>
    </w:lvl>
    <w:lvl w:ilvl="2" w:tentative="0">
      <w:start w:val="0"/>
      <w:numFmt w:val="bullet"/>
      <w:lvlText w:val="•"/>
      <w:lvlJc w:val="left"/>
      <w:pPr>
        <w:ind w:left="2257" w:hanging="529"/>
      </w:pPr>
      <w:rPr>
        <w:rFonts w:hint="default"/>
        <w:lang w:val="zh-CN" w:eastAsia="zh-CN" w:bidi="zh-CN"/>
      </w:rPr>
    </w:lvl>
    <w:lvl w:ilvl="3" w:tentative="0">
      <w:start w:val="0"/>
      <w:numFmt w:val="bullet"/>
      <w:lvlText w:val="•"/>
      <w:lvlJc w:val="left"/>
      <w:pPr>
        <w:ind w:left="3275" w:hanging="529"/>
      </w:pPr>
      <w:rPr>
        <w:rFonts w:hint="default"/>
        <w:lang w:val="zh-CN" w:eastAsia="zh-CN" w:bidi="zh-CN"/>
      </w:rPr>
    </w:lvl>
    <w:lvl w:ilvl="4" w:tentative="0">
      <w:start w:val="0"/>
      <w:numFmt w:val="bullet"/>
      <w:lvlText w:val="•"/>
      <w:lvlJc w:val="left"/>
      <w:pPr>
        <w:ind w:left="4294" w:hanging="529"/>
      </w:pPr>
      <w:rPr>
        <w:rFonts w:hint="default"/>
        <w:lang w:val="zh-CN" w:eastAsia="zh-CN" w:bidi="zh-CN"/>
      </w:rPr>
    </w:lvl>
    <w:lvl w:ilvl="5" w:tentative="0">
      <w:start w:val="0"/>
      <w:numFmt w:val="bullet"/>
      <w:lvlText w:val="•"/>
      <w:lvlJc w:val="left"/>
      <w:pPr>
        <w:ind w:left="5313" w:hanging="529"/>
      </w:pPr>
      <w:rPr>
        <w:rFonts w:hint="default"/>
        <w:lang w:val="zh-CN" w:eastAsia="zh-CN" w:bidi="zh-CN"/>
      </w:rPr>
    </w:lvl>
    <w:lvl w:ilvl="6" w:tentative="0">
      <w:start w:val="0"/>
      <w:numFmt w:val="bullet"/>
      <w:lvlText w:val="•"/>
      <w:lvlJc w:val="left"/>
      <w:pPr>
        <w:ind w:left="6331" w:hanging="529"/>
      </w:pPr>
      <w:rPr>
        <w:rFonts w:hint="default"/>
        <w:lang w:val="zh-CN" w:eastAsia="zh-CN" w:bidi="zh-CN"/>
      </w:rPr>
    </w:lvl>
    <w:lvl w:ilvl="7" w:tentative="0">
      <w:start w:val="0"/>
      <w:numFmt w:val="bullet"/>
      <w:lvlText w:val="•"/>
      <w:lvlJc w:val="left"/>
      <w:pPr>
        <w:ind w:left="7350" w:hanging="529"/>
      </w:pPr>
      <w:rPr>
        <w:rFonts w:hint="default"/>
        <w:lang w:val="zh-CN" w:eastAsia="zh-CN" w:bidi="zh-CN"/>
      </w:rPr>
    </w:lvl>
    <w:lvl w:ilvl="8" w:tentative="0">
      <w:start w:val="0"/>
      <w:numFmt w:val="bullet"/>
      <w:lvlText w:val="•"/>
      <w:lvlJc w:val="left"/>
      <w:pPr>
        <w:ind w:left="8369" w:hanging="529"/>
      </w:pPr>
      <w:rPr>
        <w:rFonts w:hint="default"/>
        <w:lang w:val="zh-CN" w:eastAsia="zh-CN" w:bidi="zh-CN"/>
      </w:rPr>
    </w:lvl>
  </w:abstractNum>
  <w:abstractNum w:abstractNumId="83">
    <w:nsid w:val="452F6801"/>
    <w:multiLevelType w:val="multilevel"/>
    <w:tmpl w:val="452F6801"/>
    <w:lvl w:ilvl="0" w:tentative="0">
      <w:start w:val="6"/>
      <w:numFmt w:val="decimal"/>
      <w:lvlText w:val="%1"/>
      <w:lvlJc w:val="left"/>
      <w:pPr>
        <w:ind w:left="360" w:hanging="360"/>
      </w:pPr>
      <w:rPr>
        <w:rFonts w:hint="default" w:ascii="宋体" w:eastAsia="宋体"/>
      </w:rPr>
    </w:lvl>
    <w:lvl w:ilvl="1" w:tentative="0">
      <w:start w:val="5"/>
      <w:numFmt w:val="decimal"/>
      <w:lvlText w:val="%1.%2"/>
      <w:lvlJc w:val="left"/>
      <w:pPr>
        <w:ind w:left="466" w:hanging="360"/>
      </w:pPr>
      <w:rPr>
        <w:rFonts w:hint="default" w:ascii="宋体" w:eastAsia="宋体"/>
      </w:rPr>
    </w:lvl>
    <w:lvl w:ilvl="2" w:tentative="0">
      <w:start w:val="1"/>
      <w:numFmt w:val="decimal"/>
      <w:lvlText w:val="%1.%2.%3"/>
      <w:lvlJc w:val="left"/>
      <w:pPr>
        <w:ind w:left="932" w:hanging="720"/>
      </w:pPr>
      <w:rPr>
        <w:rFonts w:hint="default" w:ascii="宋体" w:eastAsia="宋体"/>
      </w:rPr>
    </w:lvl>
    <w:lvl w:ilvl="3" w:tentative="0">
      <w:start w:val="1"/>
      <w:numFmt w:val="decimal"/>
      <w:lvlText w:val="%1.%2.%3.%4"/>
      <w:lvlJc w:val="left"/>
      <w:pPr>
        <w:ind w:left="1398" w:hanging="1080"/>
      </w:pPr>
      <w:rPr>
        <w:rFonts w:hint="default" w:ascii="宋体" w:eastAsia="宋体"/>
      </w:rPr>
    </w:lvl>
    <w:lvl w:ilvl="4" w:tentative="0">
      <w:start w:val="1"/>
      <w:numFmt w:val="decimal"/>
      <w:lvlText w:val="%1.%2.%3.%4.%5"/>
      <w:lvlJc w:val="left"/>
      <w:pPr>
        <w:ind w:left="1504" w:hanging="1080"/>
      </w:pPr>
      <w:rPr>
        <w:rFonts w:hint="default" w:ascii="宋体" w:eastAsia="宋体"/>
      </w:rPr>
    </w:lvl>
    <w:lvl w:ilvl="5" w:tentative="0">
      <w:start w:val="1"/>
      <w:numFmt w:val="decimal"/>
      <w:lvlText w:val="%1.%2.%3.%4.%5.%6"/>
      <w:lvlJc w:val="left"/>
      <w:pPr>
        <w:ind w:left="1970" w:hanging="1440"/>
      </w:pPr>
      <w:rPr>
        <w:rFonts w:hint="default" w:ascii="宋体" w:eastAsia="宋体"/>
      </w:rPr>
    </w:lvl>
    <w:lvl w:ilvl="6" w:tentative="0">
      <w:start w:val="1"/>
      <w:numFmt w:val="decimal"/>
      <w:lvlText w:val="%1.%2.%3.%4.%5.%6.%7"/>
      <w:lvlJc w:val="left"/>
      <w:pPr>
        <w:ind w:left="2076" w:hanging="1440"/>
      </w:pPr>
      <w:rPr>
        <w:rFonts w:hint="default" w:ascii="宋体" w:eastAsia="宋体"/>
      </w:rPr>
    </w:lvl>
    <w:lvl w:ilvl="7" w:tentative="0">
      <w:start w:val="1"/>
      <w:numFmt w:val="decimal"/>
      <w:lvlText w:val="%1.%2.%3.%4.%5.%6.%7.%8"/>
      <w:lvlJc w:val="left"/>
      <w:pPr>
        <w:ind w:left="2542" w:hanging="1800"/>
      </w:pPr>
      <w:rPr>
        <w:rFonts w:hint="default" w:ascii="宋体" w:eastAsia="宋体"/>
      </w:rPr>
    </w:lvl>
    <w:lvl w:ilvl="8" w:tentative="0">
      <w:start w:val="1"/>
      <w:numFmt w:val="decimal"/>
      <w:lvlText w:val="%1.%2.%3.%4.%5.%6.%7.%8.%9"/>
      <w:lvlJc w:val="left"/>
      <w:pPr>
        <w:ind w:left="2648" w:hanging="1800"/>
      </w:pPr>
      <w:rPr>
        <w:rFonts w:hint="default" w:ascii="宋体" w:eastAsia="宋体"/>
      </w:rPr>
    </w:lvl>
  </w:abstractNum>
  <w:abstractNum w:abstractNumId="84">
    <w:nsid w:val="46B72AAA"/>
    <w:multiLevelType w:val="multilevel"/>
    <w:tmpl w:val="46B72AAA"/>
    <w:lvl w:ilvl="0" w:tentative="0">
      <w:start w:val="1"/>
      <w:numFmt w:val="decimal"/>
      <w:lvlText w:val="%1"/>
      <w:lvlJc w:val="left"/>
      <w:pPr>
        <w:ind w:left="630" w:hanging="630"/>
      </w:pPr>
      <w:rPr>
        <w:rFonts w:hint="eastAsia"/>
      </w:rPr>
    </w:lvl>
    <w:lvl w:ilvl="1" w:tentative="0">
      <w:start w:val="10"/>
      <w:numFmt w:val="decimal"/>
      <w:lvlText w:val="%1.%2"/>
      <w:lvlJc w:val="left"/>
      <w:pPr>
        <w:ind w:left="630" w:hanging="630"/>
      </w:pPr>
      <w:rPr>
        <w:rFonts w:hint="eastAsia"/>
      </w:rPr>
    </w:lvl>
    <w:lvl w:ilvl="2" w:tentative="0">
      <w:start w:val="2"/>
      <w:numFmt w:val="decimal"/>
      <w:lvlText w:val="%1.%2.%3"/>
      <w:lvlJc w:val="left"/>
      <w:pPr>
        <w:ind w:left="1004" w:hanging="720"/>
      </w:pPr>
      <w:rPr>
        <w:rFonts w:hint="eastAsia"/>
      </w:rPr>
    </w:lvl>
    <w:lvl w:ilvl="3" w:tentative="0">
      <w:start w:val="1"/>
      <w:numFmt w:val="decimal"/>
      <w:lvlText w:val="%1.%2.%3.%4"/>
      <w:lvlJc w:val="left"/>
      <w:pPr>
        <w:ind w:left="1080" w:hanging="1080"/>
      </w:pPr>
      <w:rPr>
        <w:rFonts w:hint="eastAsia"/>
      </w:rPr>
    </w:lvl>
    <w:lvl w:ilvl="4" w:tentative="0">
      <w:start w:val="1"/>
      <w:numFmt w:val="decimal"/>
      <w:lvlText w:val="%1.%2.%3.%4.%5"/>
      <w:lvlJc w:val="left"/>
      <w:pPr>
        <w:ind w:left="1080" w:hanging="1080"/>
      </w:pPr>
      <w:rPr>
        <w:rFonts w:hint="eastAsia"/>
      </w:rPr>
    </w:lvl>
    <w:lvl w:ilvl="5" w:tentative="0">
      <w:start w:val="1"/>
      <w:numFmt w:val="decimal"/>
      <w:lvlText w:val="%1.%2.%3.%4.%5.%6"/>
      <w:lvlJc w:val="left"/>
      <w:pPr>
        <w:ind w:left="1440" w:hanging="1440"/>
      </w:pPr>
      <w:rPr>
        <w:rFonts w:hint="eastAsia"/>
      </w:rPr>
    </w:lvl>
    <w:lvl w:ilvl="6" w:tentative="0">
      <w:start w:val="1"/>
      <w:numFmt w:val="decimal"/>
      <w:lvlText w:val="%1.%2.%3.%4.%5.%6.%7"/>
      <w:lvlJc w:val="left"/>
      <w:pPr>
        <w:ind w:left="1440" w:hanging="1440"/>
      </w:pPr>
      <w:rPr>
        <w:rFonts w:hint="eastAsia"/>
      </w:rPr>
    </w:lvl>
    <w:lvl w:ilvl="7" w:tentative="0">
      <w:start w:val="1"/>
      <w:numFmt w:val="decimal"/>
      <w:lvlText w:val="%1.%2.%3.%4.%5.%6.%7.%8"/>
      <w:lvlJc w:val="left"/>
      <w:pPr>
        <w:ind w:left="1800" w:hanging="1800"/>
      </w:pPr>
      <w:rPr>
        <w:rFonts w:hint="eastAsia"/>
      </w:rPr>
    </w:lvl>
    <w:lvl w:ilvl="8" w:tentative="0">
      <w:start w:val="1"/>
      <w:numFmt w:val="decimal"/>
      <w:lvlText w:val="%1.%2.%3.%4.%5.%6.%7.%8.%9"/>
      <w:lvlJc w:val="left"/>
      <w:pPr>
        <w:ind w:left="1800" w:hanging="1800"/>
      </w:pPr>
      <w:rPr>
        <w:rFonts w:hint="eastAsia"/>
      </w:rPr>
    </w:lvl>
  </w:abstractNum>
  <w:abstractNum w:abstractNumId="85">
    <w:nsid w:val="47A0115C"/>
    <w:multiLevelType w:val="multilevel"/>
    <w:tmpl w:val="47A0115C"/>
    <w:lvl w:ilvl="0" w:tentative="0">
      <w:start w:val="5"/>
      <w:numFmt w:val="decimal"/>
      <w:lvlText w:val="%1"/>
      <w:lvlJc w:val="left"/>
      <w:pPr>
        <w:ind w:left="360" w:hanging="360"/>
      </w:pPr>
      <w:rPr>
        <w:rFonts w:hint="default" w:ascii="宋体" w:eastAsia="宋体"/>
      </w:rPr>
    </w:lvl>
    <w:lvl w:ilvl="1" w:tentative="0">
      <w:start w:val="6"/>
      <w:numFmt w:val="decimal"/>
      <w:lvlText w:val="%1.%2"/>
      <w:lvlJc w:val="left"/>
      <w:pPr>
        <w:ind w:left="470" w:hanging="360"/>
      </w:pPr>
      <w:rPr>
        <w:rFonts w:hint="default" w:ascii="宋体" w:eastAsia="宋体"/>
      </w:rPr>
    </w:lvl>
    <w:lvl w:ilvl="2" w:tentative="0">
      <w:start w:val="1"/>
      <w:numFmt w:val="decimal"/>
      <w:lvlText w:val="%1.%2.%3"/>
      <w:lvlJc w:val="left"/>
      <w:pPr>
        <w:ind w:left="940" w:hanging="720"/>
      </w:pPr>
      <w:rPr>
        <w:rFonts w:hint="default" w:ascii="宋体" w:eastAsia="宋体"/>
      </w:rPr>
    </w:lvl>
    <w:lvl w:ilvl="3" w:tentative="0">
      <w:start w:val="1"/>
      <w:numFmt w:val="decimal"/>
      <w:lvlText w:val="%1.%2.%3.%4"/>
      <w:lvlJc w:val="left"/>
      <w:pPr>
        <w:ind w:left="1410" w:hanging="1080"/>
      </w:pPr>
      <w:rPr>
        <w:rFonts w:hint="default" w:ascii="宋体" w:eastAsia="宋体"/>
      </w:rPr>
    </w:lvl>
    <w:lvl w:ilvl="4" w:tentative="0">
      <w:start w:val="1"/>
      <w:numFmt w:val="decimal"/>
      <w:lvlText w:val="%1.%2.%3.%4.%5"/>
      <w:lvlJc w:val="left"/>
      <w:pPr>
        <w:ind w:left="1520" w:hanging="1080"/>
      </w:pPr>
      <w:rPr>
        <w:rFonts w:hint="default" w:ascii="宋体" w:eastAsia="宋体"/>
      </w:rPr>
    </w:lvl>
    <w:lvl w:ilvl="5" w:tentative="0">
      <w:start w:val="1"/>
      <w:numFmt w:val="decimal"/>
      <w:lvlText w:val="%1.%2.%3.%4.%5.%6"/>
      <w:lvlJc w:val="left"/>
      <w:pPr>
        <w:ind w:left="1990" w:hanging="1440"/>
      </w:pPr>
      <w:rPr>
        <w:rFonts w:hint="default" w:ascii="宋体" w:eastAsia="宋体"/>
      </w:rPr>
    </w:lvl>
    <w:lvl w:ilvl="6" w:tentative="0">
      <w:start w:val="1"/>
      <w:numFmt w:val="decimal"/>
      <w:lvlText w:val="%1.%2.%3.%4.%5.%6.%7"/>
      <w:lvlJc w:val="left"/>
      <w:pPr>
        <w:ind w:left="2100" w:hanging="1440"/>
      </w:pPr>
      <w:rPr>
        <w:rFonts w:hint="default" w:ascii="宋体" w:eastAsia="宋体"/>
      </w:rPr>
    </w:lvl>
    <w:lvl w:ilvl="7" w:tentative="0">
      <w:start w:val="1"/>
      <w:numFmt w:val="decimal"/>
      <w:lvlText w:val="%1.%2.%3.%4.%5.%6.%7.%8"/>
      <w:lvlJc w:val="left"/>
      <w:pPr>
        <w:ind w:left="2570" w:hanging="1800"/>
      </w:pPr>
      <w:rPr>
        <w:rFonts w:hint="default" w:ascii="宋体" w:eastAsia="宋体"/>
      </w:rPr>
    </w:lvl>
    <w:lvl w:ilvl="8" w:tentative="0">
      <w:start w:val="1"/>
      <w:numFmt w:val="decimal"/>
      <w:lvlText w:val="%1.%2.%3.%4.%5.%6.%7.%8.%9"/>
      <w:lvlJc w:val="left"/>
      <w:pPr>
        <w:ind w:left="2680" w:hanging="1800"/>
      </w:pPr>
      <w:rPr>
        <w:rFonts w:hint="default" w:ascii="宋体" w:eastAsia="宋体"/>
      </w:rPr>
    </w:lvl>
  </w:abstractNum>
  <w:abstractNum w:abstractNumId="86">
    <w:nsid w:val="4A51D704"/>
    <w:multiLevelType w:val="multilevel"/>
    <w:tmpl w:val="4A51D704"/>
    <w:lvl w:ilvl="0" w:tentative="0">
      <w:start w:val="1"/>
      <w:numFmt w:val="decimal"/>
      <w:lvlText w:val="（%1）"/>
      <w:lvlJc w:val="left"/>
      <w:pPr>
        <w:ind w:left="742" w:hanging="530"/>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160" w:hanging="530"/>
      </w:pPr>
      <w:rPr>
        <w:rFonts w:hint="default"/>
        <w:lang w:val="zh-CN" w:eastAsia="zh-CN" w:bidi="zh-CN"/>
      </w:rPr>
    </w:lvl>
    <w:lvl w:ilvl="2" w:tentative="0">
      <w:start w:val="0"/>
      <w:numFmt w:val="bullet"/>
      <w:lvlText w:val="•"/>
      <w:lvlJc w:val="left"/>
      <w:pPr>
        <w:ind w:left="2187" w:hanging="530"/>
      </w:pPr>
      <w:rPr>
        <w:rFonts w:hint="default"/>
        <w:lang w:val="zh-CN" w:eastAsia="zh-CN" w:bidi="zh-CN"/>
      </w:rPr>
    </w:lvl>
    <w:lvl w:ilvl="3" w:tentative="0">
      <w:start w:val="0"/>
      <w:numFmt w:val="bullet"/>
      <w:lvlText w:val="•"/>
      <w:lvlJc w:val="left"/>
      <w:pPr>
        <w:ind w:left="3214" w:hanging="530"/>
      </w:pPr>
      <w:rPr>
        <w:rFonts w:hint="default"/>
        <w:lang w:val="zh-CN" w:eastAsia="zh-CN" w:bidi="zh-CN"/>
      </w:rPr>
    </w:lvl>
    <w:lvl w:ilvl="4" w:tentative="0">
      <w:start w:val="0"/>
      <w:numFmt w:val="bullet"/>
      <w:lvlText w:val="•"/>
      <w:lvlJc w:val="left"/>
      <w:pPr>
        <w:ind w:left="4242" w:hanging="530"/>
      </w:pPr>
      <w:rPr>
        <w:rFonts w:hint="default"/>
        <w:lang w:val="zh-CN" w:eastAsia="zh-CN" w:bidi="zh-CN"/>
      </w:rPr>
    </w:lvl>
    <w:lvl w:ilvl="5" w:tentative="0">
      <w:start w:val="0"/>
      <w:numFmt w:val="bullet"/>
      <w:lvlText w:val="•"/>
      <w:lvlJc w:val="left"/>
      <w:pPr>
        <w:ind w:left="5269" w:hanging="530"/>
      </w:pPr>
      <w:rPr>
        <w:rFonts w:hint="default"/>
        <w:lang w:val="zh-CN" w:eastAsia="zh-CN" w:bidi="zh-CN"/>
      </w:rPr>
    </w:lvl>
    <w:lvl w:ilvl="6" w:tentative="0">
      <w:start w:val="0"/>
      <w:numFmt w:val="bullet"/>
      <w:lvlText w:val="•"/>
      <w:lvlJc w:val="left"/>
      <w:pPr>
        <w:ind w:left="6296" w:hanging="530"/>
      </w:pPr>
      <w:rPr>
        <w:rFonts w:hint="default"/>
        <w:lang w:val="zh-CN" w:eastAsia="zh-CN" w:bidi="zh-CN"/>
      </w:rPr>
    </w:lvl>
    <w:lvl w:ilvl="7" w:tentative="0">
      <w:start w:val="0"/>
      <w:numFmt w:val="bullet"/>
      <w:lvlText w:val="•"/>
      <w:lvlJc w:val="left"/>
      <w:pPr>
        <w:ind w:left="7324" w:hanging="530"/>
      </w:pPr>
      <w:rPr>
        <w:rFonts w:hint="default"/>
        <w:lang w:val="zh-CN" w:eastAsia="zh-CN" w:bidi="zh-CN"/>
      </w:rPr>
    </w:lvl>
    <w:lvl w:ilvl="8" w:tentative="0">
      <w:start w:val="0"/>
      <w:numFmt w:val="bullet"/>
      <w:lvlText w:val="•"/>
      <w:lvlJc w:val="left"/>
      <w:pPr>
        <w:ind w:left="8351" w:hanging="530"/>
      </w:pPr>
      <w:rPr>
        <w:rFonts w:hint="default"/>
        <w:lang w:val="zh-CN" w:eastAsia="zh-CN" w:bidi="zh-CN"/>
      </w:rPr>
    </w:lvl>
  </w:abstractNum>
  <w:abstractNum w:abstractNumId="87">
    <w:nsid w:val="4CD1E351"/>
    <w:multiLevelType w:val="multilevel"/>
    <w:tmpl w:val="4CD1E351"/>
    <w:lvl w:ilvl="0" w:tentative="0">
      <w:start w:val="1"/>
      <w:numFmt w:val="decimal"/>
      <w:lvlText w:val="（%1）"/>
      <w:lvlJc w:val="left"/>
      <w:pPr>
        <w:ind w:left="846" w:hanging="635"/>
      </w:pPr>
      <w:rPr>
        <w:rFonts w:hint="default" w:ascii="宋体" w:hAnsi="宋体" w:eastAsia="宋体" w:cs="宋体"/>
        <w:b/>
        <w:bCs/>
        <w:w w:val="99"/>
        <w:sz w:val="21"/>
        <w:szCs w:val="21"/>
        <w:lang w:val="zh-CN" w:eastAsia="zh-CN" w:bidi="zh-CN"/>
      </w:rPr>
    </w:lvl>
    <w:lvl w:ilvl="1" w:tentative="0">
      <w:start w:val="1"/>
      <w:numFmt w:val="decimal"/>
      <w:lvlText w:val="（%2）"/>
      <w:lvlJc w:val="left"/>
      <w:pPr>
        <w:ind w:left="212" w:hanging="529"/>
      </w:pPr>
      <w:rPr>
        <w:rFonts w:hint="default" w:ascii="宋体" w:hAnsi="宋体" w:eastAsia="宋体" w:cs="宋体"/>
        <w:b/>
        <w:bCs/>
        <w:spacing w:val="-15"/>
        <w:w w:val="99"/>
        <w:sz w:val="19"/>
        <w:szCs w:val="19"/>
        <w:lang w:val="zh-CN" w:eastAsia="zh-CN" w:bidi="zh-CN"/>
      </w:rPr>
    </w:lvl>
    <w:lvl w:ilvl="2" w:tentative="0">
      <w:start w:val="0"/>
      <w:numFmt w:val="bullet"/>
      <w:lvlText w:val="•"/>
      <w:lvlJc w:val="left"/>
      <w:pPr>
        <w:ind w:left="1902" w:hanging="529"/>
      </w:pPr>
      <w:rPr>
        <w:rFonts w:hint="default"/>
        <w:lang w:val="zh-CN" w:eastAsia="zh-CN" w:bidi="zh-CN"/>
      </w:rPr>
    </w:lvl>
    <w:lvl w:ilvl="3" w:tentative="0">
      <w:start w:val="0"/>
      <w:numFmt w:val="bullet"/>
      <w:lvlText w:val="•"/>
      <w:lvlJc w:val="left"/>
      <w:pPr>
        <w:ind w:left="2965" w:hanging="529"/>
      </w:pPr>
      <w:rPr>
        <w:rFonts w:hint="default"/>
        <w:lang w:val="zh-CN" w:eastAsia="zh-CN" w:bidi="zh-CN"/>
      </w:rPr>
    </w:lvl>
    <w:lvl w:ilvl="4" w:tentative="0">
      <w:start w:val="0"/>
      <w:numFmt w:val="bullet"/>
      <w:lvlText w:val="•"/>
      <w:lvlJc w:val="left"/>
      <w:pPr>
        <w:ind w:left="4028" w:hanging="529"/>
      </w:pPr>
      <w:rPr>
        <w:rFonts w:hint="default"/>
        <w:lang w:val="zh-CN" w:eastAsia="zh-CN" w:bidi="zh-CN"/>
      </w:rPr>
    </w:lvl>
    <w:lvl w:ilvl="5" w:tentative="0">
      <w:start w:val="0"/>
      <w:numFmt w:val="bullet"/>
      <w:lvlText w:val="•"/>
      <w:lvlJc w:val="left"/>
      <w:pPr>
        <w:ind w:left="5091" w:hanging="529"/>
      </w:pPr>
      <w:rPr>
        <w:rFonts w:hint="default"/>
        <w:lang w:val="zh-CN" w:eastAsia="zh-CN" w:bidi="zh-CN"/>
      </w:rPr>
    </w:lvl>
    <w:lvl w:ilvl="6" w:tentative="0">
      <w:start w:val="0"/>
      <w:numFmt w:val="bullet"/>
      <w:lvlText w:val="•"/>
      <w:lvlJc w:val="left"/>
      <w:pPr>
        <w:ind w:left="6154" w:hanging="529"/>
      </w:pPr>
      <w:rPr>
        <w:rFonts w:hint="default"/>
        <w:lang w:val="zh-CN" w:eastAsia="zh-CN" w:bidi="zh-CN"/>
      </w:rPr>
    </w:lvl>
    <w:lvl w:ilvl="7" w:tentative="0">
      <w:start w:val="0"/>
      <w:numFmt w:val="bullet"/>
      <w:lvlText w:val="•"/>
      <w:lvlJc w:val="left"/>
      <w:pPr>
        <w:ind w:left="7217" w:hanging="529"/>
      </w:pPr>
      <w:rPr>
        <w:rFonts w:hint="default"/>
        <w:lang w:val="zh-CN" w:eastAsia="zh-CN" w:bidi="zh-CN"/>
      </w:rPr>
    </w:lvl>
    <w:lvl w:ilvl="8" w:tentative="0">
      <w:start w:val="0"/>
      <w:numFmt w:val="bullet"/>
      <w:lvlText w:val="•"/>
      <w:lvlJc w:val="left"/>
      <w:pPr>
        <w:ind w:left="8280" w:hanging="529"/>
      </w:pPr>
      <w:rPr>
        <w:rFonts w:hint="default"/>
        <w:lang w:val="zh-CN" w:eastAsia="zh-CN" w:bidi="zh-CN"/>
      </w:rPr>
    </w:lvl>
  </w:abstractNum>
  <w:abstractNum w:abstractNumId="88">
    <w:nsid w:val="4E177EFA"/>
    <w:multiLevelType w:val="multilevel"/>
    <w:tmpl w:val="4E177EFA"/>
    <w:lvl w:ilvl="0" w:tentative="0">
      <w:start w:val="8"/>
      <w:numFmt w:val="decimal"/>
      <w:lvlText w:val="%1."/>
      <w:lvlJc w:val="left"/>
      <w:pPr>
        <w:ind w:left="572" w:hanging="360"/>
      </w:pPr>
      <w:rPr>
        <w:rFonts w:hint="default"/>
      </w:rPr>
    </w:lvl>
    <w:lvl w:ilvl="1" w:tentative="0">
      <w:start w:val="1"/>
      <w:numFmt w:val="lowerLetter"/>
      <w:lvlText w:val="%2)"/>
      <w:lvlJc w:val="left"/>
      <w:pPr>
        <w:ind w:left="1052" w:hanging="420"/>
      </w:pPr>
    </w:lvl>
    <w:lvl w:ilvl="2" w:tentative="0">
      <w:start w:val="1"/>
      <w:numFmt w:val="lowerRoman"/>
      <w:lvlText w:val="%3."/>
      <w:lvlJc w:val="right"/>
      <w:pPr>
        <w:ind w:left="1472" w:hanging="420"/>
      </w:pPr>
    </w:lvl>
    <w:lvl w:ilvl="3" w:tentative="0">
      <w:start w:val="1"/>
      <w:numFmt w:val="decimal"/>
      <w:lvlText w:val="%4."/>
      <w:lvlJc w:val="left"/>
      <w:pPr>
        <w:ind w:left="1892" w:hanging="420"/>
      </w:pPr>
    </w:lvl>
    <w:lvl w:ilvl="4" w:tentative="0">
      <w:start w:val="1"/>
      <w:numFmt w:val="lowerLetter"/>
      <w:lvlText w:val="%5)"/>
      <w:lvlJc w:val="left"/>
      <w:pPr>
        <w:ind w:left="2312" w:hanging="420"/>
      </w:pPr>
    </w:lvl>
    <w:lvl w:ilvl="5" w:tentative="0">
      <w:start w:val="1"/>
      <w:numFmt w:val="lowerRoman"/>
      <w:lvlText w:val="%6."/>
      <w:lvlJc w:val="right"/>
      <w:pPr>
        <w:ind w:left="2732" w:hanging="420"/>
      </w:pPr>
    </w:lvl>
    <w:lvl w:ilvl="6" w:tentative="0">
      <w:start w:val="1"/>
      <w:numFmt w:val="decimal"/>
      <w:lvlText w:val="%7."/>
      <w:lvlJc w:val="left"/>
      <w:pPr>
        <w:ind w:left="3152" w:hanging="420"/>
      </w:pPr>
    </w:lvl>
    <w:lvl w:ilvl="7" w:tentative="0">
      <w:start w:val="1"/>
      <w:numFmt w:val="lowerLetter"/>
      <w:lvlText w:val="%8)"/>
      <w:lvlJc w:val="left"/>
      <w:pPr>
        <w:ind w:left="3572" w:hanging="420"/>
      </w:pPr>
    </w:lvl>
    <w:lvl w:ilvl="8" w:tentative="0">
      <w:start w:val="1"/>
      <w:numFmt w:val="lowerRoman"/>
      <w:lvlText w:val="%9."/>
      <w:lvlJc w:val="right"/>
      <w:pPr>
        <w:ind w:left="3992" w:hanging="420"/>
      </w:pPr>
    </w:lvl>
  </w:abstractNum>
  <w:abstractNum w:abstractNumId="89">
    <w:nsid w:val="4FB438A5"/>
    <w:multiLevelType w:val="multilevel"/>
    <w:tmpl w:val="4FB438A5"/>
    <w:lvl w:ilvl="0" w:tentative="0">
      <w:start w:val="1"/>
      <w:numFmt w:val="decimal"/>
      <w:lvlText w:val="%1."/>
      <w:lvlJc w:val="left"/>
      <w:pPr>
        <w:ind w:left="212" w:hanging="318"/>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459" w:hanging="529"/>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2454" w:hanging="529"/>
      </w:pPr>
      <w:rPr>
        <w:rFonts w:hint="default"/>
        <w:lang w:val="zh-CN" w:eastAsia="zh-CN" w:bidi="zh-CN"/>
      </w:rPr>
    </w:lvl>
    <w:lvl w:ilvl="3" w:tentative="0">
      <w:start w:val="0"/>
      <w:numFmt w:val="bullet"/>
      <w:lvlText w:val="•"/>
      <w:lvlJc w:val="left"/>
      <w:pPr>
        <w:ind w:left="3448" w:hanging="529"/>
      </w:pPr>
      <w:rPr>
        <w:rFonts w:hint="default"/>
        <w:lang w:val="zh-CN" w:eastAsia="zh-CN" w:bidi="zh-CN"/>
      </w:rPr>
    </w:lvl>
    <w:lvl w:ilvl="4" w:tentative="0">
      <w:start w:val="0"/>
      <w:numFmt w:val="bullet"/>
      <w:lvlText w:val="•"/>
      <w:lvlJc w:val="left"/>
      <w:pPr>
        <w:ind w:left="4442" w:hanging="529"/>
      </w:pPr>
      <w:rPr>
        <w:rFonts w:hint="default"/>
        <w:lang w:val="zh-CN" w:eastAsia="zh-CN" w:bidi="zh-CN"/>
      </w:rPr>
    </w:lvl>
    <w:lvl w:ilvl="5" w:tentative="0">
      <w:start w:val="0"/>
      <w:numFmt w:val="bullet"/>
      <w:lvlText w:val="•"/>
      <w:lvlJc w:val="left"/>
      <w:pPr>
        <w:ind w:left="5436" w:hanging="529"/>
      </w:pPr>
      <w:rPr>
        <w:rFonts w:hint="default"/>
        <w:lang w:val="zh-CN" w:eastAsia="zh-CN" w:bidi="zh-CN"/>
      </w:rPr>
    </w:lvl>
    <w:lvl w:ilvl="6" w:tentative="0">
      <w:start w:val="0"/>
      <w:numFmt w:val="bullet"/>
      <w:lvlText w:val="•"/>
      <w:lvlJc w:val="left"/>
      <w:pPr>
        <w:ind w:left="6430" w:hanging="529"/>
      </w:pPr>
      <w:rPr>
        <w:rFonts w:hint="default"/>
        <w:lang w:val="zh-CN" w:eastAsia="zh-CN" w:bidi="zh-CN"/>
      </w:rPr>
    </w:lvl>
    <w:lvl w:ilvl="7" w:tentative="0">
      <w:start w:val="0"/>
      <w:numFmt w:val="bullet"/>
      <w:lvlText w:val="•"/>
      <w:lvlJc w:val="left"/>
      <w:pPr>
        <w:ind w:left="7424" w:hanging="529"/>
      </w:pPr>
      <w:rPr>
        <w:rFonts w:hint="default"/>
        <w:lang w:val="zh-CN" w:eastAsia="zh-CN" w:bidi="zh-CN"/>
      </w:rPr>
    </w:lvl>
    <w:lvl w:ilvl="8" w:tentative="0">
      <w:start w:val="0"/>
      <w:numFmt w:val="bullet"/>
      <w:lvlText w:val="•"/>
      <w:lvlJc w:val="left"/>
      <w:pPr>
        <w:ind w:left="8418" w:hanging="529"/>
      </w:pPr>
      <w:rPr>
        <w:rFonts w:hint="default"/>
        <w:lang w:val="zh-CN" w:eastAsia="zh-CN" w:bidi="zh-CN"/>
      </w:rPr>
    </w:lvl>
  </w:abstractNum>
  <w:abstractNum w:abstractNumId="90">
    <w:nsid w:val="51C4BC33"/>
    <w:multiLevelType w:val="multilevel"/>
    <w:tmpl w:val="51C4BC33"/>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91">
    <w:nsid w:val="54271190"/>
    <w:multiLevelType w:val="multilevel"/>
    <w:tmpl w:val="54271190"/>
    <w:lvl w:ilvl="0" w:tentative="0">
      <w:start w:val="3"/>
      <w:numFmt w:val="decimal"/>
      <w:lvlText w:val="%1"/>
      <w:lvlJc w:val="left"/>
      <w:pPr>
        <w:ind w:left="360" w:hanging="360"/>
      </w:pPr>
      <w:rPr>
        <w:rFonts w:hint="eastAsia" w:ascii="宋体" w:eastAsia="宋体"/>
      </w:rPr>
    </w:lvl>
    <w:lvl w:ilvl="1" w:tentative="0">
      <w:start w:val="2"/>
      <w:numFmt w:val="decimal"/>
      <w:lvlText w:val="%1.%2"/>
      <w:lvlJc w:val="left"/>
      <w:pPr>
        <w:ind w:left="360" w:hanging="360"/>
      </w:pPr>
      <w:rPr>
        <w:rFonts w:hint="eastAsia" w:ascii="宋体" w:eastAsia="宋体"/>
      </w:rPr>
    </w:lvl>
    <w:lvl w:ilvl="2" w:tentative="0">
      <w:start w:val="1"/>
      <w:numFmt w:val="decimal"/>
      <w:lvlText w:val="%1.%2.%3"/>
      <w:lvlJc w:val="left"/>
      <w:pPr>
        <w:ind w:left="720" w:hanging="720"/>
      </w:pPr>
      <w:rPr>
        <w:rFonts w:hint="eastAsia" w:ascii="宋体" w:eastAsia="宋体"/>
      </w:rPr>
    </w:lvl>
    <w:lvl w:ilvl="3" w:tentative="0">
      <w:start w:val="1"/>
      <w:numFmt w:val="decimal"/>
      <w:lvlText w:val="%1.%2.%3.%4"/>
      <w:lvlJc w:val="left"/>
      <w:pPr>
        <w:ind w:left="720" w:hanging="720"/>
      </w:pPr>
      <w:rPr>
        <w:rFonts w:hint="eastAsia" w:ascii="宋体" w:eastAsia="宋体"/>
      </w:rPr>
    </w:lvl>
    <w:lvl w:ilvl="4" w:tentative="0">
      <w:start w:val="1"/>
      <w:numFmt w:val="decimal"/>
      <w:lvlText w:val="%1.%2.%3.%4.%5"/>
      <w:lvlJc w:val="left"/>
      <w:pPr>
        <w:ind w:left="1080" w:hanging="1080"/>
      </w:pPr>
      <w:rPr>
        <w:rFonts w:hint="eastAsia" w:ascii="宋体" w:eastAsia="宋体"/>
      </w:rPr>
    </w:lvl>
    <w:lvl w:ilvl="5" w:tentative="0">
      <w:start w:val="1"/>
      <w:numFmt w:val="decimal"/>
      <w:lvlText w:val="%1.%2.%3.%4.%5.%6"/>
      <w:lvlJc w:val="left"/>
      <w:pPr>
        <w:ind w:left="1080" w:hanging="1080"/>
      </w:pPr>
      <w:rPr>
        <w:rFonts w:hint="eastAsia" w:ascii="宋体" w:eastAsia="宋体"/>
      </w:rPr>
    </w:lvl>
    <w:lvl w:ilvl="6" w:tentative="0">
      <w:start w:val="1"/>
      <w:numFmt w:val="decimal"/>
      <w:lvlText w:val="%1.%2.%3.%4.%5.%6.%7"/>
      <w:lvlJc w:val="left"/>
      <w:pPr>
        <w:ind w:left="1080" w:hanging="1080"/>
      </w:pPr>
      <w:rPr>
        <w:rFonts w:hint="eastAsia" w:ascii="宋体" w:eastAsia="宋体"/>
      </w:rPr>
    </w:lvl>
    <w:lvl w:ilvl="7" w:tentative="0">
      <w:start w:val="1"/>
      <w:numFmt w:val="decimal"/>
      <w:lvlText w:val="%1.%2.%3.%4.%5.%6.%7.%8"/>
      <w:lvlJc w:val="left"/>
      <w:pPr>
        <w:ind w:left="1440" w:hanging="1440"/>
      </w:pPr>
      <w:rPr>
        <w:rFonts w:hint="eastAsia" w:ascii="宋体" w:eastAsia="宋体"/>
      </w:rPr>
    </w:lvl>
    <w:lvl w:ilvl="8" w:tentative="0">
      <w:start w:val="1"/>
      <w:numFmt w:val="decimal"/>
      <w:lvlText w:val="%1.%2.%3.%4.%5.%6.%7.%8.%9"/>
      <w:lvlJc w:val="left"/>
      <w:pPr>
        <w:ind w:left="1440" w:hanging="1440"/>
      </w:pPr>
      <w:rPr>
        <w:rFonts w:hint="eastAsia" w:ascii="宋体" w:eastAsia="宋体"/>
      </w:rPr>
    </w:lvl>
  </w:abstractNum>
  <w:abstractNum w:abstractNumId="92">
    <w:nsid w:val="54701CA1"/>
    <w:multiLevelType w:val="multilevel"/>
    <w:tmpl w:val="54701CA1"/>
    <w:lvl w:ilvl="0" w:tentative="0">
      <w:start w:val="1"/>
      <w:numFmt w:val="decimal"/>
      <w:lvlText w:val="%1."/>
      <w:lvlJc w:val="left"/>
      <w:pPr>
        <w:ind w:left="897" w:hanging="264"/>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850" w:hanging="264"/>
      </w:pPr>
      <w:rPr>
        <w:rFonts w:hint="default"/>
        <w:lang w:val="zh-CN" w:eastAsia="zh-CN" w:bidi="zh-CN"/>
      </w:rPr>
    </w:lvl>
    <w:lvl w:ilvl="2" w:tentative="0">
      <w:start w:val="0"/>
      <w:numFmt w:val="bullet"/>
      <w:lvlText w:val="•"/>
      <w:lvlJc w:val="left"/>
      <w:pPr>
        <w:ind w:left="2801" w:hanging="264"/>
      </w:pPr>
      <w:rPr>
        <w:rFonts w:hint="default"/>
        <w:lang w:val="zh-CN" w:eastAsia="zh-CN" w:bidi="zh-CN"/>
      </w:rPr>
    </w:lvl>
    <w:lvl w:ilvl="3" w:tentative="0">
      <w:start w:val="0"/>
      <w:numFmt w:val="bullet"/>
      <w:lvlText w:val="•"/>
      <w:lvlJc w:val="left"/>
      <w:pPr>
        <w:ind w:left="3751" w:hanging="264"/>
      </w:pPr>
      <w:rPr>
        <w:rFonts w:hint="default"/>
        <w:lang w:val="zh-CN" w:eastAsia="zh-CN" w:bidi="zh-CN"/>
      </w:rPr>
    </w:lvl>
    <w:lvl w:ilvl="4" w:tentative="0">
      <w:start w:val="0"/>
      <w:numFmt w:val="bullet"/>
      <w:lvlText w:val="•"/>
      <w:lvlJc w:val="left"/>
      <w:pPr>
        <w:ind w:left="4702" w:hanging="264"/>
      </w:pPr>
      <w:rPr>
        <w:rFonts w:hint="default"/>
        <w:lang w:val="zh-CN" w:eastAsia="zh-CN" w:bidi="zh-CN"/>
      </w:rPr>
    </w:lvl>
    <w:lvl w:ilvl="5" w:tentative="0">
      <w:start w:val="0"/>
      <w:numFmt w:val="bullet"/>
      <w:lvlText w:val="•"/>
      <w:lvlJc w:val="left"/>
      <w:pPr>
        <w:ind w:left="5653" w:hanging="264"/>
      </w:pPr>
      <w:rPr>
        <w:rFonts w:hint="default"/>
        <w:lang w:val="zh-CN" w:eastAsia="zh-CN" w:bidi="zh-CN"/>
      </w:rPr>
    </w:lvl>
    <w:lvl w:ilvl="6" w:tentative="0">
      <w:start w:val="0"/>
      <w:numFmt w:val="bullet"/>
      <w:lvlText w:val="•"/>
      <w:lvlJc w:val="left"/>
      <w:pPr>
        <w:ind w:left="6603" w:hanging="264"/>
      </w:pPr>
      <w:rPr>
        <w:rFonts w:hint="default"/>
        <w:lang w:val="zh-CN" w:eastAsia="zh-CN" w:bidi="zh-CN"/>
      </w:rPr>
    </w:lvl>
    <w:lvl w:ilvl="7" w:tentative="0">
      <w:start w:val="0"/>
      <w:numFmt w:val="bullet"/>
      <w:lvlText w:val="•"/>
      <w:lvlJc w:val="left"/>
      <w:pPr>
        <w:ind w:left="7554" w:hanging="264"/>
      </w:pPr>
      <w:rPr>
        <w:rFonts w:hint="default"/>
        <w:lang w:val="zh-CN" w:eastAsia="zh-CN" w:bidi="zh-CN"/>
      </w:rPr>
    </w:lvl>
    <w:lvl w:ilvl="8" w:tentative="0">
      <w:start w:val="0"/>
      <w:numFmt w:val="bullet"/>
      <w:lvlText w:val="•"/>
      <w:lvlJc w:val="left"/>
      <w:pPr>
        <w:ind w:left="8505" w:hanging="264"/>
      </w:pPr>
      <w:rPr>
        <w:rFonts w:hint="default"/>
        <w:lang w:val="zh-CN" w:eastAsia="zh-CN" w:bidi="zh-CN"/>
      </w:rPr>
    </w:lvl>
  </w:abstractNum>
  <w:abstractNum w:abstractNumId="93">
    <w:nsid w:val="59EEFD2A"/>
    <w:multiLevelType w:val="multilevel"/>
    <w:tmpl w:val="59EEFD2A"/>
    <w:lvl w:ilvl="0" w:tentative="0">
      <w:start w:val="1"/>
      <w:numFmt w:val="decimal"/>
      <w:lvlText w:val="（%1）"/>
      <w:lvlJc w:val="left"/>
      <w:pPr>
        <w:ind w:left="1162"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84" w:hanging="529"/>
      </w:pPr>
      <w:rPr>
        <w:rFonts w:hint="default"/>
        <w:lang w:val="zh-CN" w:eastAsia="zh-CN" w:bidi="zh-CN"/>
      </w:rPr>
    </w:lvl>
    <w:lvl w:ilvl="2" w:tentative="0">
      <w:start w:val="0"/>
      <w:numFmt w:val="bullet"/>
      <w:lvlText w:val="•"/>
      <w:lvlJc w:val="left"/>
      <w:pPr>
        <w:ind w:left="3009" w:hanging="529"/>
      </w:pPr>
      <w:rPr>
        <w:rFonts w:hint="default"/>
        <w:lang w:val="zh-CN" w:eastAsia="zh-CN" w:bidi="zh-CN"/>
      </w:rPr>
    </w:lvl>
    <w:lvl w:ilvl="3" w:tentative="0">
      <w:start w:val="0"/>
      <w:numFmt w:val="bullet"/>
      <w:lvlText w:val="•"/>
      <w:lvlJc w:val="left"/>
      <w:pPr>
        <w:ind w:left="3933" w:hanging="529"/>
      </w:pPr>
      <w:rPr>
        <w:rFonts w:hint="default"/>
        <w:lang w:val="zh-CN" w:eastAsia="zh-CN" w:bidi="zh-CN"/>
      </w:rPr>
    </w:lvl>
    <w:lvl w:ilvl="4" w:tentative="0">
      <w:start w:val="0"/>
      <w:numFmt w:val="bullet"/>
      <w:lvlText w:val="•"/>
      <w:lvlJc w:val="left"/>
      <w:pPr>
        <w:ind w:left="4858" w:hanging="529"/>
      </w:pPr>
      <w:rPr>
        <w:rFonts w:hint="default"/>
        <w:lang w:val="zh-CN" w:eastAsia="zh-CN" w:bidi="zh-CN"/>
      </w:rPr>
    </w:lvl>
    <w:lvl w:ilvl="5" w:tentative="0">
      <w:start w:val="0"/>
      <w:numFmt w:val="bullet"/>
      <w:lvlText w:val="•"/>
      <w:lvlJc w:val="left"/>
      <w:pPr>
        <w:ind w:left="5783" w:hanging="529"/>
      </w:pPr>
      <w:rPr>
        <w:rFonts w:hint="default"/>
        <w:lang w:val="zh-CN" w:eastAsia="zh-CN" w:bidi="zh-CN"/>
      </w:rPr>
    </w:lvl>
    <w:lvl w:ilvl="6" w:tentative="0">
      <w:start w:val="0"/>
      <w:numFmt w:val="bullet"/>
      <w:lvlText w:val="•"/>
      <w:lvlJc w:val="left"/>
      <w:pPr>
        <w:ind w:left="6707" w:hanging="529"/>
      </w:pPr>
      <w:rPr>
        <w:rFonts w:hint="default"/>
        <w:lang w:val="zh-CN" w:eastAsia="zh-CN" w:bidi="zh-CN"/>
      </w:rPr>
    </w:lvl>
    <w:lvl w:ilvl="7" w:tentative="0">
      <w:start w:val="0"/>
      <w:numFmt w:val="bullet"/>
      <w:lvlText w:val="•"/>
      <w:lvlJc w:val="left"/>
      <w:pPr>
        <w:ind w:left="7632" w:hanging="529"/>
      </w:pPr>
      <w:rPr>
        <w:rFonts w:hint="default"/>
        <w:lang w:val="zh-CN" w:eastAsia="zh-CN" w:bidi="zh-CN"/>
      </w:rPr>
    </w:lvl>
    <w:lvl w:ilvl="8" w:tentative="0">
      <w:start w:val="0"/>
      <w:numFmt w:val="bullet"/>
      <w:lvlText w:val="•"/>
      <w:lvlJc w:val="left"/>
      <w:pPr>
        <w:ind w:left="8557" w:hanging="529"/>
      </w:pPr>
      <w:rPr>
        <w:rFonts w:hint="default"/>
        <w:lang w:val="zh-CN" w:eastAsia="zh-CN" w:bidi="zh-CN"/>
      </w:rPr>
    </w:lvl>
  </w:abstractNum>
  <w:abstractNum w:abstractNumId="94">
    <w:nsid w:val="5E220EC2"/>
    <w:multiLevelType w:val="multilevel"/>
    <w:tmpl w:val="5E220EC2"/>
    <w:lvl w:ilvl="0" w:tentative="0">
      <w:start w:val="1"/>
      <w:numFmt w:val="decimal"/>
      <w:lvlText w:val="%1"/>
      <w:lvlJc w:val="left"/>
      <w:pPr>
        <w:ind w:left="360" w:hanging="360"/>
      </w:pPr>
      <w:rPr>
        <w:rFonts w:hint="eastAsia" w:ascii="宋体" w:eastAsia="宋体"/>
      </w:rPr>
    </w:lvl>
    <w:lvl w:ilvl="1" w:tentative="0">
      <w:start w:val="9"/>
      <w:numFmt w:val="decimal"/>
      <w:lvlText w:val="%1.%2"/>
      <w:lvlJc w:val="left"/>
      <w:pPr>
        <w:ind w:left="360" w:hanging="360"/>
      </w:pPr>
      <w:rPr>
        <w:rFonts w:hint="eastAsia" w:ascii="宋体" w:eastAsia="宋体"/>
      </w:rPr>
    </w:lvl>
    <w:lvl w:ilvl="2" w:tentative="0">
      <w:start w:val="1"/>
      <w:numFmt w:val="decimal"/>
      <w:lvlText w:val="%1.%2.%3"/>
      <w:lvlJc w:val="left"/>
      <w:pPr>
        <w:ind w:left="720" w:hanging="720"/>
      </w:pPr>
      <w:rPr>
        <w:rFonts w:hint="eastAsia" w:ascii="宋体" w:eastAsia="宋体"/>
      </w:rPr>
    </w:lvl>
    <w:lvl w:ilvl="3" w:tentative="0">
      <w:start w:val="1"/>
      <w:numFmt w:val="decimal"/>
      <w:lvlText w:val="%1.%2.%3.%4"/>
      <w:lvlJc w:val="left"/>
      <w:pPr>
        <w:ind w:left="1080" w:hanging="1080"/>
      </w:pPr>
      <w:rPr>
        <w:rFonts w:hint="eastAsia" w:ascii="宋体" w:eastAsia="宋体"/>
      </w:rPr>
    </w:lvl>
    <w:lvl w:ilvl="4" w:tentative="0">
      <w:start w:val="1"/>
      <w:numFmt w:val="decimal"/>
      <w:lvlText w:val="%1.%2.%3.%4.%5"/>
      <w:lvlJc w:val="left"/>
      <w:pPr>
        <w:ind w:left="1080" w:hanging="1080"/>
      </w:pPr>
      <w:rPr>
        <w:rFonts w:hint="eastAsia" w:ascii="宋体" w:eastAsia="宋体"/>
      </w:rPr>
    </w:lvl>
    <w:lvl w:ilvl="5" w:tentative="0">
      <w:start w:val="1"/>
      <w:numFmt w:val="decimal"/>
      <w:lvlText w:val="%1.%2.%3.%4.%5.%6"/>
      <w:lvlJc w:val="left"/>
      <w:pPr>
        <w:ind w:left="1440" w:hanging="1440"/>
      </w:pPr>
      <w:rPr>
        <w:rFonts w:hint="eastAsia" w:ascii="宋体" w:eastAsia="宋体"/>
      </w:rPr>
    </w:lvl>
    <w:lvl w:ilvl="6" w:tentative="0">
      <w:start w:val="1"/>
      <w:numFmt w:val="decimal"/>
      <w:lvlText w:val="%1.%2.%3.%4.%5.%6.%7"/>
      <w:lvlJc w:val="left"/>
      <w:pPr>
        <w:ind w:left="1440" w:hanging="1440"/>
      </w:pPr>
      <w:rPr>
        <w:rFonts w:hint="eastAsia" w:ascii="宋体" w:eastAsia="宋体"/>
      </w:rPr>
    </w:lvl>
    <w:lvl w:ilvl="7" w:tentative="0">
      <w:start w:val="1"/>
      <w:numFmt w:val="decimal"/>
      <w:lvlText w:val="%1.%2.%3.%4.%5.%6.%7.%8"/>
      <w:lvlJc w:val="left"/>
      <w:pPr>
        <w:ind w:left="1800" w:hanging="1800"/>
      </w:pPr>
      <w:rPr>
        <w:rFonts w:hint="eastAsia" w:ascii="宋体" w:eastAsia="宋体"/>
      </w:rPr>
    </w:lvl>
    <w:lvl w:ilvl="8" w:tentative="0">
      <w:start w:val="1"/>
      <w:numFmt w:val="decimal"/>
      <w:lvlText w:val="%1.%2.%3.%4.%5.%6.%7.%8.%9"/>
      <w:lvlJc w:val="left"/>
      <w:pPr>
        <w:ind w:left="1800" w:hanging="1800"/>
      </w:pPr>
      <w:rPr>
        <w:rFonts w:hint="eastAsia" w:ascii="宋体" w:eastAsia="宋体"/>
      </w:rPr>
    </w:lvl>
  </w:abstractNum>
  <w:abstractNum w:abstractNumId="95">
    <w:nsid w:val="5EE129EE"/>
    <w:multiLevelType w:val="multilevel"/>
    <w:tmpl w:val="5EE129EE"/>
    <w:lvl w:ilvl="0" w:tentative="0">
      <w:start w:val="17"/>
      <w:numFmt w:val="decimal"/>
      <w:lvlText w:val="%1"/>
      <w:lvlJc w:val="left"/>
      <w:pPr>
        <w:ind w:left="630" w:hanging="630"/>
      </w:pPr>
      <w:rPr>
        <w:rFonts w:hint="default"/>
      </w:rPr>
    </w:lvl>
    <w:lvl w:ilvl="1" w:tentative="0">
      <w:start w:val="3"/>
      <w:numFmt w:val="decimal"/>
      <w:lvlText w:val="%1.%2"/>
      <w:lvlJc w:val="left"/>
      <w:pPr>
        <w:ind w:left="680" w:hanging="630"/>
      </w:pPr>
      <w:rPr>
        <w:rFonts w:hint="default"/>
      </w:rPr>
    </w:lvl>
    <w:lvl w:ilvl="2" w:tentative="0">
      <w:start w:val="3"/>
      <w:numFmt w:val="decimal"/>
      <w:lvlText w:val="%1.%2.%3"/>
      <w:lvlJc w:val="left"/>
      <w:pPr>
        <w:ind w:left="820" w:hanging="720"/>
      </w:pPr>
      <w:rPr>
        <w:rFonts w:hint="default"/>
      </w:rPr>
    </w:lvl>
    <w:lvl w:ilvl="3" w:tentative="0">
      <w:start w:val="1"/>
      <w:numFmt w:val="decimal"/>
      <w:lvlText w:val="%1.%2.%3.%4"/>
      <w:lvlJc w:val="left"/>
      <w:pPr>
        <w:ind w:left="1230" w:hanging="1080"/>
      </w:pPr>
      <w:rPr>
        <w:rFonts w:hint="default"/>
      </w:rPr>
    </w:lvl>
    <w:lvl w:ilvl="4" w:tentative="0">
      <w:start w:val="1"/>
      <w:numFmt w:val="decimal"/>
      <w:lvlText w:val="%1.%2.%3.%4.%5"/>
      <w:lvlJc w:val="left"/>
      <w:pPr>
        <w:ind w:left="1280" w:hanging="1080"/>
      </w:pPr>
      <w:rPr>
        <w:rFonts w:hint="default"/>
      </w:rPr>
    </w:lvl>
    <w:lvl w:ilvl="5" w:tentative="0">
      <w:start w:val="1"/>
      <w:numFmt w:val="decimal"/>
      <w:lvlText w:val="%1.%2.%3.%4.%5.%6"/>
      <w:lvlJc w:val="left"/>
      <w:pPr>
        <w:ind w:left="1690" w:hanging="1440"/>
      </w:pPr>
      <w:rPr>
        <w:rFonts w:hint="default"/>
      </w:rPr>
    </w:lvl>
    <w:lvl w:ilvl="6" w:tentative="0">
      <w:start w:val="1"/>
      <w:numFmt w:val="decimal"/>
      <w:lvlText w:val="%1.%2.%3.%4.%5.%6.%7"/>
      <w:lvlJc w:val="left"/>
      <w:pPr>
        <w:ind w:left="1740" w:hanging="1440"/>
      </w:pPr>
      <w:rPr>
        <w:rFonts w:hint="default"/>
      </w:rPr>
    </w:lvl>
    <w:lvl w:ilvl="7" w:tentative="0">
      <w:start w:val="1"/>
      <w:numFmt w:val="decimal"/>
      <w:lvlText w:val="%1.%2.%3.%4.%5.%6.%7.%8"/>
      <w:lvlJc w:val="left"/>
      <w:pPr>
        <w:ind w:left="2150" w:hanging="1800"/>
      </w:pPr>
      <w:rPr>
        <w:rFonts w:hint="default"/>
      </w:rPr>
    </w:lvl>
    <w:lvl w:ilvl="8" w:tentative="0">
      <w:start w:val="1"/>
      <w:numFmt w:val="decimal"/>
      <w:lvlText w:val="%1.%2.%3.%4.%5.%6.%7.%8.%9"/>
      <w:lvlJc w:val="left"/>
      <w:pPr>
        <w:ind w:left="2200" w:hanging="1800"/>
      </w:pPr>
      <w:rPr>
        <w:rFonts w:hint="default"/>
      </w:rPr>
    </w:lvl>
  </w:abstractNum>
  <w:abstractNum w:abstractNumId="96">
    <w:nsid w:val="5FCE4367"/>
    <w:multiLevelType w:val="multilevel"/>
    <w:tmpl w:val="5FCE4367"/>
    <w:lvl w:ilvl="0" w:tentative="0">
      <w:start w:val="1"/>
      <w:numFmt w:val="decimal"/>
      <w:lvlText w:val="（%1）"/>
      <w:lvlJc w:val="left"/>
      <w:pPr>
        <w:ind w:left="212" w:hanging="532"/>
      </w:pPr>
      <w:rPr>
        <w:rFonts w:hint="default" w:ascii="宋体" w:hAnsi="宋体" w:eastAsia="宋体" w:cs="宋体"/>
        <w:b/>
        <w:bCs/>
        <w:spacing w:val="0"/>
        <w:w w:val="99"/>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97">
    <w:nsid w:val="5FFFB1A7"/>
    <w:multiLevelType w:val="multilevel"/>
    <w:tmpl w:val="5FFFB1A7"/>
    <w:lvl w:ilvl="0" w:tentative="0">
      <w:start w:val="1"/>
      <w:numFmt w:val="decimal"/>
      <w:lvlText w:val="%1."/>
      <w:lvlJc w:val="left"/>
      <w:pPr>
        <w:ind w:left="640" w:hanging="428"/>
      </w:pPr>
      <w:rPr>
        <w:rFonts w:hint="default" w:ascii="Arial" w:hAnsi="Arial" w:eastAsia="Arial" w:cs="Arial"/>
        <w:b/>
        <w:bCs/>
        <w:w w:val="99"/>
        <w:sz w:val="32"/>
        <w:szCs w:val="32"/>
        <w:lang w:val="zh-CN" w:eastAsia="zh-CN" w:bidi="zh-CN"/>
      </w:rPr>
    </w:lvl>
    <w:lvl w:ilvl="1" w:tentative="0">
      <w:start w:val="1"/>
      <w:numFmt w:val="decimal"/>
      <w:lvlText w:val="%1.%2"/>
      <w:lvlJc w:val="left"/>
      <w:pPr>
        <w:ind w:left="839" w:hanging="491"/>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158" w:hanging="526"/>
      </w:pPr>
      <w:rPr>
        <w:rFonts w:hint="default"/>
        <w:w w:val="100"/>
        <w:lang w:val="zh-CN" w:eastAsia="zh-CN" w:bidi="zh-CN"/>
      </w:rPr>
    </w:lvl>
    <w:lvl w:ilvl="3" w:tentative="0">
      <w:start w:val="1"/>
      <w:numFmt w:val="decimal"/>
      <w:lvlText w:val="（%4）"/>
      <w:lvlJc w:val="left"/>
      <w:pPr>
        <w:ind w:left="1162" w:hanging="526"/>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1160" w:hanging="526"/>
      </w:pPr>
      <w:rPr>
        <w:rFonts w:hint="default"/>
        <w:lang w:val="zh-CN" w:eastAsia="zh-CN" w:bidi="zh-CN"/>
      </w:rPr>
    </w:lvl>
    <w:lvl w:ilvl="5" w:tentative="0">
      <w:start w:val="0"/>
      <w:numFmt w:val="bullet"/>
      <w:lvlText w:val="•"/>
      <w:lvlJc w:val="left"/>
      <w:pPr>
        <w:ind w:left="2701" w:hanging="526"/>
      </w:pPr>
      <w:rPr>
        <w:rFonts w:hint="default"/>
        <w:lang w:val="zh-CN" w:eastAsia="zh-CN" w:bidi="zh-CN"/>
      </w:rPr>
    </w:lvl>
    <w:lvl w:ilvl="6" w:tentative="0">
      <w:start w:val="0"/>
      <w:numFmt w:val="bullet"/>
      <w:lvlText w:val="•"/>
      <w:lvlJc w:val="left"/>
      <w:pPr>
        <w:ind w:left="4242" w:hanging="526"/>
      </w:pPr>
      <w:rPr>
        <w:rFonts w:hint="default"/>
        <w:lang w:val="zh-CN" w:eastAsia="zh-CN" w:bidi="zh-CN"/>
      </w:rPr>
    </w:lvl>
    <w:lvl w:ilvl="7" w:tentative="0">
      <w:start w:val="0"/>
      <w:numFmt w:val="bullet"/>
      <w:lvlText w:val="•"/>
      <w:lvlJc w:val="left"/>
      <w:pPr>
        <w:ind w:left="5783" w:hanging="526"/>
      </w:pPr>
      <w:rPr>
        <w:rFonts w:hint="default"/>
        <w:lang w:val="zh-CN" w:eastAsia="zh-CN" w:bidi="zh-CN"/>
      </w:rPr>
    </w:lvl>
    <w:lvl w:ilvl="8" w:tentative="0">
      <w:start w:val="0"/>
      <w:numFmt w:val="bullet"/>
      <w:lvlText w:val="•"/>
      <w:lvlJc w:val="left"/>
      <w:pPr>
        <w:ind w:left="7324" w:hanging="526"/>
      </w:pPr>
      <w:rPr>
        <w:rFonts w:hint="default"/>
        <w:lang w:val="zh-CN" w:eastAsia="zh-CN" w:bidi="zh-CN"/>
      </w:rPr>
    </w:lvl>
  </w:abstractNum>
  <w:abstractNum w:abstractNumId="98">
    <w:nsid w:val="640D190A"/>
    <w:multiLevelType w:val="multilevel"/>
    <w:tmpl w:val="640D190A"/>
    <w:lvl w:ilvl="0" w:tentative="0">
      <w:start w:val="4"/>
      <w:numFmt w:val="decimal"/>
      <w:lvlText w:val="%1"/>
      <w:lvlJc w:val="left"/>
      <w:pPr>
        <w:ind w:left="450" w:hanging="450"/>
      </w:pPr>
      <w:rPr>
        <w:rFonts w:hint="default" w:ascii="宋体" w:eastAsia="宋体"/>
      </w:rPr>
    </w:lvl>
    <w:lvl w:ilvl="1" w:tentative="0">
      <w:start w:val="1"/>
      <w:numFmt w:val="decimal"/>
      <w:lvlText w:val="%1.%2"/>
      <w:lvlJc w:val="left"/>
      <w:pPr>
        <w:ind w:left="450" w:hanging="450"/>
      </w:pPr>
      <w:rPr>
        <w:rFonts w:hint="default" w:ascii="宋体" w:eastAsia="宋体"/>
      </w:rPr>
    </w:lvl>
    <w:lvl w:ilvl="2" w:tentative="0">
      <w:start w:val="3"/>
      <w:numFmt w:val="decimal"/>
      <w:lvlText w:val="%1.%2.%3"/>
      <w:lvlJc w:val="left"/>
      <w:pPr>
        <w:ind w:left="720" w:hanging="720"/>
      </w:pPr>
      <w:rPr>
        <w:rFonts w:hint="default" w:ascii="宋体" w:eastAsia="宋体"/>
      </w:rPr>
    </w:lvl>
    <w:lvl w:ilvl="3" w:tentative="0">
      <w:start w:val="1"/>
      <w:numFmt w:val="decimal"/>
      <w:lvlText w:val="%1.%2.%3.%4"/>
      <w:lvlJc w:val="left"/>
      <w:pPr>
        <w:ind w:left="1080" w:hanging="1080"/>
      </w:pPr>
      <w:rPr>
        <w:rFonts w:hint="default" w:ascii="宋体" w:eastAsia="宋体"/>
      </w:rPr>
    </w:lvl>
    <w:lvl w:ilvl="4" w:tentative="0">
      <w:start w:val="1"/>
      <w:numFmt w:val="decimal"/>
      <w:lvlText w:val="%1.%2.%3.%4.%5"/>
      <w:lvlJc w:val="left"/>
      <w:pPr>
        <w:ind w:left="1080" w:hanging="1080"/>
      </w:pPr>
      <w:rPr>
        <w:rFonts w:hint="default" w:ascii="宋体" w:eastAsia="宋体"/>
      </w:rPr>
    </w:lvl>
    <w:lvl w:ilvl="5" w:tentative="0">
      <w:start w:val="1"/>
      <w:numFmt w:val="decimal"/>
      <w:lvlText w:val="%1.%2.%3.%4.%5.%6"/>
      <w:lvlJc w:val="left"/>
      <w:pPr>
        <w:ind w:left="1440" w:hanging="1440"/>
      </w:pPr>
      <w:rPr>
        <w:rFonts w:hint="default" w:ascii="宋体" w:eastAsia="宋体"/>
      </w:rPr>
    </w:lvl>
    <w:lvl w:ilvl="6" w:tentative="0">
      <w:start w:val="1"/>
      <w:numFmt w:val="decimal"/>
      <w:lvlText w:val="%1.%2.%3.%4.%5.%6.%7"/>
      <w:lvlJc w:val="left"/>
      <w:pPr>
        <w:ind w:left="1440" w:hanging="1440"/>
      </w:pPr>
      <w:rPr>
        <w:rFonts w:hint="default" w:ascii="宋体" w:eastAsia="宋体"/>
      </w:rPr>
    </w:lvl>
    <w:lvl w:ilvl="7" w:tentative="0">
      <w:start w:val="1"/>
      <w:numFmt w:val="decimal"/>
      <w:lvlText w:val="%1.%2.%3.%4.%5.%6.%7.%8"/>
      <w:lvlJc w:val="left"/>
      <w:pPr>
        <w:ind w:left="1800" w:hanging="1800"/>
      </w:pPr>
      <w:rPr>
        <w:rFonts w:hint="default" w:ascii="宋体" w:eastAsia="宋体"/>
      </w:rPr>
    </w:lvl>
    <w:lvl w:ilvl="8" w:tentative="0">
      <w:start w:val="1"/>
      <w:numFmt w:val="decimal"/>
      <w:lvlText w:val="%1.%2.%3.%4.%5.%6.%7.%8.%9"/>
      <w:lvlJc w:val="left"/>
      <w:pPr>
        <w:ind w:left="2160" w:hanging="2160"/>
      </w:pPr>
      <w:rPr>
        <w:rFonts w:hint="default" w:ascii="宋体" w:eastAsia="宋体"/>
      </w:rPr>
    </w:lvl>
  </w:abstractNum>
  <w:abstractNum w:abstractNumId="99">
    <w:nsid w:val="65CD0074"/>
    <w:multiLevelType w:val="multilevel"/>
    <w:tmpl w:val="65CD0074"/>
    <w:lvl w:ilvl="0" w:tentative="0">
      <w:start w:val="1"/>
      <w:numFmt w:val="decimal"/>
      <w:lvlText w:val="%1."/>
      <w:lvlJc w:val="left"/>
      <w:pPr>
        <w:ind w:left="640" w:hanging="428"/>
      </w:pPr>
      <w:rPr>
        <w:rFonts w:hint="default" w:ascii="Arial" w:hAnsi="Arial" w:eastAsia="Arial" w:cs="Arial"/>
        <w:b/>
        <w:bCs/>
        <w:w w:val="99"/>
        <w:sz w:val="32"/>
        <w:szCs w:val="32"/>
        <w:lang w:val="zh-CN" w:eastAsia="zh-CN" w:bidi="zh-CN"/>
      </w:rPr>
    </w:lvl>
    <w:lvl w:ilvl="1" w:tentative="0">
      <w:start w:val="1"/>
      <w:numFmt w:val="decimal"/>
      <w:lvlText w:val="%1.%2"/>
      <w:lvlJc w:val="left"/>
      <w:pPr>
        <w:ind w:left="981" w:hanging="632"/>
      </w:pPr>
      <w:rPr>
        <w:rFonts w:hint="default"/>
        <w:spacing w:val="-4"/>
        <w:w w:val="100"/>
        <w:lang w:val="zh-CN" w:eastAsia="zh-CN" w:bidi="zh-CN"/>
      </w:rPr>
    </w:lvl>
    <w:lvl w:ilvl="2" w:tentative="0">
      <w:start w:val="1"/>
      <w:numFmt w:val="decimal"/>
      <w:lvlText w:val="%1.%2.%3"/>
      <w:lvlJc w:val="left"/>
      <w:pPr>
        <w:ind w:left="1151" w:hanging="632"/>
      </w:pPr>
      <w:rPr>
        <w:rFonts w:hint="default" w:ascii="Times New Roman" w:hAnsi="Times New Roman" w:eastAsia="Times New Roman" w:cs="Times New Roman"/>
        <w:w w:val="100"/>
        <w:sz w:val="21"/>
        <w:szCs w:val="21"/>
        <w:lang w:val="zh-CN" w:eastAsia="zh-CN" w:bidi="zh-CN"/>
      </w:rPr>
    </w:lvl>
    <w:lvl w:ilvl="3" w:tentative="0">
      <w:start w:val="1"/>
      <w:numFmt w:val="decimal"/>
      <w:lvlText w:val="%1.%2.%3.%4"/>
      <w:lvlJc w:val="left"/>
      <w:pPr>
        <w:ind w:left="212" w:hanging="632"/>
      </w:pPr>
      <w:rPr>
        <w:rFonts w:hint="default" w:ascii="Times New Roman" w:hAnsi="Times New Roman" w:eastAsia="Times New Roman" w:cs="Times New Roman"/>
        <w:w w:val="100"/>
        <w:sz w:val="21"/>
        <w:szCs w:val="21"/>
        <w:lang w:val="zh-CN" w:eastAsia="zh-CN" w:bidi="zh-CN"/>
      </w:rPr>
    </w:lvl>
    <w:lvl w:ilvl="4" w:tentative="0">
      <w:start w:val="0"/>
      <w:numFmt w:val="bullet"/>
      <w:lvlText w:val="•"/>
      <w:lvlJc w:val="left"/>
      <w:pPr>
        <w:ind w:left="980" w:hanging="632"/>
      </w:pPr>
      <w:rPr>
        <w:rFonts w:hint="default"/>
        <w:lang w:val="zh-CN" w:eastAsia="zh-CN" w:bidi="zh-CN"/>
      </w:rPr>
    </w:lvl>
    <w:lvl w:ilvl="5" w:tentative="0">
      <w:start w:val="0"/>
      <w:numFmt w:val="bullet"/>
      <w:lvlText w:val="•"/>
      <w:lvlJc w:val="left"/>
      <w:pPr>
        <w:ind w:left="1160" w:hanging="632"/>
      </w:pPr>
      <w:rPr>
        <w:rFonts w:hint="default"/>
        <w:lang w:val="zh-CN" w:eastAsia="zh-CN" w:bidi="zh-CN"/>
      </w:rPr>
    </w:lvl>
    <w:lvl w:ilvl="6" w:tentative="0">
      <w:start w:val="0"/>
      <w:numFmt w:val="bullet"/>
      <w:lvlText w:val="•"/>
      <w:lvlJc w:val="left"/>
      <w:pPr>
        <w:ind w:left="1220" w:hanging="632"/>
      </w:pPr>
      <w:rPr>
        <w:rFonts w:hint="default"/>
        <w:lang w:val="zh-CN" w:eastAsia="zh-CN" w:bidi="zh-CN"/>
      </w:rPr>
    </w:lvl>
    <w:lvl w:ilvl="7" w:tentative="0">
      <w:start w:val="0"/>
      <w:numFmt w:val="bullet"/>
      <w:lvlText w:val="•"/>
      <w:lvlJc w:val="left"/>
      <w:pPr>
        <w:ind w:left="1260" w:hanging="632"/>
      </w:pPr>
      <w:rPr>
        <w:rFonts w:hint="default"/>
        <w:lang w:val="zh-CN" w:eastAsia="zh-CN" w:bidi="zh-CN"/>
      </w:rPr>
    </w:lvl>
    <w:lvl w:ilvl="8" w:tentative="0">
      <w:start w:val="0"/>
      <w:numFmt w:val="bullet"/>
      <w:lvlText w:val="•"/>
      <w:lvlJc w:val="left"/>
      <w:pPr>
        <w:ind w:left="1520" w:hanging="632"/>
      </w:pPr>
      <w:rPr>
        <w:rFonts w:hint="default"/>
        <w:lang w:val="zh-CN" w:eastAsia="zh-CN" w:bidi="zh-CN"/>
      </w:rPr>
    </w:lvl>
  </w:abstractNum>
  <w:abstractNum w:abstractNumId="100">
    <w:nsid w:val="6C9015CE"/>
    <w:multiLevelType w:val="multilevel"/>
    <w:tmpl w:val="6C9015CE"/>
    <w:lvl w:ilvl="0" w:tentative="0">
      <w:start w:val="20"/>
      <w:numFmt w:val="decimal"/>
      <w:lvlText w:val="%1"/>
      <w:lvlJc w:val="left"/>
      <w:pPr>
        <w:ind w:left="480" w:hanging="480"/>
      </w:pPr>
      <w:rPr>
        <w:rFonts w:hint="default" w:ascii="宋体" w:eastAsia="宋体"/>
      </w:rPr>
    </w:lvl>
    <w:lvl w:ilvl="1" w:tentative="0">
      <w:start w:val="1"/>
      <w:numFmt w:val="decimal"/>
      <w:lvlText w:val="%1.%2"/>
      <w:lvlJc w:val="left"/>
      <w:pPr>
        <w:ind w:left="1025" w:hanging="480"/>
      </w:pPr>
      <w:rPr>
        <w:rFonts w:hint="default" w:ascii="宋体" w:eastAsia="宋体"/>
      </w:rPr>
    </w:lvl>
    <w:lvl w:ilvl="2" w:tentative="0">
      <w:start w:val="1"/>
      <w:numFmt w:val="decimal"/>
      <w:lvlText w:val="%1.%2.%3"/>
      <w:lvlJc w:val="left"/>
      <w:pPr>
        <w:ind w:left="1810" w:hanging="720"/>
      </w:pPr>
      <w:rPr>
        <w:rFonts w:hint="default" w:ascii="宋体" w:eastAsia="宋体"/>
      </w:rPr>
    </w:lvl>
    <w:lvl w:ilvl="3" w:tentative="0">
      <w:start w:val="1"/>
      <w:numFmt w:val="decimal"/>
      <w:lvlText w:val="%1.%2.%3.%4"/>
      <w:lvlJc w:val="left"/>
      <w:pPr>
        <w:ind w:left="2355" w:hanging="720"/>
      </w:pPr>
      <w:rPr>
        <w:rFonts w:hint="default" w:ascii="宋体" w:eastAsia="宋体"/>
      </w:rPr>
    </w:lvl>
    <w:lvl w:ilvl="4" w:tentative="0">
      <w:start w:val="1"/>
      <w:numFmt w:val="decimal"/>
      <w:lvlText w:val="%1.%2.%3.%4.%5"/>
      <w:lvlJc w:val="left"/>
      <w:pPr>
        <w:ind w:left="3260" w:hanging="1080"/>
      </w:pPr>
      <w:rPr>
        <w:rFonts w:hint="default" w:ascii="宋体" w:eastAsia="宋体"/>
      </w:rPr>
    </w:lvl>
    <w:lvl w:ilvl="5" w:tentative="0">
      <w:start w:val="1"/>
      <w:numFmt w:val="decimal"/>
      <w:lvlText w:val="%1.%2.%3.%4.%5.%6"/>
      <w:lvlJc w:val="left"/>
      <w:pPr>
        <w:ind w:left="3805" w:hanging="1080"/>
      </w:pPr>
      <w:rPr>
        <w:rFonts w:hint="default" w:ascii="宋体" w:eastAsia="宋体"/>
      </w:rPr>
    </w:lvl>
    <w:lvl w:ilvl="6" w:tentative="0">
      <w:start w:val="1"/>
      <w:numFmt w:val="decimal"/>
      <w:lvlText w:val="%1.%2.%3.%4.%5.%6.%7"/>
      <w:lvlJc w:val="left"/>
      <w:pPr>
        <w:ind w:left="4350" w:hanging="1080"/>
      </w:pPr>
      <w:rPr>
        <w:rFonts w:hint="default" w:ascii="宋体" w:eastAsia="宋体"/>
      </w:rPr>
    </w:lvl>
    <w:lvl w:ilvl="7" w:tentative="0">
      <w:start w:val="1"/>
      <w:numFmt w:val="decimal"/>
      <w:lvlText w:val="%1.%2.%3.%4.%5.%6.%7.%8"/>
      <w:lvlJc w:val="left"/>
      <w:pPr>
        <w:ind w:left="5255" w:hanging="1440"/>
      </w:pPr>
      <w:rPr>
        <w:rFonts w:hint="default" w:ascii="宋体" w:eastAsia="宋体"/>
      </w:rPr>
    </w:lvl>
    <w:lvl w:ilvl="8" w:tentative="0">
      <w:start w:val="1"/>
      <w:numFmt w:val="decimal"/>
      <w:lvlText w:val="%1.%2.%3.%4.%5.%6.%7.%8.%9"/>
      <w:lvlJc w:val="left"/>
      <w:pPr>
        <w:ind w:left="5800" w:hanging="1440"/>
      </w:pPr>
      <w:rPr>
        <w:rFonts w:hint="default" w:ascii="宋体" w:eastAsia="宋体"/>
      </w:rPr>
    </w:lvl>
  </w:abstractNum>
  <w:abstractNum w:abstractNumId="101">
    <w:nsid w:val="700FDCEF"/>
    <w:multiLevelType w:val="multilevel"/>
    <w:tmpl w:val="700FDCEF"/>
    <w:lvl w:ilvl="0" w:tentative="0">
      <w:start w:val="1"/>
      <w:numFmt w:val="decimal"/>
      <w:lvlText w:val="（%1）"/>
      <w:lvlJc w:val="left"/>
      <w:pPr>
        <w:ind w:left="212" w:hanging="532"/>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238" w:hanging="532"/>
      </w:pPr>
      <w:rPr>
        <w:rFonts w:hint="default"/>
        <w:lang w:val="zh-CN" w:eastAsia="zh-CN" w:bidi="zh-CN"/>
      </w:rPr>
    </w:lvl>
    <w:lvl w:ilvl="2" w:tentative="0">
      <w:start w:val="0"/>
      <w:numFmt w:val="bullet"/>
      <w:lvlText w:val="•"/>
      <w:lvlJc w:val="left"/>
      <w:pPr>
        <w:ind w:left="2257" w:hanging="532"/>
      </w:pPr>
      <w:rPr>
        <w:rFonts w:hint="default"/>
        <w:lang w:val="zh-CN" w:eastAsia="zh-CN" w:bidi="zh-CN"/>
      </w:rPr>
    </w:lvl>
    <w:lvl w:ilvl="3" w:tentative="0">
      <w:start w:val="0"/>
      <w:numFmt w:val="bullet"/>
      <w:lvlText w:val="•"/>
      <w:lvlJc w:val="left"/>
      <w:pPr>
        <w:ind w:left="3275" w:hanging="532"/>
      </w:pPr>
      <w:rPr>
        <w:rFonts w:hint="default"/>
        <w:lang w:val="zh-CN" w:eastAsia="zh-CN" w:bidi="zh-CN"/>
      </w:rPr>
    </w:lvl>
    <w:lvl w:ilvl="4" w:tentative="0">
      <w:start w:val="0"/>
      <w:numFmt w:val="bullet"/>
      <w:lvlText w:val="•"/>
      <w:lvlJc w:val="left"/>
      <w:pPr>
        <w:ind w:left="4294" w:hanging="532"/>
      </w:pPr>
      <w:rPr>
        <w:rFonts w:hint="default"/>
        <w:lang w:val="zh-CN" w:eastAsia="zh-CN" w:bidi="zh-CN"/>
      </w:rPr>
    </w:lvl>
    <w:lvl w:ilvl="5" w:tentative="0">
      <w:start w:val="0"/>
      <w:numFmt w:val="bullet"/>
      <w:lvlText w:val="•"/>
      <w:lvlJc w:val="left"/>
      <w:pPr>
        <w:ind w:left="5313" w:hanging="532"/>
      </w:pPr>
      <w:rPr>
        <w:rFonts w:hint="default"/>
        <w:lang w:val="zh-CN" w:eastAsia="zh-CN" w:bidi="zh-CN"/>
      </w:rPr>
    </w:lvl>
    <w:lvl w:ilvl="6" w:tentative="0">
      <w:start w:val="0"/>
      <w:numFmt w:val="bullet"/>
      <w:lvlText w:val="•"/>
      <w:lvlJc w:val="left"/>
      <w:pPr>
        <w:ind w:left="6331" w:hanging="532"/>
      </w:pPr>
      <w:rPr>
        <w:rFonts w:hint="default"/>
        <w:lang w:val="zh-CN" w:eastAsia="zh-CN" w:bidi="zh-CN"/>
      </w:rPr>
    </w:lvl>
    <w:lvl w:ilvl="7" w:tentative="0">
      <w:start w:val="0"/>
      <w:numFmt w:val="bullet"/>
      <w:lvlText w:val="•"/>
      <w:lvlJc w:val="left"/>
      <w:pPr>
        <w:ind w:left="7350" w:hanging="532"/>
      </w:pPr>
      <w:rPr>
        <w:rFonts w:hint="default"/>
        <w:lang w:val="zh-CN" w:eastAsia="zh-CN" w:bidi="zh-CN"/>
      </w:rPr>
    </w:lvl>
    <w:lvl w:ilvl="8" w:tentative="0">
      <w:start w:val="0"/>
      <w:numFmt w:val="bullet"/>
      <w:lvlText w:val="•"/>
      <w:lvlJc w:val="left"/>
      <w:pPr>
        <w:ind w:left="8369" w:hanging="532"/>
      </w:pPr>
      <w:rPr>
        <w:rFonts w:hint="default"/>
        <w:lang w:val="zh-CN" w:eastAsia="zh-CN" w:bidi="zh-CN"/>
      </w:rPr>
    </w:lvl>
  </w:abstractNum>
  <w:abstractNum w:abstractNumId="102">
    <w:nsid w:val="743F6907"/>
    <w:multiLevelType w:val="multilevel"/>
    <w:tmpl w:val="743F6907"/>
    <w:lvl w:ilvl="0" w:tentative="0">
      <w:start w:val="10"/>
      <w:numFmt w:val="decimal"/>
      <w:lvlText w:val="%1"/>
      <w:lvlJc w:val="left"/>
      <w:pPr>
        <w:ind w:left="630" w:hanging="630"/>
      </w:pPr>
      <w:rPr>
        <w:rFonts w:hint="default"/>
      </w:rPr>
    </w:lvl>
    <w:lvl w:ilvl="1" w:tentative="0">
      <w:start w:val="4"/>
      <w:numFmt w:val="decimal"/>
      <w:lvlText w:val="%1.%2"/>
      <w:lvlJc w:val="left"/>
      <w:pPr>
        <w:ind w:left="731" w:hanging="630"/>
      </w:pPr>
      <w:rPr>
        <w:rFonts w:hint="default"/>
      </w:rPr>
    </w:lvl>
    <w:lvl w:ilvl="2" w:tentative="0">
      <w:start w:val="2"/>
      <w:numFmt w:val="decimal"/>
      <w:lvlText w:val="%1.%2.%3"/>
      <w:lvlJc w:val="left"/>
      <w:pPr>
        <w:ind w:left="922" w:hanging="720"/>
      </w:pPr>
      <w:rPr>
        <w:rFonts w:hint="default"/>
      </w:rPr>
    </w:lvl>
    <w:lvl w:ilvl="3" w:tentative="0">
      <w:start w:val="1"/>
      <w:numFmt w:val="decimal"/>
      <w:lvlText w:val="%1.%2.%3.%4"/>
      <w:lvlJc w:val="left"/>
      <w:pPr>
        <w:ind w:left="1383" w:hanging="1080"/>
      </w:pPr>
      <w:rPr>
        <w:rFonts w:hint="default"/>
      </w:rPr>
    </w:lvl>
    <w:lvl w:ilvl="4" w:tentative="0">
      <w:start w:val="1"/>
      <w:numFmt w:val="decimal"/>
      <w:lvlText w:val="%1.%2.%3.%4.%5"/>
      <w:lvlJc w:val="left"/>
      <w:pPr>
        <w:ind w:left="1484" w:hanging="1080"/>
      </w:pPr>
      <w:rPr>
        <w:rFonts w:hint="default"/>
      </w:rPr>
    </w:lvl>
    <w:lvl w:ilvl="5" w:tentative="0">
      <w:start w:val="1"/>
      <w:numFmt w:val="decimal"/>
      <w:lvlText w:val="%1.%2.%3.%4.%5.%6"/>
      <w:lvlJc w:val="left"/>
      <w:pPr>
        <w:ind w:left="1945" w:hanging="1440"/>
      </w:pPr>
      <w:rPr>
        <w:rFonts w:hint="default"/>
      </w:rPr>
    </w:lvl>
    <w:lvl w:ilvl="6" w:tentative="0">
      <w:start w:val="1"/>
      <w:numFmt w:val="decimal"/>
      <w:lvlText w:val="%1.%2.%3.%4.%5.%6.%7"/>
      <w:lvlJc w:val="left"/>
      <w:pPr>
        <w:ind w:left="2046" w:hanging="1440"/>
      </w:pPr>
      <w:rPr>
        <w:rFonts w:hint="default"/>
      </w:rPr>
    </w:lvl>
    <w:lvl w:ilvl="7" w:tentative="0">
      <w:start w:val="1"/>
      <w:numFmt w:val="decimal"/>
      <w:lvlText w:val="%1.%2.%3.%4.%5.%6.%7.%8"/>
      <w:lvlJc w:val="left"/>
      <w:pPr>
        <w:ind w:left="2507" w:hanging="1800"/>
      </w:pPr>
      <w:rPr>
        <w:rFonts w:hint="default"/>
      </w:rPr>
    </w:lvl>
    <w:lvl w:ilvl="8" w:tentative="0">
      <w:start w:val="1"/>
      <w:numFmt w:val="decimal"/>
      <w:lvlText w:val="%1.%2.%3.%4.%5.%6.%7.%8.%9"/>
      <w:lvlJc w:val="left"/>
      <w:pPr>
        <w:ind w:left="2608" w:hanging="1800"/>
      </w:pPr>
      <w:rPr>
        <w:rFonts w:hint="default"/>
      </w:rPr>
    </w:lvl>
  </w:abstractNum>
  <w:abstractNum w:abstractNumId="103">
    <w:nsid w:val="76D35A7F"/>
    <w:multiLevelType w:val="multilevel"/>
    <w:tmpl w:val="76D35A7F"/>
    <w:lvl w:ilvl="0" w:tentative="0">
      <w:start w:val="22"/>
      <w:numFmt w:val="decimal"/>
      <w:lvlText w:val="%1"/>
      <w:lvlJc w:val="left"/>
      <w:pPr>
        <w:ind w:left="480" w:hanging="480"/>
      </w:pPr>
      <w:rPr>
        <w:rFonts w:hint="default" w:ascii="宋体" w:eastAsia="宋体"/>
      </w:rPr>
    </w:lvl>
    <w:lvl w:ilvl="1" w:tentative="0">
      <w:start w:val="1"/>
      <w:numFmt w:val="decimal"/>
      <w:lvlText w:val="%1.%2"/>
      <w:lvlJc w:val="left"/>
      <w:pPr>
        <w:ind w:left="909" w:hanging="480"/>
      </w:pPr>
      <w:rPr>
        <w:rFonts w:hint="default" w:ascii="宋体" w:eastAsia="宋体"/>
      </w:rPr>
    </w:lvl>
    <w:lvl w:ilvl="2" w:tentative="0">
      <w:start w:val="1"/>
      <w:numFmt w:val="decimal"/>
      <w:lvlText w:val="%1.%2.%3"/>
      <w:lvlJc w:val="left"/>
      <w:pPr>
        <w:ind w:left="1578" w:hanging="720"/>
      </w:pPr>
      <w:rPr>
        <w:rFonts w:hint="default" w:ascii="宋体" w:eastAsia="宋体"/>
      </w:rPr>
    </w:lvl>
    <w:lvl w:ilvl="3" w:tentative="0">
      <w:start w:val="1"/>
      <w:numFmt w:val="decimal"/>
      <w:lvlText w:val="%1.%2.%3.%4"/>
      <w:lvlJc w:val="left"/>
      <w:pPr>
        <w:ind w:left="2007" w:hanging="720"/>
      </w:pPr>
      <w:rPr>
        <w:rFonts w:hint="default" w:ascii="宋体" w:eastAsia="宋体"/>
      </w:rPr>
    </w:lvl>
    <w:lvl w:ilvl="4" w:tentative="0">
      <w:start w:val="1"/>
      <w:numFmt w:val="decimal"/>
      <w:lvlText w:val="%1.%2.%3.%4.%5"/>
      <w:lvlJc w:val="left"/>
      <w:pPr>
        <w:ind w:left="2796" w:hanging="1080"/>
      </w:pPr>
      <w:rPr>
        <w:rFonts w:hint="default" w:ascii="宋体" w:eastAsia="宋体"/>
      </w:rPr>
    </w:lvl>
    <w:lvl w:ilvl="5" w:tentative="0">
      <w:start w:val="1"/>
      <w:numFmt w:val="decimal"/>
      <w:lvlText w:val="%1.%2.%3.%4.%5.%6"/>
      <w:lvlJc w:val="left"/>
      <w:pPr>
        <w:ind w:left="3225" w:hanging="1080"/>
      </w:pPr>
      <w:rPr>
        <w:rFonts w:hint="default" w:ascii="宋体" w:eastAsia="宋体"/>
      </w:rPr>
    </w:lvl>
    <w:lvl w:ilvl="6" w:tentative="0">
      <w:start w:val="1"/>
      <w:numFmt w:val="decimal"/>
      <w:lvlText w:val="%1.%2.%3.%4.%5.%6.%7"/>
      <w:lvlJc w:val="left"/>
      <w:pPr>
        <w:ind w:left="3654" w:hanging="1080"/>
      </w:pPr>
      <w:rPr>
        <w:rFonts w:hint="default" w:ascii="宋体" w:eastAsia="宋体"/>
      </w:rPr>
    </w:lvl>
    <w:lvl w:ilvl="7" w:tentative="0">
      <w:start w:val="1"/>
      <w:numFmt w:val="decimal"/>
      <w:lvlText w:val="%1.%2.%3.%4.%5.%6.%7.%8"/>
      <w:lvlJc w:val="left"/>
      <w:pPr>
        <w:ind w:left="4443" w:hanging="1440"/>
      </w:pPr>
      <w:rPr>
        <w:rFonts w:hint="default" w:ascii="宋体" w:eastAsia="宋体"/>
      </w:rPr>
    </w:lvl>
    <w:lvl w:ilvl="8" w:tentative="0">
      <w:start w:val="1"/>
      <w:numFmt w:val="decimal"/>
      <w:lvlText w:val="%1.%2.%3.%4.%5.%6.%7.%8.%9"/>
      <w:lvlJc w:val="left"/>
      <w:pPr>
        <w:ind w:left="4872" w:hanging="1440"/>
      </w:pPr>
      <w:rPr>
        <w:rFonts w:hint="default" w:ascii="宋体" w:eastAsia="宋体"/>
      </w:rPr>
    </w:lvl>
  </w:abstractNum>
  <w:abstractNum w:abstractNumId="104">
    <w:nsid w:val="77633216"/>
    <w:multiLevelType w:val="multilevel"/>
    <w:tmpl w:val="77633216"/>
    <w:lvl w:ilvl="0" w:tentative="0">
      <w:start w:val="1"/>
      <w:numFmt w:val="decimal"/>
      <w:lvlText w:val="（%1）"/>
      <w:lvlJc w:val="left"/>
      <w:pPr>
        <w:ind w:left="212" w:hanging="529"/>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1238" w:hanging="529"/>
      </w:pPr>
      <w:rPr>
        <w:rFonts w:hint="default"/>
        <w:lang w:val="zh-CN" w:eastAsia="zh-CN" w:bidi="zh-CN"/>
      </w:rPr>
    </w:lvl>
    <w:lvl w:ilvl="2" w:tentative="0">
      <w:start w:val="0"/>
      <w:numFmt w:val="bullet"/>
      <w:lvlText w:val="•"/>
      <w:lvlJc w:val="left"/>
      <w:pPr>
        <w:ind w:left="2257" w:hanging="529"/>
      </w:pPr>
      <w:rPr>
        <w:rFonts w:hint="default"/>
        <w:lang w:val="zh-CN" w:eastAsia="zh-CN" w:bidi="zh-CN"/>
      </w:rPr>
    </w:lvl>
    <w:lvl w:ilvl="3" w:tentative="0">
      <w:start w:val="0"/>
      <w:numFmt w:val="bullet"/>
      <w:lvlText w:val="•"/>
      <w:lvlJc w:val="left"/>
      <w:pPr>
        <w:ind w:left="3275" w:hanging="529"/>
      </w:pPr>
      <w:rPr>
        <w:rFonts w:hint="default"/>
        <w:lang w:val="zh-CN" w:eastAsia="zh-CN" w:bidi="zh-CN"/>
      </w:rPr>
    </w:lvl>
    <w:lvl w:ilvl="4" w:tentative="0">
      <w:start w:val="0"/>
      <w:numFmt w:val="bullet"/>
      <w:lvlText w:val="•"/>
      <w:lvlJc w:val="left"/>
      <w:pPr>
        <w:ind w:left="4294" w:hanging="529"/>
      </w:pPr>
      <w:rPr>
        <w:rFonts w:hint="default"/>
        <w:lang w:val="zh-CN" w:eastAsia="zh-CN" w:bidi="zh-CN"/>
      </w:rPr>
    </w:lvl>
    <w:lvl w:ilvl="5" w:tentative="0">
      <w:start w:val="0"/>
      <w:numFmt w:val="bullet"/>
      <w:lvlText w:val="•"/>
      <w:lvlJc w:val="left"/>
      <w:pPr>
        <w:ind w:left="5313" w:hanging="529"/>
      </w:pPr>
      <w:rPr>
        <w:rFonts w:hint="default"/>
        <w:lang w:val="zh-CN" w:eastAsia="zh-CN" w:bidi="zh-CN"/>
      </w:rPr>
    </w:lvl>
    <w:lvl w:ilvl="6" w:tentative="0">
      <w:start w:val="0"/>
      <w:numFmt w:val="bullet"/>
      <w:lvlText w:val="•"/>
      <w:lvlJc w:val="left"/>
      <w:pPr>
        <w:ind w:left="6331" w:hanging="529"/>
      </w:pPr>
      <w:rPr>
        <w:rFonts w:hint="default"/>
        <w:lang w:val="zh-CN" w:eastAsia="zh-CN" w:bidi="zh-CN"/>
      </w:rPr>
    </w:lvl>
    <w:lvl w:ilvl="7" w:tentative="0">
      <w:start w:val="0"/>
      <w:numFmt w:val="bullet"/>
      <w:lvlText w:val="•"/>
      <w:lvlJc w:val="left"/>
      <w:pPr>
        <w:ind w:left="7350" w:hanging="529"/>
      </w:pPr>
      <w:rPr>
        <w:rFonts w:hint="default"/>
        <w:lang w:val="zh-CN" w:eastAsia="zh-CN" w:bidi="zh-CN"/>
      </w:rPr>
    </w:lvl>
    <w:lvl w:ilvl="8" w:tentative="0">
      <w:start w:val="0"/>
      <w:numFmt w:val="bullet"/>
      <w:lvlText w:val="•"/>
      <w:lvlJc w:val="left"/>
      <w:pPr>
        <w:ind w:left="8369" w:hanging="529"/>
      </w:pPr>
      <w:rPr>
        <w:rFonts w:hint="default"/>
        <w:lang w:val="zh-CN" w:eastAsia="zh-CN" w:bidi="zh-CN"/>
      </w:rPr>
    </w:lvl>
  </w:abstractNum>
  <w:abstractNum w:abstractNumId="105">
    <w:nsid w:val="79AA4FA4"/>
    <w:multiLevelType w:val="multilevel"/>
    <w:tmpl w:val="79AA4FA4"/>
    <w:lvl w:ilvl="0" w:tentative="0">
      <w:start w:val="1"/>
      <w:numFmt w:val="decimal"/>
      <w:lvlText w:val="（%1）"/>
      <w:lvlJc w:val="left"/>
      <w:pPr>
        <w:ind w:left="1056"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994" w:hanging="529"/>
      </w:pPr>
      <w:rPr>
        <w:rFonts w:hint="default"/>
        <w:lang w:val="zh-CN" w:eastAsia="zh-CN" w:bidi="zh-CN"/>
      </w:rPr>
    </w:lvl>
    <w:lvl w:ilvl="2" w:tentative="0">
      <w:start w:val="0"/>
      <w:numFmt w:val="bullet"/>
      <w:lvlText w:val="•"/>
      <w:lvlJc w:val="left"/>
      <w:pPr>
        <w:ind w:left="2929" w:hanging="529"/>
      </w:pPr>
      <w:rPr>
        <w:rFonts w:hint="default"/>
        <w:lang w:val="zh-CN" w:eastAsia="zh-CN" w:bidi="zh-CN"/>
      </w:rPr>
    </w:lvl>
    <w:lvl w:ilvl="3" w:tentative="0">
      <w:start w:val="0"/>
      <w:numFmt w:val="bullet"/>
      <w:lvlText w:val="•"/>
      <w:lvlJc w:val="left"/>
      <w:pPr>
        <w:ind w:left="3863" w:hanging="529"/>
      </w:pPr>
      <w:rPr>
        <w:rFonts w:hint="default"/>
        <w:lang w:val="zh-CN" w:eastAsia="zh-CN" w:bidi="zh-CN"/>
      </w:rPr>
    </w:lvl>
    <w:lvl w:ilvl="4" w:tentative="0">
      <w:start w:val="0"/>
      <w:numFmt w:val="bullet"/>
      <w:lvlText w:val="•"/>
      <w:lvlJc w:val="left"/>
      <w:pPr>
        <w:ind w:left="4798" w:hanging="529"/>
      </w:pPr>
      <w:rPr>
        <w:rFonts w:hint="default"/>
        <w:lang w:val="zh-CN" w:eastAsia="zh-CN" w:bidi="zh-CN"/>
      </w:rPr>
    </w:lvl>
    <w:lvl w:ilvl="5" w:tentative="0">
      <w:start w:val="0"/>
      <w:numFmt w:val="bullet"/>
      <w:lvlText w:val="•"/>
      <w:lvlJc w:val="left"/>
      <w:pPr>
        <w:ind w:left="5733" w:hanging="529"/>
      </w:pPr>
      <w:rPr>
        <w:rFonts w:hint="default"/>
        <w:lang w:val="zh-CN" w:eastAsia="zh-CN" w:bidi="zh-CN"/>
      </w:rPr>
    </w:lvl>
    <w:lvl w:ilvl="6" w:tentative="0">
      <w:start w:val="0"/>
      <w:numFmt w:val="bullet"/>
      <w:lvlText w:val="•"/>
      <w:lvlJc w:val="left"/>
      <w:pPr>
        <w:ind w:left="6667" w:hanging="529"/>
      </w:pPr>
      <w:rPr>
        <w:rFonts w:hint="default"/>
        <w:lang w:val="zh-CN" w:eastAsia="zh-CN" w:bidi="zh-CN"/>
      </w:rPr>
    </w:lvl>
    <w:lvl w:ilvl="7" w:tentative="0">
      <w:start w:val="0"/>
      <w:numFmt w:val="bullet"/>
      <w:lvlText w:val="•"/>
      <w:lvlJc w:val="left"/>
      <w:pPr>
        <w:ind w:left="7602" w:hanging="529"/>
      </w:pPr>
      <w:rPr>
        <w:rFonts w:hint="default"/>
        <w:lang w:val="zh-CN" w:eastAsia="zh-CN" w:bidi="zh-CN"/>
      </w:rPr>
    </w:lvl>
    <w:lvl w:ilvl="8" w:tentative="0">
      <w:start w:val="0"/>
      <w:numFmt w:val="bullet"/>
      <w:lvlText w:val="•"/>
      <w:lvlJc w:val="left"/>
      <w:pPr>
        <w:ind w:left="8537" w:hanging="529"/>
      </w:pPr>
      <w:rPr>
        <w:rFonts w:hint="default"/>
        <w:lang w:val="zh-CN" w:eastAsia="zh-CN" w:bidi="zh-CN"/>
      </w:rPr>
    </w:lvl>
  </w:abstractNum>
  <w:abstractNum w:abstractNumId="106">
    <w:nsid w:val="7CF76EBB"/>
    <w:multiLevelType w:val="multilevel"/>
    <w:tmpl w:val="7CF76EBB"/>
    <w:lvl w:ilvl="0" w:tentative="0">
      <w:start w:val="4"/>
      <w:numFmt w:val="decimal"/>
      <w:lvlText w:val="%1"/>
      <w:lvlJc w:val="left"/>
      <w:pPr>
        <w:ind w:left="360" w:hanging="360"/>
      </w:pPr>
      <w:rPr>
        <w:rFonts w:hint="default" w:ascii="宋体" w:eastAsia="宋体"/>
      </w:rPr>
    </w:lvl>
    <w:lvl w:ilvl="1" w:tentative="0">
      <w:start w:val="2"/>
      <w:numFmt w:val="decimal"/>
      <w:lvlText w:val="%1.%2"/>
      <w:lvlJc w:val="left"/>
      <w:pPr>
        <w:ind w:left="360" w:hanging="360"/>
      </w:pPr>
      <w:rPr>
        <w:rFonts w:hint="default" w:ascii="宋体" w:eastAsia="宋体"/>
      </w:rPr>
    </w:lvl>
    <w:lvl w:ilvl="2" w:tentative="0">
      <w:start w:val="1"/>
      <w:numFmt w:val="decimal"/>
      <w:lvlText w:val="%1.%2.%3"/>
      <w:lvlJc w:val="left"/>
      <w:pPr>
        <w:ind w:left="720" w:hanging="720"/>
      </w:pPr>
      <w:rPr>
        <w:rFonts w:hint="default" w:ascii="宋体" w:eastAsia="宋体"/>
      </w:rPr>
    </w:lvl>
    <w:lvl w:ilvl="3" w:tentative="0">
      <w:start w:val="1"/>
      <w:numFmt w:val="decimal"/>
      <w:lvlText w:val="%1.%2.%3.%4"/>
      <w:lvlJc w:val="left"/>
      <w:pPr>
        <w:ind w:left="1080" w:hanging="1080"/>
      </w:pPr>
      <w:rPr>
        <w:rFonts w:hint="default" w:ascii="宋体" w:eastAsia="宋体"/>
      </w:rPr>
    </w:lvl>
    <w:lvl w:ilvl="4" w:tentative="0">
      <w:start w:val="1"/>
      <w:numFmt w:val="decimal"/>
      <w:lvlText w:val="%1.%2.%3.%4.%5"/>
      <w:lvlJc w:val="left"/>
      <w:pPr>
        <w:ind w:left="1080" w:hanging="1080"/>
      </w:pPr>
      <w:rPr>
        <w:rFonts w:hint="default" w:ascii="宋体" w:eastAsia="宋体"/>
      </w:rPr>
    </w:lvl>
    <w:lvl w:ilvl="5" w:tentative="0">
      <w:start w:val="1"/>
      <w:numFmt w:val="decimal"/>
      <w:lvlText w:val="%1.%2.%3.%4.%5.%6"/>
      <w:lvlJc w:val="left"/>
      <w:pPr>
        <w:ind w:left="1440" w:hanging="1440"/>
      </w:pPr>
      <w:rPr>
        <w:rFonts w:hint="default" w:ascii="宋体" w:eastAsia="宋体"/>
      </w:rPr>
    </w:lvl>
    <w:lvl w:ilvl="6" w:tentative="0">
      <w:start w:val="1"/>
      <w:numFmt w:val="decimal"/>
      <w:lvlText w:val="%1.%2.%3.%4.%5.%6.%7"/>
      <w:lvlJc w:val="left"/>
      <w:pPr>
        <w:ind w:left="1440" w:hanging="1440"/>
      </w:pPr>
      <w:rPr>
        <w:rFonts w:hint="default" w:ascii="宋体" w:eastAsia="宋体"/>
      </w:rPr>
    </w:lvl>
    <w:lvl w:ilvl="7" w:tentative="0">
      <w:start w:val="1"/>
      <w:numFmt w:val="decimal"/>
      <w:lvlText w:val="%1.%2.%3.%4.%5.%6.%7.%8"/>
      <w:lvlJc w:val="left"/>
      <w:pPr>
        <w:ind w:left="1800" w:hanging="1800"/>
      </w:pPr>
      <w:rPr>
        <w:rFonts w:hint="default" w:ascii="宋体" w:eastAsia="宋体"/>
      </w:rPr>
    </w:lvl>
    <w:lvl w:ilvl="8" w:tentative="0">
      <w:start w:val="1"/>
      <w:numFmt w:val="decimal"/>
      <w:lvlText w:val="%1.%2.%3.%4.%5.%6.%7.%8.%9"/>
      <w:lvlJc w:val="left"/>
      <w:pPr>
        <w:ind w:left="1800" w:hanging="1800"/>
      </w:pPr>
      <w:rPr>
        <w:rFonts w:hint="default" w:ascii="宋体" w:eastAsia="宋体"/>
      </w:rPr>
    </w:lvl>
  </w:abstractNum>
  <w:abstractNum w:abstractNumId="107">
    <w:nsid w:val="7E3470D1"/>
    <w:multiLevelType w:val="multilevel"/>
    <w:tmpl w:val="7E3470D1"/>
    <w:lvl w:ilvl="0" w:tentative="0">
      <w:start w:val="3"/>
      <w:numFmt w:val="decimal"/>
      <w:lvlText w:val="%1"/>
      <w:lvlJc w:val="left"/>
      <w:pPr>
        <w:ind w:left="525" w:hanging="525"/>
      </w:pPr>
      <w:rPr>
        <w:rFonts w:hint="default"/>
      </w:rPr>
    </w:lvl>
    <w:lvl w:ilvl="1" w:tentative="0">
      <w:start w:val="4"/>
      <w:numFmt w:val="decimal"/>
      <w:lvlText w:val="%1.%2"/>
      <w:lvlJc w:val="left"/>
      <w:pPr>
        <w:ind w:left="625" w:hanging="525"/>
      </w:pPr>
      <w:rPr>
        <w:rFonts w:hint="default"/>
      </w:rPr>
    </w:lvl>
    <w:lvl w:ilvl="2" w:tentative="0">
      <w:start w:val="4"/>
      <w:numFmt w:val="decimal"/>
      <w:lvlText w:val="%1.%2.%3"/>
      <w:lvlJc w:val="left"/>
      <w:pPr>
        <w:ind w:left="920" w:hanging="720"/>
      </w:pPr>
      <w:rPr>
        <w:rFonts w:hint="default"/>
      </w:rPr>
    </w:lvl>
    <w:lvl w:ilvl="3" w:tentative="0">
      <w:start w:val="1"/>
      <w:numFmt w:val="decimal"/>
      <w:lvlText w:val="%1.%2.%3.%4"/>
      <w:lvlJc w:val="left"/>
      <w:pPr>
        <w:ind w:left="1380" w:hanging="1080"/>
      </w:pPr>
      <w:rPr>
        <w:rFonts w:hint="default"/>
      </w:rPr>
    </w:lvl>
    <w:lvl w:ilvl="4" w:tentative="0">
      <w:start w:val="1"/>
      <w:numFmt w:val="decimal"/>
      <w:lvlText w:val="%1.%2.%3.%4.%5"/>
      <w:lvlJc w:val="left"/>
      <w:pPr>
        <w:ind w:left="1480" w:hanging="1080"/>
      </w:pPr>
      <w:rPr>
        <w:rFonts w:hint="default"/>
      </w:rPr>
    </w:lvl>
    <w:lvl w:ilvl="5" w:tentative="0">
      <w:start w:val="1"/>
      <w:numFmt w:val="decimal"/>
      <w:lvlText w:val="%1.%2.%3.%4.%5.%6"/>
      <w:lvlJc w:val="left"/>
      <w:pPr>
        <w:ind w:left="1940" w:hanging="1440"/>
      </w:pPr>
      <w:rPr>
        <w:rFonts w:hint="default"/>
      </w:rPr>
    </w:lvl>
    <w:lvl w:ilvl="6" w:tentative="0">
      <w:start w:val="1"/>
      <w:numFmt w:val="decimal"/>
      <w:lvlText w:val="%1.%2.%3.%4.%5.%6.%7"/>
      <w:lvlJc w:val="left"/>
      <w:pPr>
        <w:ind w:left="2040" w:hanging="1440"/>
      </w:pPr>
      <w:rPr>
        <w:rFonts w:hint="default"/>
      </w:rPr>
    </w:lvl>
    <w:lvl w:ilvl="7" w:tentative="0">
      <w:start w:val="1"/>
      <w:numFmt w:val="decimal"/>
      <w:lvlText w:val="%1.%2.%3.%4.%5.%6.%7.%8"/>
      <w:lvlJc w:val="left"/>
      <w:pPr>
        <w:ind w:left="2500" w:hanging="1800"/>
      </w:pPr>
      <w:rPr>
        <w:rFonts w:hint="default"/>
      </w:rPr>
    </w:lvl>
    <w:lvl w:ilvl="8" w:tentative="0">
      <w:start w:val="1"/>
      <w:numFmt w:val="decimal"/>
      <w:lvlText w:val="%1.%2.%3.%4.%5.%6.%7.%8.%9"/>
      <w:lvlJc w:val="left"/>
      <w:pPr>
        <w:ind w:left="2600" w:hanging="1800"/>
      </w:pPr>
      <w:rPr>
        <w:rFonts w:hint="default"/>
      </w:rPr>
    </w:lvl>
  </w:abstractNum>
  <w:num w:numId="1">
    <w:abstractNumId w:val="2"/>
  </w:num>
  <w:num w:numId="2">
    <w:abstractNumId w:val="88"/>
  </w:num>
  <w:num w:numId="3">
    <w:abstractNumId w:val="31"/>
  </w:num>
  <w:num w:numId="4">
    <w:abstractNumId w:val="72"/>
  </w:num>
  <w:num w:numId="5">
    <w:abstractNumId w:val="74"/>
  </w:num>
  <w:num w:numId="6">
    <w:abstractNumId w:val="105"/>
  </w:num>
  <w:num w:numId="7">
    <w:abstractNumId w:val="19"/>
  </w:num>
  <w:num w:numId="8">
    <w:abstractNumId w:val="4"/>
  </w:num>
  <w:num w:numId="9">
    <w:abstractNumId w:val="94"/>
  </w:num>
  <w:num w:numId="10">
    <w:abstractNumId w:val="53"/>
  </w:num>
  <w:num w:numId="11">
    <w:abstractNumId w:val="84"/>
  </w:num>
  <w:num w:numId="12">
    <w:abstractNumId w:val="18"/>
  </w:num>
  <w:num w:numId="13">
    <w:abstractNumId w:val="47"/>
  </w:num>
  <w:num w:numId="14">
    <w:abstractNumId w:val="54"/>
  </w:num>
  <w:num w:numId="15">
    <w:abstractNumId w:val="91"/>
  </w:num>
  <w:num w:numId="16">
    <w:abstractNumId w:val="1"/>
  </w:num>
  <w:num w:numId="17">
    <w:abstractNumId w:val="80"/>
  </w:num>
  <w:num w:numId="18">
    <w:abstractNumId w:val="98"/>
  </w:num>
  <w:num w:numId="19">
    <w:abstractNumId w:val="57"/>
  </w:num>
  <w:num w:numId="20">
    <w:abstractNumId w:val="40"/>
  </w:num>
  <w:num w:numId="21">
    <w:abstractNumId w:val="62"/>
  </w:num>
  <w:num w:numId="22">
    <w:abstractNumId w:val="97"/>
  </w:num>
  <w:num w:numId="23">
    <w:abstractNumId w:val="99"/>
  </w:num>
  <w:num w:numId="24">
    <w:abstractNumId w:val="44"/>
  </w:num>
  <w:num w:numId="25">
    <w:abstractNumId w:val="52"/>
  </w:num>
  <w:num w:numId="26">
    <w:abstractNumId w:val="48"/>
  </w:num>
  <w:num w:numId="27">
    <w:abstractNumId w:val="107"/>
  </w:num>
  <w:num w:numId="28">
    <w:abstractNumId w:val="106"/>
  </w:num>
  <w:num w:numId="29">
    <w:abstractNumId w:val="46"/>
  </w:num>
  <w:num w:numId="30">
    <w:abstractNumId w:val="85"/>
  </w:num>
  <w:num w:numId="31">
    <w:abstractNumId w:val="83"/>
  </w:num>
  <w:num w:numId="32">
    <w:abstractNumId w:val="29"/>
  </w:num>
  <w:num w:numId="33">
    <w:abstractNumId w:val="102"/>
  </w:num>
  <w:num w:numId="34">
    <w:abstractNumId w:val="73"/>
  </w:num>
  <w:num w:numId="35">
    <w:abstractNumId w:val="59"/>
  </w:num>
  <w:num w:numId="36">
    <w:abstractNumId w:val="69"/>
  </w:num>
  <w:num w:numId="37">
    <w:abstractNumId w:val="34"/>
  </w:num>
  <w:num w:numId="38">
    <w:abstractNumId w:val="65"/>
  </w:num>
  <w:num w:numId="39">
    <w:abstractNumId w:val="56"/>
  </w:num>
  <w:num w:numId="40">
    <w:abstractNumId w:val="79"/>
  </w:num>
  <w:num w:numId="41">
    <w:abstractNumId w:val="17"/>
  </w:num>
  <w:num w:numId="42">
    <w:abstractNumId w:val="81"/>
  </w:num>
  <w:num w:numId="43">
    <w:abstractNumId w:val="49"/>
  </w:num>
  <w:num w:numId="44">
    <w:abstractNumId w:val="66"/>
  </w:num>
  <w:num w:numId="45">
    <w:abstractNumId w:val="77"/>
  </w:num>
  <w:num w:numId="46">
    <w:abstractNumId w:val="41"/>
  </w:num>
  <w:num w:numId="47">
    <w:abstractNumId w:val="24"/>
  </w:num>
  <w:num w:numId="48">
    <w:abstractNumId w:val="51"/>
  </w:num>
  <w:num w:numId="49">
    <w:abstractNumId w:val="16"/>
  </w:num>
  <w:num w:numId="50">
    <w:abstractNumId w:val="78"/>
  </w:num>
  <w:num w:numId="51">
    <w:abstractNumId w:val="13"/>
  </w:num>
  <w:num w:numId="52">
    <w:abstractNumId w:val="60"/>
  </w:num>
  <w:num w:numId="53">
    <w:abstractNumId w:val="37"/>
  </w:num>
  <w:num w:numId="54">
    <w:abstractNumId w:val="71"/>
  </w:num>
  <w:num w:numId="55">
    <w:abstractNumId w:val="67"/>
  </w:num>
  <w:num w:numId="56">
    <w:abstractNumId w:val="38"/>
  </w:num>
  <w:num w:numId="57">
    <w:abstractNumId w:val="55"/>
  </w:num>
  <w:num w:numId="58">
    <w:abstractNumId w:val="100"/>
  </w:num>
  <w:num w:numId="59">
    <w:abstractNumId w:val="101"/>
  </w:num>
  <w:num w:numId="60">
    <w:abstractNumId w:val="61"/>
  </w:num>
  <w:num w:numId="61">
    <w:abstractNumId w:val="32"/>
  </w:num>
  <w:num w:numId="62">
    <w:abstractNumId w:val="103"/>
  </w:num>
  <w:num w:numId="63">
    <w:abstractNumId w:val="25"/>
  </w:num>
  <w:num w:numId="64">
    <w:abstractNumId w:val="12"/>
  </w:num>
  <w:num w:numId="65">
    <w:abstractNumId w:val="104"/>
  </w:num>
  <w:num w:numId="66">
    <w:abstractNumId w:val="30"/>
  </w:num>
  <w:num w:numId="67">
    <w:abstractNumId w:val="70"/>
  </w:num>
  <w:num w:numId="68">
    <w:abstractNumId w:val="33"/>
  </w:num>
  <w:num w:numId="69">
    <w:abstractNumId w:val="7"/>
  </w:num>
  <w:num w:numId="70">
    <w:abstractNumId w:val="43"/>
  </w:num>
  <w:num w:numId="71">
    <w:abstractNumId w:val="93"/>
  </w:num>
  <w:num w:numId="72">
    <w:abstractNumId w:val="21"/>
  </w:num>
  <w:num w:numId="73">
    <w:abstractNumId w:val="15"/>
  </w:num>
  <w:num w:numId="74">
    <w:abstractNumId w:val="6"/>
  </w:num>
  <w:num w:numId="75">
    <w:abstractNumId w:val="9"/>
  </w:num>
  <w:num w:numId="76">
    <w:abstractNumId w:val="14"/>
  </w:num>
  <w:num w:numId="77">
    <w:abstractNumId w:val="5"/>
  </w:num>
  <w:num w:numId="78">
    <w:abstractNumId w:val="22"/>
  </w:num>
  <w:num w:numId="79">
    <w:abstractNumId w:val="28"/>
  </w:num>
  <w:num w:numId="80">
    <w:abstractNumId w:val="0"/>
  </w:num>
  <w:num w:numId="81">
    <w:abstractNumId w:val="20"/>
  </w:num>
  <w:num w:numId="82">
    <w:abstractNumId w:val="36"/>
  </w:num>
  <w:num w:numId="83">
    <w:abstractNumId w:val="87"/>
  </w:num>
  <w:num w:numId="84">
    <w:abstractNumId w:val="76"/>
  </w:num>
  <w:num w:numId="85">
    <w:abstractNumId w:val="75"/>
  </w:num>
  <w:num w:numId="86">
    <w:abstractNumId w:val="95"/>
  </w:num>
  <w:num w:numId="87">
    <w:abstractNumId w:val="58"/>
  </w:num>
  <w:num w:numId="88">
    <w:abstractNumId w:val="86"/>
  </w:num>
  <w:num w:numId="89">
    <w:abstractNumId w:val="3"/>
  </w:num>
  <w:num w:numId="90">
    <w:abstractNumId w:val="39"/>
  </w:num>
  <w:num w:numId="91">
    <w:abstractNumId w:val="11"/>
  </w:num>
  <w:num w:numId="92">
    <w:abstractNumId w:val="23"/>
  </w:num>
  <w:num w:numId="93">
    <w:abstractNumId w:val="26"/>
  </w:num>
  <w:num w:numId="94">
    <w:abstractNumId w:val="35"/>
  </w:num>
  <w:num w:numId="95">
    <w:abstractNumId w:val="96"/>
  </w:num>
  <w:num w:numId="96">
    <w:abstractNumId w:val="92"/>
  </w:num>
  <w:num w:numId="97">
    <w:abstractNumId w:val="63"/>
  </w:num>
  <w:num w:numId="98">
    <w:abstractNumId w:val="45"/>
  </w:num>
  <w:num w:numId="99">
    <w:abstractNumId w:val="42"/>
  </w:num>
  <w:num w:numId="100">
    <w:abstractNumId w:val="10"/>
  </w:num>
  <w:num w:numId="101">
    <w:abstractNumId w:val="68"/>
  </w:num>
  <w:num w:numId="102">
    <w:abstractNumId w:val="90"/>
  </w:num>
  <w:num w:numId="103">
    <w:abstractNumId w:val="27"/>
  </w:num>
  <w:num w:numId="104">
    <w:abstractNumId w:val="8"/>
  </w:num>
  <w:num w:numId="105">
    <w:abstractNumId w:val="82"/>
  </w:num>
  <w:num w:numId="106">
    <w:abstractNumId w:val="50"/>
  </w:num>
  <w:num w:numId="107">
    <w:abstractNumId w:val="89"/>
  </w:num>
  <w:num w:numId="10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66C61"/>
    <w:rsid w:val="00000268"/>
    <w:rsid w:val="00002CC8"/>
    <w:rsid w:val="00003B37"/>
    <w:rsid w:val="000050AD"/>
    <w:rsid w:val="00005891"/>
    <w:rsid w:val="000067D0"/>
    <w:rsid w:val="000068F1"/>
    <w:rsid w:val="00007B24"/>
    <w:rsid w:val="000169C7"/>
    <w:rsid w:val="00017B33"/>
    <w:rsid w:val="00022099"/>
    <w:rsid w:val="000322A1"/>
    <w:rsid w:val="00041F8A"/>
    <w:rsid w:val="00046C58"/>
    <w:rsid w:val="000513C8"/>
    <w:rsid w:val="00052618"/>
    <w:rsid w:val="00052A0A"/>
    <w:rsid w:val="00054E3B"/>
    <w:rsid w:val="00055B6B"/>
    <w:rsid w:val="00056D8E"/>
    <w:rsid w:val="00066C61"/>
    <w:rsid w:val="00067B00"/>
    <w:rsid w:val="00077E37"/>
    <w:rsid w:val="00084877"/>
    <w:rsid w:val="00085CB5"/>
    <w:rsid w:val="000865FF"/>
    <w:rsid w:val="0008692D"/>
    <w:rsid w:val="000A1EF9"/>
    <w:rsid w:val="000A3090"/>
    <w:rsid w:val="000A52B1"/>
    <w:rsid w:val="000B0F89"/>
    <w:rsid w:val="000B2D44"/>
    <w:rsid w:val="000B350F"/>
    <w:rsid w:val="000B50FB"/>
    <w:rsid w:val="000C02A6"/>
    <w:rsid w:val="000C075F"/>
    <w:rsid w:val="000C0958"/>
    <w:rsid w:val="000C1DF7"/>
    <w:rsid w:val="000C428F"/>
    <w:rsid w:val="000C4BA6"/>
    <w:rsid w:val="000D1652"/>
    <w:rsid w:val="000D2707"/>
    <w:rsid w:val="000D42B0"/>
    <w:rsid w:val="000D517D"/>
    <w:rsid w:val="000D6384"/>
    <w:rsid w:val="000D7206"/>
    <w:rsid w:val="000E0CA9"/>
    <w:rsid w:val="000E0EEF"/>
    <w:rsid w:val="000E1EF3"/>
    <w:rsid w:val="000E414B"/>
    <w:rsid w:val="000E467F"/>
    <w:rsid w:val="000E6C9B"/>
    <w:rsid w:val="000F4C07"/>
    <w:rsid w:val="000F6A39"/>
    <w:rsid w:val="00100EA6"/>
    <w:rsid w:val="00103B99"/>
    <w:rsid w:val="00104226"/>
    <w:rsid w:val="001063F9"/>
    <w:rsid w:val="00107C7C"/>
    <w:rsid w:val="00107FD3"/>
    <w:rsid w:val="00112273"/>
    <w:rsid w:val="00113599"/>
    <w:rsid w:val="0012059C"/>
    <w:rsid w:val="001231D1"/>
    <w:rsid w:val="00126452"/>
    <w:rsid w:val="0012646C"/>
    <w:rsid w:val="00131D0B"/>
    <w:rsid w:val="0013385F"/>
    <w:rsid w:val="001352A8"/>
    <w:rsid w:val="00143706"/>
    <w:rsid w:val="0014380F"/>
    <w:rsid w:val="001449FC"/>
    <w:rsid w:val="001515B1"/>
    <w:rsid w:val="001613E4"/>
    <w:rsid w:val="00161464"/>
    <w:rsid w:val="001635A3"/>
    <w:rsid w:val="0016402D"/>
    <w:rsid w:val="0017584A"/>
    <w:rsid w:val="00176F20"/>
    <w:rsid w:val="0018150A"/>
    <w:rsid w:val="00182B0E"/>
    <w:rsid w:val="00183547"/>
    <w:rsid w:val="00187910"/>
    <w:rsid w:val="00191B4F"/>
    <w:rsid w:val="001953A5"/>
    <w:rsid w:val="001A3DE8"/>
    <w:rsid w:val="001B2285"/>
    <w:rsid w:val="001B74CC"/>
    <w:rsid w:val="001B7E1B"/>
    <w:rsid w:val="001C1547"/>
    <w:rsid w:val="001C4334"/>
    <w:rsid w:val="001D00DA"/>
    <w:rsid w:val="001E1D0F"/>
    <w:rsid w:val="001E4A90"/>
    <w:rsid w:val="001E7BA7"/>
    <w:rsid w:val="001F13E4"/>
    <w:rsid w:val="001F3D5C"/>
    <w:rsid w:val="001F3D9B"/>
    <w:rsid w:val="001F3F25"/>
    <w:rsid w:val="001F4068"/>
    <w:rsid w:val="001F687A"/>
    <w:rsid w:val="002031DB"/>
    <w:rsid w:val="00204F05"/>
    <w:rsid w:val="002064E7"/>
    <w:rsid w:val="00206979"/>
    <w:rsid w:val="002122A0"/>
    <w:rsid w:val="00220537"/>
    <w:rsid w:val="00222EEC"/>
    <w:rsid w:val="002300FB"/>
    <w:rsid w:val="002314A0"/>
    <w:rsid w:val="002338BE"/>
    <w:rsid w:val="00236104"/>
    <w:rsid w:val="002416D9"/>
    <w:rsid w:val="00242534"/>
    <w:rsid w:val="0024318A"/>
    <w:rsid w:val="00246E1B"/>
    <w:rsid w:val="00247BA9"/>
    <w:rsid w:val="00257036"/>
    <w:rsid w:val="00262C80"/>
    <w:rsid w:val="00264204"/>
    <w:rsid w:val="00265206"/>
    <w:rsid w:val="002652BA"/>
    <w:rsid w:val="00267D27"/>
    <w:rsid w:val="00271EFF"/>
    <w:rsid w:val="0027257D"/>
    <w:rsid w:val="00273EC7"/>
    <w:rsid w:val="00274486"/>
    <w:rsid w:val="0027561A"/>
    <w:rsid w:val="00276A57"/>
    <w:rsid w:val="00276CB7"/>
    <w:rsid w:val="00285185"/>
    <w:rsid w:val="00291FB3"/>
    <w:rsid w:val="0029250F"/>
    <w:rsid w:val="00292765"/>
    <w:rsid w:val="0029316A"/>
    <w:rsid w:val="002A0FE3"/>
    <w:rsid w:val="002A47E6"/>
    <w:rsid w:val="002A4C3B"/>
    <w:rsid w:val="002A78B1"/>
    <w:rsid w:val="002B5E0F"/>
    <w:rsid w:val="002C2CE5"/>
    <w:rsid w:val="002C67DF"/>
    <w:rsid w:val="002C685A"/>
    <w:rsid w:val="002D05BD"/>
    <w:rsid w:val="002D444E"/>
    <w:rsid w:val="002E05C0"/>
    <w:rsid w:val="002E45F6"/>
    <w:rsid w:val="002E55B3"/>
    <w:rsid w:val="002F4E88"/>
    <w:rsid w:val="002F67DD"/>
    <w:rsid w:val="002F7767"/>
    <w:rsid w:val="00305BFA"/>
    <w:rsid w:val="00306582"/>
    <w:rsid w:val="00306F90"/>
    <w:rsid w:val="00307583"/>
    <w:rsid w:val="003151A4"/>
    <w:rsid w:val="00325623"/>
    <w:rsid w:val="003267BE"/>
    <w:rsid w:val="00326B94"/>
    <w:rsid w:val="00326FFB"/>
    <w:rsid w:val="003311AE"/>
    <w:rsid w:val="003363F1"/>
    <w:rsid w:val="0034208F"/>
    <w:rsid w:val="00346BCA"/>
    <w:rsid w:val="00350168"/>
    <w:rsid w:val="0035675B"/>
    <w:rsid w:val="003574DE"/>
    <w:rsid w:val="003617BB"/>
    <w:rsid w:val="003718B8"/>
    <w:rsid w:val="00382F2E"/>
    <w:rsid w:val="00383720"/>
    <w:rsid w:val="00383AC0"/>
    <w:rsid w:val="00390EA2"/>
    <w:rsid w:val="00391FA2"/>
    <w:rsid w:val="00394EEA"/>
    <w:rsid w:val="00395960"/>
    <w:rsid w:val="003967BB"/>
    <w:rsid w:val="003A0E91"/>
    <w:rsid w:val="003A4C14"/>
    <w:rsid w:val="003A5DE0"/>
    <w:rsid w:val="003A75D0"/>
    <w:rsid w:val="003C3495"/>
    <w:rsid w:val="003C5E8A"/>
    <w:rsid w:val="003C7EA0"/>
    <w:rsid w:val="003D14B6"/>
    <w:rsid w:val="003D4D48"/>
    <w:rsid w:val="003D68A5"/>
    <w:rsid w:val="003E0963"/>
    <w:rsid w:val="003E1798"/>
    <w:rsid w:val="003E4F36"/>
    <w:rsid w:val="003F177B"/>
    <w:rsid w:val="003F2432"/>
    <w:rsid w:val="003F5001"/>
    <w:rsid w:val="003F5BD5"/>
    <w:rsid w:val="003F6F5A"/>
    <w:rsid w:val="003F74CB"/>
    <w:rsid w:val="003F7AE3"/>
    <w:rsid w:val="004015AE"/>
    <w:rsid w:val="00401BDF"/>
    <w:rsid w:val="004020BF"/>
    <w:rsid w:val="00405B83"/>
    <w:rsid w:val="004124D8"/>
    <w:rsid w:val="004129BA"/>
    <w:rsid w:val="004138BA"/>
    <w:rsid w:val="00414982"/>
    <w:rsid w:val="00415D90"/>
    <w:rsid w:val="004174A9"/>
    <w:rsid w:val="004257D5"/>
    <w:rsid w:val="00427CC8"/>
    <w:rsid w:val="00433087"/>
    <w:rsid w:val="00436846"/>
    <w:rsid w:val="00436D18"/>
    <w:rsid w:val="00447D48"/>
    <w:rsid w:val="00450F86"/>
    <w:rsid w:val="00461AE5"/>
    <w:rsid w:val="0046603E"/>
    <w:rsid w:val="004715FA"/>
    <w:rsid w:val="00472BCF"/>
    <w:rsid w:val="00474E7F"/>
    <w:rsid w:val="00491162"/>
    <w:rsid w:val="00495248"/>
    <w:rsid w:val="004A273D"/>
    <w:rsid w:val="004A6FE1"/>
    <w:rsid w:val="004B17F1"/>
    <w:rsid w:val="004B226E"/>
    <w:rsid w:val="004B267E"/>
    <w:rsid w:val="004B26C2"/>
    <w:rsid w:val="004C3430"/>
    <w:rsid w:val="004C3FED"/>
    <w:rsid w:val="004C4A42"/>
    <w:rsid w:val="004C7443"/>
    <w:rsid w:val="004C7648"/>
    <w:rsid w:val="004C7807"/>
    <w:rsid w:val="004D1AB5"/>
    <w:rsid w:val="004D4573"/>
    <w:rsid w:val="004D6652"/>
    <w:rsid w:val="004E4275"/>
    <w:rsid w:val="004E50D6"/>
    <w:rsid w:val="004E681E"/>
    <w:rsid w:val="004F1927"/>
    <w:rsid w:val="004F32CF"/>
    <w:rsid w:val="004F4101"/>
    <w:rsid w:val="004F60F0"/>
    <w:rsid w:val="004F7D09"/>
    <w:rsid w:val="005038E8"/>
    <w:rsid w:val="00504423"/>
    <w:rsid w:val="00506FA5"/>
    <w:rsid w:val="0051317C"/>
    <w:rsid w:val="005145E4"/>
    <w:rsid w:val="00514991"/>
    <w:rsid w:val="00514A42"/>
    <w:rsid w:val="00515C06"/>
    <w:rsid w:val="005224C9"/>
    <w:rsid w:val="005270D4"/>
    <w:rsid w:val="00534773"/>
    <w:rsid w:val="0053602C"/>
    <w:rsid w:val="005369C7"/>
    <w:rsid w:val="00536E03"/>
    <w:rsid w:val="005415C4"/>
    <w:rsid w:val="005437FE"/>
    <w:rsid w:val="005442FF"/>
    <w:rsid w:val="005443DD"/>
    <w:rsid w:val="00545223"/>
    <w:rsid w:val="00545BDE"/>
    <w:rsid w:val="00561794"/>
    <w:rsid w:val="005622A8"/>
    <w:rsid w:val="005630C5"/>
    <w:rsid w:val="005635CE"/>
    <w:rsid w:val="005647E5"/>
    <w:rsid w:val="005720CB"/>
    <w:rsid w:val="00585A82"/>
    <w:rsid w:val="005865F7"/>
    <w:rsid w:val="0058786D"/>
    <w:rsid w:val="0059140A"/>
    <w:rsid w:val="005925E8"/>
    <w:rsid w:val="005A2D4D"/>
    <w:rsid w:val="005A528E"/>
    <w:rsid w:val="005B060D"/>
    <w:rsid w:val="005B3264"/>
    <w:rsid w:val="005B6EBD"/>
    <w:rsid w:val="005C550D"/>
    <w:rsid w:val="005D4295"/>
    <w:rsid w:val="005D4F84"/>
    <w:rsid w:val="005D6EF6"/>
    <w:rsid w:val="005E11C4"/>
    <w:rsid w:val="005E226F"/>
    <w:rsid w:val="005F3A7D"/>
    <w:rsid w:val="005F6B85"/>
    <w:rsid w:val="005F7B6A"/>
    <w:rsid w:val="00601338"/>
    <w:rsid w:val="00601514"/>
    <w:rsid w:val="00603F45"/>
    <w:rsid w:val="00604B27"/>
    <w:rsid w:val="00612EE0"/>
    <w:rsid w:val="00622EDC"/>
    <w:rsid w:val="00623BCF"/>
    <w:rsid w:val="00623DC2"/>
    <w:rsid w:val="00625CE9"/>
    <w:rsid w:val="0063320E"/>
    <w:rsid w:val="00644A9F"/>
    <w:rsid w:val="00645912"/>
    <w:rsid w:val="00650570"/>
    <w:rsid w:val="006508BA"/>
    <w:rsid w:val="00651E34"/>
    <w:rsid w:val="00653283"/>
    <w:rsid w:val="0065617A"/>
    <w:rsid w:val="006610D3"/>
    <w:rsid w:val="00664FD6"/>
    <w:rsid w:val="0067287B"/>
    <w:rsid w:val="00673BA4"/>
    <w:rsid w:val="0067504E"/>
    <w:rsid w:val="006772DA"/>
    <w:rsid w:val="0068397D"/>
    <w:rsid w:val="0069247E"/>
    <w:rsid w:val="0069259F"/>
    <w:rsid w:val="00693469"/>
    <w:rsid w:val="00694054"/>
    <w:rsid w:val="006A114D"/>
    <w:rsid w:val="006A518F"/>
    <w:rsid w:val="006A7BD1"/>
    <w:rsid w:val="006B06CE"/>
    <w:rsid w:val="006B3984"/>
    <w:rsid w:val="006B4E4C"/>
    <w:rsid w:val="006C3692"/>
    <w:rsid w:val="006C5354"/>
    <w:rsid w:val="006D06D8"/>
    <w:rsid w:val="006D26DF"/>
    <w:rsid w:val="006D5093"/>
    <w:rsid w:val="006D5751"/>
    <w:rsid w:val="006E217A"/>
    <w:rsid w:val="006E30B4"/>
    <w:rsid w:val="006E46CE"/>
    <w:rsid w:val="006F0A91"/>
    <w:rsid w:val="006F7292"/>
    <w:rsid w:val="0070019E"/>
    <w:rsid w:val="007021C3"/>
    <w:rsid w:val="00721878"/>
    <w:rsid w:val="00722D8A"/>
    <w:rsid w:val="00723C2B"/>
    <w:rsid w:val="00724007"/>
    <w:rsid w:val="00733568"/>
    <w:rsid w:val="007340DB"/>
    <w:rsid w:val="00734F71"/>
    <w:rsid w:val="00735F40"/>
    <w:rsid w:val="00741479"/>
    <w:rsid w:val="00742267"/>
    <w:rsid w:val="00744B3A"/>
    <w:rsid w:val="00746358"/>
    <w:rsid w:val="00751521"/>
    <w:rsid w:val="007545C2"/>
    <w:rsid w:val="00755023"/>
    <w:rsid w:val="00761E02"/>
    <w:rsid w:val="00764000"/>
    <w:rsid w:val="00772CC0"/>
    <w:rsid w:val="007733C6"/>
    <w:rsid w:val="00776016"/>
    <w:rsid w:val="007760AC"/>
    <w:rsid w:val="00776E36"/>
    <w:rsid w:val="007848FA"/>
    <w:rsid w:val="00785649"/>
    <w:rsid w:val="00785F04"/>
    <w:rsid w:val="0078654B"/>
    <w:rsid w:val="00790F52"/>
    <w:rsid w:val="0079121C"/>
    <w:rsid w:val="00792D09"/>
    <w:rsid w:val="007A318C"/>
    <w:rsid w:val="007B330E"/>
    <w:rsid w:val="007B46E9"/>
    <w:rsid w:val="007B7B14"/>
    <w:rsid w:val="007C0CB9"/>
    <w:rsid w:val="007D0318"/>
    <w:rsid w:val="007D214F"/>
    <w:rsid w:val="007D2181"/>
    <w:rsid w:val="007D422E"/>
    <w:rsid w:val="007D5422"/>
    <w:rsid w:val="007F06DF"/>
    <w:rsid w:val="007F0B94"/>
    <w:rsid w:val="007F4B33"/>
    <w:rsid w:val="007F6FFA"/>
    <w:rsid w:val="00820201"/>
    <w:rsid w:val="00823F3F"/>
    <w:rsid w:val="008251D4"/>
    <w:rsid w:val="00827C38"/>
    <w:rsid w:val="00833D29"/>
    <w:rsid w:val="008346F9"/>
    <w:rsid w:val="00836EFB"/>
    <w:rsid w:val="00843CB8"/>
    <w:rsid w:val="00852131"/>
    <w:rsid w:val="0085348B"/>
    <w:rsid w:val="008568EB"/>
    <w:rsid w:val="00856936"/>
    <w:rsid w:val="008676D8"/>
    <w:rsid w:val="0087383E"/>
    <w:rsid w:val="00875A62"/>
    <w:rsid w:val="0088054B"/>
    <w:rsid w:val="0088308B"/>
    <w:rsid w:val="008844C2"/>
    <w:rsid w:val="00892399"/>
    <w:rsid w:val="008924A8"/>
    <w:rsid w:val="00892DAB"/>
    <w:rsid w:val="00893B8D"/>
    <w:rsid w:val="0089521D"/>
    <w:rsid w:val="008B6706"/>
    <w:rsid w:val="008B78EB"/>
    <w:rsid w:val="008C31D5"/>
    <w:rsid w:val="008C3978"/>
    <w:rsid w:val="008C6D9D"/>
    <w:rsid w:val="008C7929"/>
    <w:rsid w:val="008D4710"/>
    <w:rsid w:val="008E2AB9"/>
    <w:rsid w:val="008E4B33"/>
    <w:rsid w:val="008E5E63"/>
    <w:rsid w:val="008F3456"/>
    <w:rsid w:val="00903F24"/>
    <w:rsid w:val="00907867"/>
    <w:rsid w:val="00912A16"/>
    <w:rsid w:val="00912DE5"/>
    <w:rsid w:val="009144F2"/>
    <w:rsid w:val="00921E12"/>
    <w:rsid w:val="0092202C"/>
    <w:rsid w:val="00925244"/>
    <w:rsid w:val="009310A3"/>
    <w:rsid w:val="009332E5"/>
    <w:rsid w:val="00933667"/>
    <w:rsid w:val="0094107B"/>
    <w:rsid w:val="00943775"/>
    <w:rsid w:val="009443AC"/>
    <w:rsid w:val="0095232D"/>
    <w:rsid w:val="0095360D"/>
    <w:rsid w:val="00954481"/>
    <w:rsid w:val="00956EAD"/>
    <w:rsid w:val="00957179"/>
    <w:rsid w:val="00962566"/>
    <w:rsid w:val="0096511D"/>
    <w:rsid w:val="00971E49"/>
    <w:rsid w:val="00976AD4"/>
    <w:rsid w:val="00982038"/>
    <w:rsid w:val="00986E8B"/>
    <w:rsid w:val="0099007B"/>
    <w:rsid w:val="00995032"/>
    <w:rsid w:val="009965DF"/>
    <w:rsid w:val="00996714"/>
    <w:rsid w:val="009A3360"/>
    <w:rsid w:val="009A6DEA"/>
    <w:rsid w:val="009B247F"/>
    <w:rsid w:val="009C0295"/>
    <w:rsid w:val="009C079B"/>
    <w:rsid w:val="009C3B0C"/>
    <w:rsid w:val="009C4F76"/>
    <w:rsid w:val="009C6839"/>
    <w:rsid w:val="009C79CC"/>
    <w:rsid w:val="009C7FDA"/>
    <w:rsid w:val="009D20E4"/>
    <w:rsid w:val="009D2141"/>
    <w:rsid w:val="009D2276"/>
    <w:rsid w:val="009D40D3"/>
    <w:rsid w:val="009D4884"/>
    <w:rsid w:val="009D7B32"/>
    <w:rsid w:val="009E2D5A"/>
    <w:rsid w:val="009E5C65"/>
    <w:rsid w:val="00A01A99"/>
    <w:rsid w:val="00A04CB0"/>
    <w:rsid w:val="00A12C16"/>
    <w:rsid w:val="00A26E7E"/>
    <w:rsid w:val="00A55DF3"/>
    <w:rsid w:val="00A5622F"/>
    <w:rsid w:val="00A5757C"/>
    <w:rsid w:val="00A60725"/>
    <w:rsid w:val="00A63A65"/>
    <w:rsid w:val="00A663B2"/>
    <w:rsid w:val="00A67CDA"/>
    <w:rsid w:val="00A72628"/>
    <w:rsid w:val="00A74899"/>
    <w:rsid w:val="00A86DBD"/>
    <w:rsid w:val="00A86E81"/>
    <w:rsid w:val="00A91989"/>
    <w:rsid w:val="00A9530F"/>
    <w:rsid w:val="00AA1286"/>
    <w:rsid w:val="00AA4063"/>
    <w:rsid w:val="00AA562C"/>
    <w:rsid w:val="00AA71B3"/>
    <w:rsid w:val="00AC011A"/>
    <w:rsid w:val="00AC08C0"/>
    <w:rsid w:val="00AC423E"/>
    <w:rsid w:val="00AC58AE"/>
    <w:rsid w:val="00AD68CD"/>
    <w:rsid w:val="00AD7B84"/>
    <w:rsid w:val="00AE0A25"/>
    <w:rsid w:val="00AE157C"/>
    <w:rsid w:val="00AE1B2B"/>
    <w:rsid w:val="00AF00C1"/>
    <w:rsid w:val="00AF0DC2"/>
    <w:rsid w:val="00AF2008"/>
    <w:rsid w:val="00B044DF"/>
    <w:rsid w:val="00B07280"/>
    <w:rsid w:val="00B07446"/>
    <w:rsid w:val="00B10D10"/>
    <w:rsid w:val="00B14409"/>
    <w:rsid w:val="00B14E0E"/>
    <w:rsid w:val="00B15BFA"/>
    <w:rsid w:val="00B16D37"/>
    <w:rsid w:val="00B2037D"/>
    <w:rsid w:val="00B2040C"/>
    <w:rsid w:val="00B22C87"/>
    <w:rsid w:val="00B22EA6"/>
    <w:rsid w:val="00B2448B"/>
    <w:rsid w:val="00B2490A"/>
    <w:rsid w:val="00B259CC"/>
    <w:rsid w:val="00B306E0"/>
    <w:rsid w:val="00B308A5"/>
    <w:rsid w:val="00B43090"/>
    <w:rsid w:val="00B439D2"/>
    <w:rsid w:val="00B43D2F"/>
    <w:rsid w:val="00B4716F"/>
    <w:rsid w:val="00B54D78"/>
    <w:rsid w:val="00B65FF7"/>
    <w:rsid w:val="00B71380"/>
    <w:rsid w:val="00B7412A"/>
    <w:rsid w:val="00B75B12"/>
    <w:rsid w:val="00B77116"/>
    <w:rsid w:val="00B774BE"/>
    <w:rsid w:val="00B82274"/>
    <w:rsid w:val="00B82B80"/>
    <w:rsid w:val="00B8381B"/>
    <w:rsid w:val="00B83C77"/>
    <w:rsid w:val="00B958DB"/>
    <w:rsid w:val="00BA185D"/>
    <w:rsid w:val="00BA192B"/>
    <w:rsid w:val="00BA4E54"/>
    <w:rsid w:val="00BB1A49"/>
    <w:rsid w:val="00BB1E40"/>
    <w:rsid w:val="00BB2D70"/>
    <w:rsid w:val="00BB3334"/>
    <w:rsid w:val="00BB6D23"/>
    <w:rsid w:val="00BC011D"/>
    <w:rsid w:val="00BC7138"/>
    <w:rsid w:val="00BC7C38"/>
    <w:rsid w:val="00BD0AD2"/>
    <w:rsid w:val="00BD2FF7"/>
    <w:rsid w:val="00BD5B79"/>
    <w:rsid w:val="00BD60D7"/>
    <w:rsid w:val="00BE6D5B"/>
    <w:rsid w:val="00BF26D0"/>
    <w:rsid w:val="00C118CB"/>
    <w:rsid w:val="00C12C4D"/>
    <w:rsid w:val="00C15929"/>
    <w:rsid w:val="00C176B6"/>
    <w:rsid w:val="00C17706"/>
    <w:rsid w:val="00C17741"/>
    <w:rsid w:val="00C202B4"/>
    <w:rsid w:val="00C21250"/>
    <w:rsid w:val="00C25BE8"/>
    <w:rsid w:val="00C32E2A"/>
    <w:rsid w:val="00C433F3"/>
    <w:rsid w:val="00C50ABF"/>
    <w:rsid w:val="00C51740"/>
    <w:rsid w:val="00C530A4"/>
    <w:rsid w:val="00C53E7B"/>
    <w:rsid w:val="00C5404C"/>
    <w:rsid w:val="00C5470F"/>
    <w:rsid w:val="00C5529B"/>
    <w:rsid w:val="00C57385"/>
    <w:rsid w:val="00C573BA"/>
    <w:rsid w:val="00C57689"/>
    <w:rsid w:val="00C6252B"/>
    <w:rsid w:val="00C62783"/>
    <w:rsid w:val="00C70ED5"/>
    <w:rsid w:val="00C720CC"/>
    <w:rsid w:val="00C7789F"/>
    <w:rsid w:val="00C80FB3"/>
    <w:rsid w:val="00C82B58"/>
    <w:rsid w:val="00C91F53"/>
    <w:rsid w:val="00C95F6A"/>
    <w:rsid w:val="00C978A7"/>
    <w:rsid w:val="00CA2620"/>
    <w:rsid w:val="00CA4108"/>
    <w:rsid w:val="00CB0B3A"/>
    <w:rsid w:val="00CB0D2E"/>
    <w:rsid w:val="00CB2E51"/>
    <w:rsid w:val="00CB5DFB"/>
    <w:rsid w:val="00CC14AA"/>
    <w:rsid w:val="00CC29D4"/>
    <w:rsid w:val="00CD35D1"/>
    <w:rsid w:val="00CD64D3"/>
    <w:rsid w:val="00CE53C6"/>
    <w:rsid w:val="00CF7A00"/>
    <w:rsid w:val="00D0069F"/>
    <w:rsid w:val="00D01EE6"/>
    <w:rsid w:val="00D041E5"/>
    <w:rsid w:val="00D0614E"/>
    <w:rsid w:val="00D109B4"/>
    <w:rsid w:val="00D11847"/>
    <w:rsid w:val="00D15254"/>
    <w:rsid w:val="00D15A95"/>
    <w:rsid w:val="00D17CEE"/>
    <w:rsid w:val="00D23B8F"/>
    <w:rsid w:val="00D322F5"/>
    <w:rsid w:val="00D32313"/>
    <w:rsid w:val="00D34CEF"/>
    <w:rsid w:val="00D357EE"/>
    <w:rsid w:val="00D36391"/>
    <w:rsid w:val="00D43C03"/>
    <w:rsid w:val="00D45317"/>
    <w:rsid w:val="00D4609F"/>
    <w:rsid w:val="00D5126A"/>
    <w:rsid w:val="00D5174B"/>
    <w:rsid w:val="00D5345A"/>
    <w:rsid w:val="00D6092A"/>
    <w:rsid w:val="00D60CA4"/>
    <w:rsid w:val="00D625DA"/>
    <w:rsid w:val="00D67EDA"/>
    <w:rsid w:val="00D70E1D"/>
    <w:rsid w:val="00D7194B"/>
    <w:rsid w:val="00D729C1"/>
    <w:rsid w:val="00D7686B"/>
    <w:rsid w:val="00D91D1F"/>
    <w:rsid w:val="00D922BD"/>
    <w:rsid w:val="00D92AEF"/>
    <w:rsid w:val="00D92D79"/>
    <w:rsid w:val="00D966E9"/>
    <w:rsid w:val="00D96CFA"/>
    <w:rsid w:val="00DA1B5A"/>
    <w:rsid w:val="00DA238E"/>
    <w:rsid w:val="00DA30D9"/>
    <w:rsid w:val="00DA4445"/>
    <w:rsid w:val="00DA5768"/>
    <w:rsid w:val="00DA57B6"/>
    <w:rsid w:val="00DB21E4"/>
    <w:rsid w:val="00DB3832"/>
    <w:rsid w:val="00DB3A90"/>
    <w:rsid w:val="00DB7B2B"/>
    <w:rsid w:val="00DC03BF"/>
    <w:rsid w:val="00DC2051"/>
    <w:rsid w:val="00DC66D7"/>
    <w:rsid w:val="00DD1F1F"/>
    <w:rsid w:val="00DD3101"/>
    <w:rsid w:val="00DD3824"/>
    <w:rsid w:val="00DD6E85"/>
    <w:rsid w:val="00DE043B"/>
    <w:rsid w:val="00DE2496"/>
    <w:rsid w:val="00DE4724"/>
    <w:rsid w:val="00DF1816"/>
    <w:rsid w:val="00DF414C"/>
    <w:rsid w:val="00DF6889"/>
    <w:rsid w:val="00DF6BA9"/>
    <w:rsid w:val="00E03ABC"/>
    <w:rsid w:val="00E077C4"/>
    <w:rsid w:val="00E111DF"/>
    <w:rsid w:val="00E13A92"/>
    <w:rsid w:val="00E2004F"/>
    <w:rsid w:val="00E222A0"/>
    <w:rsid w:val="00E22961"/>
    <w:rsid w:val="00E231DC"/>
    <w:rsid w:val="00E2449E"/>
    <w:rsid w:val="00E245A0"/>
    <w:rsid w:val="00E247B2"/>
    <w:rsid w:val="00E32D7B"/>
    <w:rsid w:val="00E342B1"/>
    <w:rsid w:val="00E376E8"/>
    <w:rsid w:val="00E4111E"/>
    <w:rsid w:val="00E42C97"/>
    <w:rsid w:val="00E44DAD"/>
    <w:rsid w:val="00E45269"/>
    <w:rsid w:val="00E46147"/>
    <w:rsid w:val="00E46E92"/>
    <w:rsid w:val="00E4706F"/>
    <w:rsid w:val="00E47988"/>
    <w:rsid w:val="00E51AD1"/>
    <w:rsid w:val="00E52645"/>
    <w:rsid w:val="00E5369C"/>
    <w:rsid w:val="00E54E86"/>
    <w:rsid w:val="00E55868"/>
    <w:rsid w:val="00E5655E"/>
    <w:rsid w:val="00E578F7"/>
    <w:rsid w:val="00E61630"/>
    <w:rsid w:val="00E62B53"/>
    <w:rsid w:val="00E637B0"/>
    <w:rsid w:val="00E727CF"/>
    <w:rsid w:val="00E7687D"/>
    <w:rsid w:val="00E814D5"/>
    <w:rsid w:val="00E83F27"/>
    <w:rsid w:val="00E841F4"/>
    <w:rsid w:val="00E8526E"/>
    <w:rsid w:val="00E85BF8"/>
    <w:rsid w:val="00E875DD"/>
    <w:rsid w:val="00E90B57"/>
    <w:rsid w:val="00E93575"/>
    <w:rsid w:val="00E95119"/>
    <w:rsid w:val="00EA065E"/>
    <w:rsid w:val="00EA6A00"/>
    <w:rsid w:val="00EB4E6A"/>
    <w:rsid w:val="00EB56D3"/>
    <w:rsid w:val="00EB5D4A"/>
    <w:rsid w:val="00EB67C8"/>
    <w:rsid w:val="00EC333E"/>
    <w:rsid w:val="00EC516F"/>
    <w:rsid w:val="00EC6FC1"/>
    <w:rsid w:val="00ED5530"/>
    <w:rsid w:val="00ED58F3"/>
    <w:rsid w:val="00ED6D1B"/>
    <w:rsid w:val="00EE5DA9"/>
    <w:rsid w:val="00EE5DDB"/>
    <w:rsid w:val="00EF1AEC"/>
    <w:rsid w:val="00EF4E71"/>
    <w:rsid w:val="00EF6BF7"/>
    <w:rsid w:val="00EF71C8"/>
    <w:rsid w:val="00EF7C49"/>
    <w:rsid w:val="00F018E4"/>
    <w:rsid w:val="00F1094F"/>
    <w:rsid w:val="00F11EC8"/>
    <w:rsid w:val="00F13794"/>
    <w:rsid w:val="00F16B9E"/>
    <w:rsid w:val="00F258E8"/>
    <w:rsid w:val="00F25B02"/>
    <w:rsid w:val="00F27860"/>
    <w:rsid w:val="00F317DB"/>
    <w:rsid w:val="00F333E6"/>
    <w:rsid w:val="00F349F2"/>
    <w:rsid w:val="00F354AE"/>
    <w:rsid w:val="00F37C4C"/>
    <w:rsid w:val="00F4120B"/>
    <w:rsid w:val="00F43129"/>
    <w:rsid w:val="00F4317D"/>
    <w:rsid w:val="00F4323D"/>
    <w:rsid w:val="00F43E0B"/>
    <w:rsid w:val="00F467B8"/>
    <w:rsid w:val="00F46804"/>
    <w:rsid w:val="00F468CB"/>
    <w:rsid w:val="00F46952"/>
    <w:rsid w:val="00F469FE"/>
    <w:rsid w:val="00F47FF5"/>
    <w:rsid w:val="00F51BFC"/>
    <w:rsid w:val="00F60D30"/>
    <w:rsid w:val="00F6432F"/>
    <w:rsid w:val="00F67AD6"/>
    <w:rsid w:val="00F70023"/>
    <w:rsid w:val="00F77F71"/>
    <w:rsid w:val="00F807FF"/>
    <w:rsid w:val="00F80E72"/>
    <w:rsid w:val="00F94858"/>
    <w:rsid w:val="00F96918"/>
    <w:rsid w:val="00F974E9"/>
    <w:rsid w:val="00FA61F5"/>
    <w:rsid w:val="00FB00D4"/>
    <w:rsid w:val="00FB6599"/>
    <w:rsid w:val="00FC2AC0"/>
    <w:rsid w:val="00FC2C3E"/>
    <w:rsid w:val="00FC3A9B"/>
    <w:rsid w:val="00FC47AB"/>
    <w:rsid w:val="00FC7835"/>
    <w:rsid w:val="00FD1DA3"/>
    <w:rsid w:val="00FD1FED"/>
    <w:rsid w:val="00FD2500"/>
    <w:rsid w:val="00FD2855"/>
    <w:rsid w:val="00FD6CF6"/>
    <w:rsid w:val="00FD71CF"/>
    <w:rsid w:val="00FD756A"/>
    <w:rsid w:val="00FE07E5"/>
    <w:rsid w:val="00FE1850"/>
    <w:rsid w:val="00FE3E41"/>
    <w:rsid w:val="00FF1FF4"/>
    <w:rsid w:val="00FF4A2C"/>
    <w:rsid w:val="00FF5A2C"/>
    <w:rsid w:val="00FF6799"/>
    <w:rsid w:val="3F9E75DD"/>
    <w:rsid w:val="56D27C5E"/>
    <w:rsid w:val="5E092FB7"/>
    <w:rsid w:val="63160135"/>
    <w:rsid w:val="7961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8"/>
      <w:ind w:right="338"/>
      <w:jc w:val="center"/>
      <w:outlineLvl w:val="0"/>
    </w:pPr>
    <w:rPr>
      <w:b/>
      <w:bCs/>
      <w:sz w:val="44"/>
      <w:szCs w:val="44"/>
    </w:rPr>
  </w:style>
  <w:style w:type="paragraph" w:styleId="3">
    <w:name w:val="heading 2"/>
    <w:basedOn w:val="1"/>
    <w:next w:val="1"/>
    <w:qFormat/>
    <w:uiPriority w:val="1"/>
    <w:pPr>
      <w:ind w:left="640" w:hanging="429"/>
      <w:outlineLvl w:val="1"/>
    </w:pPr>
    <w:rPr>
      <w:rFonts w:ascii="黑体" w:hAnsi="黑体" w:eastAsia="黑体" w:cs="黑体"/>
      <w:b/>
      <w:bCs/>
      <w:sz w:val="32"/>
      <w:szCs w:val="32"/>
    </w:rPr>
  </w:style>
  <w:style w:type="paragraph" w:styleId="4">
    <w:name w:val="heading 3"/>
    <w:basedOn w:val="1"/>
    <w:next w:val="1"/>
    <w:qFormat/>
    <w:uiPriority w:val="1"/>
    <w:pPr>
      <w:spacing w:before="74"/>
      <w:ind w:left="587" w:hanging="376"/>
      <w:outlineLvl w:val="2"/>
    </w:pPr>
    <w:rPr>
      <w:rFonts w:ascii="黑体" w:hAnsi="黑体" w:eastAsia="黑体" w:cs="黑体"/>
      <w:b/>
      <w:bCs/>
      <w:sz w:val="28"/>
      <w:szCs w:val="28"/>
    </w:rPr>
  </w:style>
  <w:style w:type="paragraph" w:styleId="5">
    <w:name w:val="heading 4"/>
    <w:basedOn w:val="1"/>
    <w:next w:val="1"/>
    <w:qFormat/>
    <w:uiPriority w:val="1"/>
    <w:pPr>
      <w:ind w:left="839" w:hanging="491"/>
      <w:outlineLvl w:val="3"/>
    </w:pPr>
    <w:rPr>
      <w:rFonts w:ascii="黑体" w:hAnsi="黑体" w:eastAsia="黑体" w:cs="黑体"/>
      <w:sz w:val="28"/>
      <w:szCs w:val="28"/>
    </w:rPr>
  </w:style>
  <w:style w:type="paragraph" w:styleId="6">
    <w:name w:val="heading 5"/>
    <w:basedOn w:val="1"/>
    <w:next w:val="1"/>
    <w:qFormat/>
    <w:uiPriority w:val="1"/>
    <w:pPr>
      <w:ind w:left="212"/>
      <w:outlineLvl w:val="4"/>
    </w:pPr>
    <w:rPr>
      <w:b/>
      <w:bCs/>
      <w:sz w:val="21"/>
      <w:szCs w:val="21"/>
    </w:rPr>
  </w:style>
  <w:style w:type="paragraph" w:styleId="7">
    <w:name w:val="heading 6"/>
    <w:basedOn w:val="1"/>
    <w:next w:val="1"/>
    <w:link w:val="26"/>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9"/>
    <w:basedOn w:val="1"/>
    <w:next w:val="1"/>
    <w:link w:val="27"/>
    <w:semiHidden/>
    <w:unhideWhenUsed/>
    <w:qFormat/>
    <w:uiPriority w:val="0"/>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21">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9">
    <w:name w:val="Normal Indent"/>
    <w:basedOn w:val="1"/>
    <w:link w:val="28"/>
    <w:qFormat/>
    <w:uiPriority w:val="0"/>
    <w:pPr>
      <w:widowControl/>
      <w:autoSpaceDE/>
      <w:autoSpaceDN/>
      <w:ind w:firstLine="420"/>
    </w:pPr>
    <w:rPr>
      <w:rFonts w:ascii="@smartSimSun" w:hAnsi="@smartSimSun" w:eastAsia="@smartSimSun" w:cs="Times New Roman"/>
      <w:sz w:val="20"/>
      <w:szCs w:val="20"/>
      <w:lang w:bidi="ar-SA"/>
    </w:rPr>
  </w:style>
  <w:style w:type="paragraph" w:styleId="10">
    <w:name w:val="Body Text"/>
    <w:basedOn w:val="1"/>
    <w:link w:val="29"/>
    <w:qFormat/>
    <w:uiPriority w:val="1"/>
    <w:rPr>
      <w:sz w:val="21"/>
      <w:szCs w:val="21"/>
    </w:rPr>
  </w:style>
  <w:style w:type="paragraph" w:styleId="11">
    <w:name w:val="toc 5"/>
    <w:basedOn w:val="1"/>
    <w:next w:val="1"/>
    <w:qFormat/>
    <w:uiPriority w:val="39"/>
    <w:pPr>
      <w:spacing w:before="56"/>
      <w:ind w:left="986" w:hanging="354"/>
    </w:pPr>
    <w:rPr>
      <w:sz w:val="20"/>
      <w:szCs w:val="20"/>
    </w:rPr>
  </w:style>
  <w:style w:type="paragraph" w:styleId="12">
    <w:name w:val="toc 3"/>
    <w:basedOn w:val="1"/>
    <w:next w:val="1"/>
    <w:qFormat/>
    <w:uiPriority w:val="39"/>
    <w:pPr>
      <w:spacing w:before="176"/>
      <w:ind w:left="212"/>
    </w:pPr>
    <w:rPr>
      <w:b/>
      <w:bCs/>
      <w:sz w:val="20"/>
      <w:szCs w:val="20"/>
    </w:rPr>
  </w:style>
  <w:style w:type="paragraph" w:styleId="13">
    <w:name w:val="Plain Text"/>
    <w:basedOn w:val="1"/>
    <w:link w:val="30"/>
    <w:unhideWhenUsed/>
    <w:qFormat/>
    <w:uiPriority w:val="0"/>
    <w:pPr>
      <w:autoSpaceDE/>
      <w:autoSpaceDN/>
      <w:jc w:val="both"/>
    </w:pPr>
    <w:rPr>
      <w:rFonts w:ascii="Tahoma" w:eastAsia="@smartSimSun" w:cs="@smartSimSun"/>
      <w:kern w:val="2"/>
      <w:sz w:val="21"/>
      <w:szCs w:val="20"/>
      <w:lang w:val="en-US" w:bidi="ar-SA"/>
    </w:rPr>
  </w:style>
  <w:style w:type="paragraph" w:styleId="14">
    <w:name w:val="Date"/>
    <w:basedOn w:val="1"/>
    <w:next w:val="1"/>
    <w:link w:val="48"/>
    <w:semiHidden/>
    <w:unhideWhenUsed/>
    <w:uiPriority w:val="0"/>
    <w:pPr>
      <w:ind w:left="100" w:leftChars="2500"/>
    </w:pPr>
  </w:style>
  <w:style w:type="paragraph" w:styleId="15">
    <w:name w:val="Balloon Text"/>
    <w:basedOn w:val="1"/>
    <w:link w:val="31"/>
    <w:qFormat/>
    <w:uiPriority w:val="0"/>
    <w:rPr>
      <w:sz w:val="18"/>
      <w:szCs w:val="18"/>
    </w:rPr>
  </w:style>
  <w:style w:type="paragraph" w:styleId="16">
    <w:name w:val="footer"/>
    <w:basedOn w:val="1"/>
    <w:link w:val="32"/>
    <w:qFormat/>
    <w:uiPriority w:val="99"/>
    <w:pPr>
      <w:tabs>
        <w:tab w:val="center" w:pos="4153"/>
        <w:tab w:val="right" w:pos="8306"/>
      </w:tabs>
      <w:snapToGrid w:val="0"/>
    </w:pPr>
    <w:rPr>
      <w:sz w:val="18"/>
      <w:szCs w:val="18"/>
    </w:rPr>
  </w:style>
  <w:style w:type="paragraph" w:styleId="17">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76"/>
      <w:ind w:right="558"/>
      <w:jc w:val="right"/>
    </w:pPr>
    <w:rPr>
      <w:b/>
      <w:bCs/>
      <w:sz w:val="20"/>
      <w:szCs w:val="20"/>
    </w:rPr>
  </w:style>
  <w:style w:type="paragraph" w:styleId="19">
    <w:name w:val="toc 4"/>
    <w:basedOn w:val="1"/>
    <w:next w:val="1"/>
    <w:qFormat/>
    <w:uiPriority w:val="39"/>
    <w:pPr>
      <w:spacing w:before="56"/>
      <w:ind w:left="657" w:hanging="234"/>
    </w:pPr>
    <w:rPr>
      <w:sz w:val="20"/>
      <w:szCs w:val="20"/>
    </w:rPr>
  </w:style>
  <w:style w:type="paragraph" w:styleId="20">
    <w:name w:val="toc 2"/>
    <w:basedOn w:val="1"/>
    <w:next w:val="1"/>
    <w:qFormat/>
    <w:uiPriority w:val="39"/>
    <w:pPr>
      <w:spacing w:before="56"/>
      <w:ind w:left="986" w:right="558" w:hanging="987"/>
      <w:jc w:val="right"/>
    </w:pPr>
    <w:rPr>
      <w:sz w:val="20"/>
      <w:szCs w:val="20"/>
    </w:rPr>
  </w:style>
  <w:style w:type="character" w:styleId="22">
    <w:name w:val="page number"/>
    <w:basedOn w:val="21"/>
    <w:uiPriority w:val="0"/>
  </w:style>
  <w:style w:type="character" w:styleId="23">
    <w:name w:val="Hyperlink"/>
    <w:basedOn w:val="21"/>
    <w:unhideWhenUsed/>
    <w:uiPriority w:val="99"/>
    <w:rPr>
      <w:color w:val="0000FF" w:themeColor="hyperlink"/>
      <w:u w:val="single"/>
    </w:rPr>
  </w:style>
  <w:style w:type="table" w:styleId="25">
    <w:name w:val="Table Grid"/>
    <w:basedOn w:val="24"/>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标题 6 Char"/>
    <w:basedOn w:val="21"/>
    <w:link w:val="7"/>
    <w:semiHidden/>
    <w:qFormat/>
    <w:uiPriority w:val="0"/>
    <w:rPr>
      <w:rFonts w:asciiTheme="majorHAnsi" w:hAnsiTheme="majorHAnsi" w:eastAsiaTheme="majorEastAsia" w:cstheme="majorBidi"/>
      <w:b/>
      <w:bCs/>
      <w:sz w:val="24"/>
      <w:szCs w:val="24"/>
      <w:lang w:val="zh-CN" w:bidi="zh-CN"/>
    </w:rPr>
  </w:style>
  <w:style w:type="character" w:customStyle="1" w:styleId="27">
    <w:name w:val="标题 9 Char"/>
    <w:basedOn w:val="21"/>
    <w:link w:val="8"/>
    <w:qFormat/>
    <w:uiPriority w:val="0"/>
    <w:rPr>
      <w:rFonts w:asciiTheme="majorHAnsi" w:hAnsiTheme="majorHAnsi" w:eastAsiaTheme="majorEastAsia" w:cstheme="majorBidi"/>
      <w:sz w:val="21"/>
      <w:szCs w:val="21"/>
      <w:lang w:val="zh-CN" w:bidi="zh-CN"/>
    </w:rPr>
  </w:style>
  <w:style w:type="character" w:customStyle="1" w:styleId="28">
    <w:name w:val="正文缩进 Char1"/>
    <w:link w:val="9"/>
    <w:qFormat/>
    <w:uiPriority w:val="0"/>
    <w:rPr>
      <w:rFonts w:ascii="@smartSimSun" w:hAnsi="@smartSimSun" w:eastAsia="@smartSimSun" w:cs="Times New Roman"/>
      <w:lang w:val="zh-CN" w:eastAsia="zh-CN"/>
    </w:rPr>
  </w:style>
  <w:style w:type="character" w:customStyle="1" w:styleId="29">
    <w:name w:val="正文文本 Char"/>
    <w:basedOn w:val="21"/>
    <w:link w:val="10"/>
    <w:uiPriority w:val="1"/>
    <w:rPr>
      <w:rFonts w:ascii="宋体" w:hAnsi="宋体" w:eastAsia="宋体" w:cs="宋体"/>
      <w:sz w:val="21"/>
      <w:szCs w:val="21"/>
      <w:lang w:val="zh-CN" w:bidi="zh-CN"/>
    </w:rPr>
  </w:style>
  <w:style w:type="character" w:customStyle="1" w:styleId="30">
    <w:name w:val="纯文本 Char"/>
    <w:basedOn w:val="21"/>
    <w:link w:val="13"/>
    <w:uiPriority w:val="0"/>
    <w:rPr>
      <w:rFonts w:ascii="Tahoma" w:hAnsi="宋体" w:eastAsia="@smartSimSun" w:cs="@smartSimSun"/>
      <w:kern w:val="2"/>
      <w:sz w:val="21"/>
    </w:rPr>
  </w:style>
  <w:style w:type="character" w:customStyle="1" w:styleId="31">
    <w:name w:val="批注框文本 Char"/>
    <w:basedOn w:val="21"/>
    <w:link w:val="15"/>
    <w:uiPriority w:val="0"/>
    <w:rPr>
      <w:rFonts w:ascii="宋体" w:hAnsi="宋体" w:eastAsia="宋体" w:cs="宋体"/>
      <w:sz w:val="18"/>
      <w:szCs w:val="18"/>
      <w:lang w:val="zh-CN" w:bidi="zh-CN"/>
    </w:rPr>
  </w:style>
  <w:style w:type="character" w:customStyle="1" w:styleId="32">
    <w:name w:val="页脚 Char"/>
    <w:basedOn w:val="21"/>
    <w:link w:val="16"/>
    <w:uiPriority w:val="99"/>
    <w:rPr>
      <w:rFonts w:ascii="宋体" w:hAnsi="宋体" w:eastAsia="宋体" w:cs="宋体"/>
      <w:sz w:val="18"/>
      <w:szCs w:val="18"/>
      <w:lang w:val="zh-CN" w:bidi="zh-CN"/>
    </w:rPr>
  </w:style>
  <w:style w:type="character" w:customStyle="1" w:styleId="33">
    <w:name w:val="页眉 Char"/>
    <w:basedOn w:val="21"/>
    <w:link w:val="17"/>
    <w:qFormat/>
    <w:uiPriority w:val="0"/>
    <w:rPr>
      <w:rFonts w:ascii="宋体" w:hAnsi="宋体" w:eastAsia="宋体" w:cs="宋体"/>
      <w:sz w:val="18"/>
      <w:szCs w:val="18"/>
      <w:lang w:val="zh-CN" w:bidi="zh-CN"/>
    </w:rPr>
  </w:style>
  <w:style w:type="table" w:customStyle="1" w:styleId="34">
    <w:name w:val="Table Normal"/>
    <w:semiHidden/>
    <w:unhideWhenUsed/>
    <w:qFormat/>
    <w:uiPriority w:val="2"/>
    <w:tblPr>
      <w:tblLayout w:type="fixed"/>
      <w:tblCellMar>
        <w:top w:w="0" w:type="dxa"/>
        <w:left w:w="0" w:type="dxa"/>
        <w:bottom w:w="0" w:type="dxa"/>
        <w:right w:w="0" w:type="dxa"/>
      </w:tblCellMar>
    </w:tblPr>
  </w:style>
  <w:style w:type="paragraph" w:styleId="35">
    <w:name w:val="List Paragraph"/>
    <w:basedOn w:val="1"/>
    <w:qFormat/>
    <w:uiPriority w:val="1"/>
    <w:pPr>
      <w:ind w:left="212" w:firstLine="420"/>
    </w:pPr>
  </w:style>
  <w:style w:type="paragraph" w:customStyle="1" w:styleId="36">
    <w:name w:val="Table Paragraph"/>
    <w:basedOn w:val="1"/>
    <w:qFormat/>
    <w:uiPriority w:val="1"/>
  </w:style>
  <w:style w:type="character" w:customStyle="1" w:styleId="37">
    <w:name w:val="不明显参考1"/>
    <w:qFormat/>
    <w:uiPriority w:val="0"/>
    <w:rPr>
      <w:smallCaps/>
      <w:color w:val="C0504D"/>
      <w:u w:val="single"/>
    </w:rPr>
  </w:style>
  <w:style w:type="paragraph" w:customStyle="1" w:styleId="38">
    <w:name w:val="样式 标题 3 + (中文) 黑体 小四 非加粗 段前: 7.8 磅 段后: 0 磅 行距: 固定值 20 磅"/>
    <w:basedOn w:val="4"/>
    <w:uiPriority w:val="0"/>
    <w:pPr>
      <w:keepNext/>
      <w:keepLines/>
      <w:autoSpaceDE/>
      <w:autoSpaceDN/>
      <w:spacing w:before="0" w:line="400" w:lineRule="exact"/>
      <w:ind w:left="0" w:firstLine="0"/>
      <w:jc w:val="both"/>
    </w:pPr>
    <w:rPr>
      <w:rFonts w:ascii="Times New Roman" w:hAnsi="Times New Roman" w:cs="宋体"/>
      <w:b w:val="0"/>
      <w:bCs w:val="0"/>
      <w:kern w:val="2"/>
      <w:sz w:val="24"/>
      <w:szCs w:val="20"/>
      <w:lang w:bidi="ar-SA"/>
    </w:rPr>
  </w:style>
  <w:style w:type="character" w:customStyle="1" w:styleId="39">
    <w:name w:val="正文缩进 Char"/>
    <w:uiPriority w:val="0"/>
    <w:rPr>
      <w:rFonts w:ascii="@smartSimSun" w:hAnsi="@smartSimSun" w:eastAsia="@smartSimSun" w:cs="@smartSimSun"/>
    </w:rPr>
  </w:style>
  <w:style w:type="paragraph" w:customStyle="1" w:styleId="40">
    <w:name w:val="TOC 标题1"/>
    <w:basedOn w:val="2"/>
    <w:next w:val="1"/>
    <w:unhideWhenUsed/>
    <w:qFormat/>
    <w:uiPriority w:val="39"/>
    <w:pPr>
      <w:keepNext/>
      <w:keepLines/>
      <w:widowControl/>
      <w:autoSpaceDE/>
      <w:autoSpaceDN/>
      <w:spacing w:before="240" w:line="259" w:lineRule="auto"/>
      <w:ind w:right="0"/>
      <w:jc w:val="left"/>
      <w:outlineLvl w:val="9"/>
    </w:pPr>
    <w:rPr>
      <w:rFonts w:asciiTheme="majorHAnsi" w:hAnsiTheme="majorHAnsi" w:eastAsiaTheme="majorEastAsia" w:cstheme="majorBidi"/>
      <w:b w:val="0"/>
      <w:bCs w:val="0"/>
      <w:color w:val="366091" w:themeColor="accent1" w:themeShade="BF"/>
      <w:sz w:val="32"/>
      <w:szCs w:val="32"/>
      <w:lang w:val="en-US" w:bidi="ar-SA"/>
    </w:rPr>
  </w:style>
  <w:style w:type="paragraph" w:customStyle="1" w:styleId="41">
    <w:name w:val="项目-正文"/>
    <w:basedOn w:val="1"/>
    <w:link w:val="42"/>
    <w:qFormat/>
    <w:uiPriority w:val="0"/>
    <w:pPr>
      <w:autoSpaceDE/>
      <w:autoSpaceDN/>
      <w:spacing w:line="360" w:lineRule="auto"/>
      <w:ind w:firstLine="560" w:firstLineChars="200"/>
      <w:jc w:val="both"/>
    </w:pPr>
    <w:rPr>
      <w:rFonts w:ascii="Times New Roman" w:hAnsi="Times New Roman" w:cs="Times New Roman"/>
      <w:sz w:val="28"/>
      <w:szCs w:val="28"/>
      <w:lang w:val="en-US" w:bidi="ar-SA"/>
    </w:rPr>
  </w:style>
  <w:style w:type="character" w:customStyle="1" w:styleId="42">
    <w:name w:val="项目-正文 Char"/>
    <w:basedOn w:val="21"/>
    <w:link w:val="41"/>
    <w:uiPriority w:val="0"/>
    <w:rPr>
      <w:rFonts w:ascii="Times New Roman" w:hAnsi="Times New Roman" w:eastAsia="宋体" w:cs="Times New Roman"/>
      <w:sz w:val="28"/>
      <w:szCs w:val="28"/>
    </w:rPr>
  </w:style>
  <w:style w:type="paragraph" w:customStyle="1" w:styleId="43">
    <w:name w:val="项目-表格标题"/>
    <w:basedOn w:val="1"/>
    <w:link w:val="44"/>
    <w:qFormat/>
    <w:uiPriority w:val="0"/>
    <w:pPr>
      <w:autoSpaceDE/>
      <w:autoSpaceDN/>
      <w:spacing w:line="360" w:lineRule="auto"/>
      <w:jc w:val="center"/>
    </w:pPr>
    <w:rPr>
      <w:rFonts w:ascii="Times New Roman" w:hAnsi="Times New Roman" w:cs="Times New Roman"/>
      <w:b/>
      <w:sz w:val="21"/>
      <w:szCs w:val="21"/>
      <w:lang w:val="en-US" w:bidi="ar-SA"/>
    </w:rPr>
  </w:style>
  <w:style w:type="character" w:customStyle="1" w:styleId="44">
    <w:name w:val="项目-表格标题 Char"/>
    <w:link w:val="43"/>
    <w:uiPriority w:val="0"/>
    <w:rPr>
      <w:rFonts w:ascii="Times New Roman" w:hAnsi="Times New Roman" w:eastAsia="宋体" w:cs="Times New Roman"/>
      <w:b/>
      <w:sz w:val="21"/>
      <w:szCs w:val="21"/>
    </w:rPr>
  </w:style>
  <w:style w:type="paragraph" w:customStyle="1" w:styleId="45">
    <w:name w:val="项目-图表"/>
    <w:basedOn w:val="1"/>
    <w:link w:val="46"/>
    <w:qFormat/>
    <w:uiPriority w:val="0"/>
    <w:pPr>
      <w:autoSpaceDE/>
      <w:autoSpaceDN/>
      <w:spacing w:line="360" w:lineRule="auto"/>
      <w:jc w:val="center"/>
    </w:pPr>
    <w:rPr>
      <w:rFonts w:ascii="Times New Roman" w:hAnsi="Times New Roman" w:cs="Times New Roman"/>
      <w:kern w:val="2"/>
      <w:sz w:val="21"/>
      <w:szCs w:val="21"/>
      <w:lang w:val="en-US" w:bidi="ar-SA"/>
    </w:rPr>
  </w:style>
  <w:style w:type="character" w:customStyle="1" w:styleId="46">
    <w:name w:val="项目-图表 Char"/>
    <w:link w:val="45"/>
    <w:qFormat/>
    <w:uiPriority w:val="0"/>
    <w:rPr>
      <w:rFonts w:ascii="Times New Roman" w:hAnsi="Times New Roman" w:eastAsia="宋体" w:cs="Times New Roman"/>
      <w:kern w:val="2"/>
      <w:sz w:val="21"/>
      <w:szCs w:val="21"/>
    </w:rPr>
  </w:style>
  <w:style w:type="character" w:customStyle="1" w:styleId="47">
    <w:name w:val="newversionspan"/>
    <w:basedOn w:val="21"/>
    <w:uiPriority w:val="0"/>
  </w:style>
  <w:style w:type="character" w:customStyle="1" w:styleId="48">
    <w:name w:val="日期 Char"/>
    <w:basedOn w:val="21"/>
    <w:link w:val="14"/>
    <w:semiHidden/>
    <w:uiPriority w:val="0"/>
    <w:rPr>
      <w:rFonts w:ascii="宋体" w:hAnsi="宋体" w:eastAsia="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4AAF7-7382-49A8-A0CE-CF23E095A2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17463</Words>
  <Characters>99541</Characters>
  <Lines>829</Lines>
  <Paragraphs>233</Paragraphs>
  <TotalTime>135</TotalTime>
  <ScaleCrop>false</ScaleCrop>
  <LinksUpToDate>false</LinksUpToDate>
  <CharactersWithSpaces>116771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2020-04-13T09:43:00Z</dcterms:created>
  <dc:creator>1</dc:creator>
  <cp:lastModifiedBy>胥金林</cp:lastModifiedBy>
  <cp:lastPrinted>2020-04-21T03:17:00Z</cp:lastPrinted>
  <dcterms:modified xsi:type="dcterms:W3CDTF">2023-09-24T02:30:04Z</dcterms:modified>
  <dc:title>中华人民共和国</dc:title>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2010</vt:lpwstr>
  </property>
  <property fmtid="{D5CDD505-2E9C-101B-9397-08002B2CF9AE}" pid="4" name="LastSaved">
    <vt:filetime>2020-03-25T00:00:00Z</vt:filetime>
  </property>
  <property fmtid="{D5CDD505-2E9C-101B-9397-08002B2CF9AE}" pid="5" name="KSOProductBuildVer">
    <vt:lpwstr>2052-10.8.2.7027</vt:lpwstr>
  </property>
  <property fmtid="{D5CDD505-2E9C-101B-9397-08002B2CF9AE}" pid="6" name="ribbonExt">
    <vt:lpwstr>{"WPSExtOfficeTab":{"OnGetEnabled":false,"OnGetVisible":false}}</vt:lpwstr>
  </property>
</Properties>
</file>