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640" w:lineRule="exact"/>
        <w:jc w:val="center"/>
        <w:rPr>
          <w:rFonts w:ascii="方正小标宋简体" w:hAnsi="方正小标宋_GBK" w:eastAsia="方正小标宋简体" w:cs="方正小标宋_GBK"/>
          <w:bCs/>
          <w:sz w:val="44"/>
          <w:shd w:val="clear" w:color="auto" w:fill="FFFFFF"/>
        </w:rPr>
      </w:pPr>
      <w:r>
        <w:rPr>
          <w:rFonts w:hint="eastAsia" w:ascii="方正小标宋简体" w:hAnsi="方正小标宋_GBK" w:eastAsia="方正小标宋简体" w:cs="方正小标宋_GBK"/>
          <w:bCs/>
          <w:sz w:val="44"/>
          <w:shd w:val="clear" w:color="auto" w:fill="FFFFFF"/>
        </w:rPr>
        <w:t>广州市气象局</w:t>
      </w:r>
    </w:p>
    <w:p>
      <w:pPr>
        <w:shd w:val="solid" w:color="FFFFFF" w:fill="auto"/>
        <w:autoSpaceDN w:val="0"/>
        <w:spacing w:line="640" w:lineRule="exact"/>
        <w:jc w:val="center"/>
        <w:rPr>
          <w:rFonts w:ascii="方正小标宋简体" w:hAnsi="方正小标宋_GBK" w:eastAsia="方正小标宋简体" w:cs="方正小标宋_GBK"/>
          <w:bCs/>
          <w:sz w:val="44"/>
          <w:shd w:val="clear" w:color="auto" w:fill="FFFFFF"/>
        </w:rPr>
      </w:pPr>
      <w:r>
        <w:rPr>
          <w:rFonts w:hint="eastAsia" w:ascii="方正小标宋简体" w:hAnsi="方正小标宋_GBK" w:eastAsia="方正小标宋简体" w:cs="方正小标宋_GBK"/>
          <w:bCs/>
          <w:sz w:val="44"/>
          <w:shd w:val="clear" w:color="auto" w:fill="FFFFFF"/>
        </w:rPr>
        <w:t>2021年政府信息公开工作年度报告</w:t>
      </w:r>
    </w:p>
    <w:p>
      <w:pPr>
        <w:shd w:val="solid" w:color="FFFFFF" w:fill="auto"/>
        <w:autoSpaceDN w:val="0"/>
        <w:spacing w:line="560" w:lineRule="exact"/>
        <w:jc w:val="center"/>
        <w:rPr>
          <w:rFonts w:ascii="楷体_GB2312" w:hAnsi="仿宋_GB2312" w:eastAsia="楷体_GB2312" w:cs="仿宋_GB2312"/>
          <w:bCs/>
          <w:color w:val="000000" w:themeColor="text1"/>
          <w:sz w:val="32"/>
          <w:szCs w:val="15"/>
          <w:shd w:val="clear" w:color="auto" w:fill="FFFFFF"/>
          <w14:textFill>
            <w14:solidFill>
              <w14:schemeClr w14:val="tx1"/>
            </w14:solidFill>
          </w14:textFill>
        </w:rPr>
      </w:pPr>
      <w:r>
        <w:rPr>
          <w:rFonts w:hint="eastAsia" w:ascii="楷体_GB2312" w:hAnsi="仿宋_GB2312" w:eastAsia="楷体_GB2312" w:cs="仿宋_GB2312"/>
          <w:bCs/>
          <w:color w:val="000000" w:themeColor="text1"/>
          <w:sz w:val="32"/>
          <w:szCs w:val="15"/>
          <w:shd w:val="clear" w:color="auto" w:fill="FFFFFF"/>
          <w14:textFill>
            <w14:solidFill>
              <w14:schemeClr w14:val="tx1"/>
            </w14:solidFill>
          </w14:textFill>
        </w:rPr>
        <w:t>（2022年1月20日）</w:t>
      </w:r>
    </w:p>
    <w:p>
      <w:pPr>
        <w:shd w:val="solid" w:color="FFFFFF" w:fill="auto"/>
        <w:autoSpaceDN w:val="0"/>
        <w:spacing w:line="560" w:lineRule="exact"/>
        <w:ind w:firstLine="420"/>
        <w:rPr>
          <w:color w:val="000000" w:themeColor="text1"/>
          <w:sz w:val="24"/>
          <w:shd w:val="clear" w:color="auto" w:fill="FFFFFF"/>
          <w14:textFill>
            <w14:solidFill>
              <w14:schemeClr w14:val="tx1"/>
            </w14:solidFill>
          </w14:textFill>
        </w:rPr>
      </w:pPr>
    </w:p>
    <w:p>
      <w:pPr>
        <w:shd w:val="solid" w:color="FFFFFF" w:fill="auto"/>
        <w:autoSpaceDN w:val="0"/>
        <w:spacing w:line="560" w:lineRule="exact"/>
        <w:ind w:firstLine="640" w:firstLineChars="200"/>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一、总体情况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2021年，广州市气象局认真贯彻落实市委市政府及上级气象部门对政务公开工作的各项要求，坚持“以公开为常态，不公开为例外”，认真贯彻《政府信息公开条例》，贯彻</w:t>
      </w:r>
      <w:r>
        <w:rPr>
          <w:rFonts w:ascii="仿宋_GB2312" w:hAnsi="Times New Roman" w:eastAsia="仿宋_GB2312" w:cs="Times New Roman"/>
          <w:color w:val="000000" w:themeColor="text1"/>
          <w:kern w:val="2"/>
          <w:sz w:val="32"/>
          <w:szCs w:val="32"/>
          <w14:textFill>
            <w14:solidFill>
              <w14:schemeClr w14:val="tx1"/>
            </w14:solidFill>
          </w14:textFill>
        </w:rPr>
        <w:t>落实</w:t>
      </w:r>
      <w:r>
        <w:rPr>
          <w:rFonts w:hint="eastAsia" w:ascii="仿宋_GB2312" w:hAnsi="Times New Roman" w:eastAsia="仿宋_GB2312" w:cs="Times New Roman"/>
          <w:color w:val="000000" w:themeColor="text1"/>
          <w:kern w:val="2"/>
          <w:sz w:val="32"/>
          <w:szCs w:val="32"/>
          <w14:textFill>
            <w14:solidFill>
              <w14:schemeClr w14:val="tx1"/>
            </w14:solidFill>
          </w14:textFill>
        </w:rPr>
        <w:t>市政府《广州市人民政府办公厅关于印发广州市2021年政务公开工作要点分工方案的通知》等文件要求，扎实推进社会公益事业建设领域气象灾害信息公开，积极做好基层政务公开标准化规范化工作，提升行政公文公开属性审查水平，较好的完成各项工作。</w:t>
      </w:r>
    </w:p>
    <w:p>
      <w:pPr>
        <w:pStyle w:val="4"/>
        <w:shd w:val="clear" w:color="auto" w:fill="FFFFFF"/>
        <w:spacing w:before="0" w:beforeAutospacing="0" w:after="0" w:afterAutospacing="0" w:line="560" w:lineRule="exact"/>
        <w:ind w:firstLine="640" w:firstLineChars="200"/>
        <w:jc w:val="both"/>
        <w:rPr>
          <w:rFonts w:ascii="楷体" w:hAnsi="楷体" w:eastAsia="楷体" w:cs="楷体"/>
          <w:color w:val="000000" w:themeColor="text1"/>
          <w:kern w:val="2"/>
          <w:sz w:val="32"/>
          <w:szCs w:val="32"/>
          <w14:textFill>
            <w14:solidFill>
              <w14:schemeClr w14:val="tx1"/>
            </w14:solidFill>
          </w14:textFill>
        </w:rPr>
      </w:pPr>
      <w:r>
        <w:rPr>
          <w:rFonts w:hint="eastAsia" w:ascii="楷体" w:hAnsi="楷体" w:eastAsia="楷体" w:cs="楷体"/>
          <w:color w:val="000000" w:themeColor="text1"/>
          <w:kern w:val="2"/>
          <w:sz w:val="32"/>
          <w:szCs w:val="32"/>
          <w14:textFill>
            <w14:solidFill>
              <w14:schemeClr w14:val="tx1"/>
            </w14:solidFill>
          </w14:textFill>
        </w:rPr>
        <w:t>（一）主动公开情况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2021年，广州市气象局未以单位名义印发部门规范性文件，制定印发主动公开类行政公文7份，均及时挂网公开。积极推进气象灾害信息公开，在市政府社会公益事业建设领域公开栏目按季度公开气象预警发布情况，通过电视、短信、微博微信、报纸等15种渠道实时发布各类气象灾害预警信息160次。</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印发《广州市气象局关于印发2021年政务公开工作要点实施方案的通知》（穗气〔2021〕130号），结合广州市气象部门实际梳理形成政务公开工作台帐及分工表，督促各处室、各直属单位、各区局按要求对气象发展规划、人事、防雷、财务、新闻等进行政务公开，进一步推动广州市气象局政务信息公开透明，增强政务公开工作实效。</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推动主动公开基本目录体系建设，提升政府信息主动公开标准化规范化水平，组织制定了《广州市气象局主动公开基本目录》，对广州市气象局政务公开基本内容进行了明确。</w:t>
      </w:r>
    </w:p>
    <w:p>
      <w:pPr>
        <w:pStyle w:val="4"/>
        <w:shd w:val="clear" w:color="auto" w:fill="FFFFFF"/>
        <w:spacing w:before="0" w:beforeAutospacing="0" w:after="0" w:afterAutospacing="0" w:line="560" w:lineRule="exact"/>
        <w:ind w:firstLine="640" w:firstLineChars="200"/>
        <w:jc w:val="both"/>
        <w:rPr>
          <w:rFonts w:ascii="楷体" w:hAnsi="楷体" w:eastAsia="楷体" w:cs="楷体"/>
          <w:color w:val="000000" w:themeColor="text1"/>
          <w:kern w:val="2"/>
          <w:sz w:val="32"/>
          <w:szCs w:val="32"/>
          <w14:textFill>
            <w14:solidFill>
              <w14:schemeClr w14:val="tx1"/>
            </w14:solidFill>
          </w14:textFill>
        </w:rPr>
      </w:pPr>
      <w:r>
        <w:rPr>
          <w:rFonts w:hint="eastAsia" w:ascii="楷体" w:hAnsi="楷体" w:eastAsia="楷体" w:cs="楷体"/>
          <w:color w:val="000000" w:themeColor="text1"/>
          <w:kern w:val="2"/>
          <w:sz w:val="32"/>
          <w:szCs w:val="32"/>
          <w14:textFill>
            <w14:solidFill>
              <w14:schemeClr w14:val="tx1"/>
            </w14:solidFill>
          </w14:textFill>
        </w:rPr>
        <w:t>（二）依申请公开情况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全年受理9宗政府信息公开申请，均已按时办结。</w:t>
      </w:r>
    </w:p>
    <w:p>
      <w:pPr>
        <w:pStyle w:val="4"/>
        <w:shd w:val="clear" w:color="auto" w:fill="FFFFFF"/>
        <w:spacing w:before="0" w:beforeAutospacing="0" w:after="0" w:afterAutospacing="0" w:line="560" w:lineRule="exact"/>
        <w:ind w:firstLine="640" w:firstLineChars="200"/>
        <w:jc w:val="both"/>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（三）政府信息管理情况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积极推进社会公益事业及重点民生领域政府信息公开。在市政府门户网站重点领域专题公开气象灾害信息，按季度公开气象灾害预警信息发布情况。此外，通过电视、短信、微博、微信、报纸等15种渠道实时发布形式多样的气象灾害预警信息160次。</w:t>
      </w:r>
      <w:r>
        <w:rPr>
          <w:rFonts w:ascii="仿宋_GB2312" w:hAnsi="Times New Roman" w:eastAsia="仿宋_GB2312" w:cs="Times New Roman"/>
          <w:color w:val="000000" w:themeColor="text1"/>
          <w:kern w:val="2"/>
          <w:sz w:val="32"/>
          <w:szCs w:val="32"/>
          <w14:textFill>
            <w14:solidFill>
              <w14:schemeClr w14:val="tx1"/>
            </w14:solidFill>
          </w14:textFill>
        </w:rPr>
        <w:t>在公开渠道建设方面，2021年，“广州天气”微博微信受众超22</w:t>
      </w:r>
      <w:r>
        <w:rPr>
          <w:rFonts w:hint="eastAsia" w:ascii="仿宋_GB2312" w:hAnsi="Times New Roman" w:eastAsia="仿宋_GB2312" w:cs="Times New Roman"/>
          <w:color w:val="000000" w:themeColor="text1"/>
          <w:kern w:val="2"/>
          <w:sz w:val="32"/>
          <w:szCs w:val="32"/>
          <w14:textFill>
            <w14:solidFill>
              <w14:schemeClr w14:val="tx1"/>
            </w14:solidFill>
          </w14:textFill>
        </w:rPr>
        <w:t>5.1</w:t>
      </w:r>
      <w:r>
        <w:rPr>
          <w:rFonts w:ascii="仿宋_GB2312" w:hAnsi="Times New Roman" w:eastAsia="仿宋_GB2312" w:cs="Times New Roman"/>
          <w:color w:val="000000" w:themeColor="text1"/>
          <w:kern w:val="2"/>
          <w:sz w:val="32"/>
          <w:szCs w:val="32"/>
          <w14:textFill>
            <w14:solidFill>
              <w14:schemeClr w14:val="tx1"/>
            </w14:solidFill>
          </w14:textFill>
        </w:rPr>
        <w:t>万，微信接口调用575.5万次，微博阅读量达9.0亿；停课铃用户量66.8万</w:t>
      </w:r>
      <w:r>
        <w:rPr>
          <w:rFonts w:hint="eastAsia" w:ascii="仿宋_GB2312" w:hAnsi="Times New Roman" w:eastAsia="仿宋_GB2312" w:cs="Times New Roman"/>
          <w:color w:val="000000" w:themeColor="text1"/>
          <w:kern w:val="2"/>
          <w:sz w:val="32"/>
          <w:szCs w:val="32"/>
          <w14:textFill>
            <w14:solidFill>
              <w14:schemeClr w14:val="tx1"/>
            </w14:solidFill>
          </w14:textFill>
        </w:rPr>
        <w:t>；甚高频广播预警系统接入“三站一场”等重要场所；“广州天气”融入“穗好办”APP，为公众获取气象灾害预警信息提供便利。</w:t>
      </w:r>
    </w:p>
    <w:p>
      <w:pPr>
        <w:shd w:val="solid" w:color="FFFFFF" w:fill="auto"/>
        <w:autoSpaceDN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做好舆情收集打通公开堵点痛点。根据12345热线及政府信息公开申请反馈的气象证明开具、气象数据获取等常见问题，及时修订补充知识库，提升政务服务便捷度。推进政府文件公开属性评估调整工作，按照《广州市政务公开工作办公室关于征求政府文件公开属性评估调整意见的函》文件精神，及时比对调整行政公文公开属性。</w:t>
      </w:r>
    </w:p>
    <w:p>
      <w:pPr>
        <w:shd w:val="solid" w:color="FFFFFF" w:fill="auto"/>
        <w:autoSpaceDN w:val="0"/>
        <w:spacing w:line="56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（四）政府信息公开平台建设情况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按照垂直系统网站集约化建设要求，广州市气象局政府网站已于2019年注销关停，目前网站内容集约迁移至广东省气象局政府网站子页面。此外，广州市气象局还在广州市人民政府门户网站更新政府信息公开目录，方便公众获取政府信息。今年，根据中国气象局关于规范气象政务新媒体工作要求，我局组织开展两轮政务新媒体清查整改工作，全市气象部门共关停变更新媒体33个。</w:t>
      </w:r>
    </w:p>
    <w:p>
      <w:pPr>
        <w:pStyle w:val="4"/>
        <w:shd w:val="clear" w:color="auto" w:fill="FFFFFF"/>
        <w:spacing w:before="0" w:beforeAutospacing="0" w:after="0" w:afterAutospacing="0" w:line="560" w:lineRule="exact"/>
        <w:ind w:firstLine="640" w:firstLineChars="200"/>
        <w:jc w:val="both"/>
        <w:rPr>
          <w:rFonts w:ascii="楷体" w:hAnsi="楷体" w:eastAsia="楷体" w:cs="楷体"/>
          <w:color w:val="000000" w:themeColor="text1"/>
          <w:kern w:val="2"/>
          <w:sz w:val="32"/>
          <w:szCs w:val="32"/>
          <w14:textFill>
            <w14:solidFill>
              <w14:schemeClr w14:val="tx1"/>
            </w14:solidFill>
          </w14:textFill>
        </w:rPr>
      </w:pPr>
      <w:r>
        <w:rPr>
          <w:rFonts w:hint="eastAsia" w:ascii="楷体" w:hAnsi="楷体" w:eastAsia="楷体" w:cs="楷体"/>
          <w:color w:val="000000" w:themeColor="text1"/>
          <w:kern w:val="2"/>
          <w:sz w:val="32"/>
          <w:szCs w:val="32"/>
          <w14:textFill>
            <w14:solidFill>
              <w14:schemeClr w14:val="tx1"/>
            </w14:solidFill>
          </w14:textFill>
        </w:rPr>
        <w:t>（五）监督保障情况</w:t>
      </w:r>
    </w:p>
    <w:p>
      <w:pPr>
        <w:pStyle w:val="4"/>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kern w:val="2"/>
          <w:sz w:val="32"/>
          <w:szCs w:val="32"/>
          <w14:textFill>
            <w14:solidFill>
              <w14:schemeClr w14:val="tx1"/>
            </w14:solidFill>
          </w14:textFill>
        </w:rPr>
        <w:t>广州市气象局高度重视政府信息公开工作，成立政务公开工作领导小组，由排名第二的班子成员分管政务公开工作，列入党组成员分工并对外公开。主要负责同志多次在局务会上强调政务公开工作的重要性，分管负责同志按照“先审后发，一事一单”的要求，认真核签政府信息对外公开审查单，及时安排政务公开工作部门负责人及经办人员参加市政务公开办组织的2021年政务公开培训会。</w:t>
      </w:r>
    </w:p>
    <w:p>
      <w:pPr>
        <w:shd w:val="solid" w:color="FFFFFF" w:fill="auto"/>
        <w:autoSpaceDN w:val="0"/>
        <w:spacing w:before="156" w:beforeLines="50" w:line="560" w:lineRule="exact"/>
        <w:ind w:firstLine="640" w:firstLineChars="200"/>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二、主动公开政府信息情况</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81"/>
        <w:gridCol w:w="2047"/>
        <w:gridCol w:w="2047"/>
        <w:gridCol w:w="2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000" w:type="pct"/>
            <w:gridSpan w:val="4"/>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信息内容</w:t>
            </w:r>
          </w:p>
        </w:tc>
        <w:tc>
          <w:tcPr>
            <w:tcW w:w="1201"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本年制发件数</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本年废止件数</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规章</w:t>
            </w:r>
          </w:p>
        </w:tc>
        <w:tc>
          <w:tcPr>
            <w:tcW w:w="1201"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行政规范性文件</w:t>
            </w:r>
          </w:p>
        </w:tc>
        <w:tc>
          <w:tcPr>
            <w:tcW w:w="1201"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201"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000" w:type="pct"/>
            <w:gridSpan w:val="4"/>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信息内容</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行政许可</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000" w:type="pct"/>
            <w:gridSpan w:val="4"/>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信息内容</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行政处罚</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行政强制</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000" w:type="pct"/>
            <w:gridSpan w:val="4"/>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信息内容</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97" w:type="pct"/>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行政事业性收费</w:t>
            </w:r>
          </w:p>
        </w:tc>
        <w:tc>
          <w:tcPr>
            <w:tcW w:w="3603" w:type="pct"/>
            <w:gridSpan w:val="3"/>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bl>
    <w:p>
      <w:pPr>
        <w:shd w:val="solid" w:color="FFFFFF" w:fill="auto"/>
        <w:autoSpaceDN w:val="0"/>
        <w:spacing w:before="156" w:beforeLines="50" w:line="560" w:lineRule="atLeast"/>
        <w:ind w:firstLine="640" w:firstLineChars="200"/>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三、收到和处理政府信息公开申请情况</w:t>
      </w:r>
    </w:p>
    <w:tbl>
      <w:tblPr>
        <w:tblStyle w:val="5"/>
        <w:tblW w:w="5000" w:type="pct"/>
        <w:tblInd w:w="0" w:type="dxa"/>
        <w:tblLayout w:type="autofit"/>
        <w:tblCellMar>
          <w:top w:w="0" w:type="dxa"/>
          <w:left w:w="108" w:type="dxa"/>
          <w:bottom w:w="0" w:type="dxa"/>
          <w:right w:w="108" w:type="dxa"/>
        </w:tblCellMar>
      </w:tblPr>
      <w:tblGrid>
        <w:gridCol w:w="656"/>
        <w:gridCol w:w="876"/>
        <w:gridCol w:w="3076"/>
        <w:gridCol w:w="876"/>
        <w:gridCol w:w="436"/>
        <w:gridCol w:w="436"/>
        <w:gridCol w:w="436"/>
        <w:gridCol w:w="437"/>
        <w:gridCol w:w="636"/>
        <w:gridCol w:w="657"/>
      </w:tblGrid>
      <w:tr>
        <w:tblPrEx>
          <w:tblCellMar>
            <w:top w:w="0" w:type="dxa"/>
            <w:left w:w="108" w:type="dxa"/>
            <w:bottom w:w="0" w:type="dxa"/>
            <w:right w:w="108" w:type="dxa"/>
          </w:tblCellMar>
        </w:tblPrEx>
        <w:trPr>
          <w:trHeight w:val="300" w:hRule="atLeast"/>
        </w:trPr>
        <w:tc>
          <w:tcPr>
            <w:tcW w:w="270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（本列数据的勾稽关系为：第一项加第二项之和，等于第三项加第四项之和）</w:t>
            </w:r>
          </w:p>
        </w:tc>
        <w:tc>
          <w:tcPr>
            <w:tcW w:w="514"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782"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申请人情况</w:t>
            </w:r>
          </w:p>
        </w:tc>
      </w:tr>
      <w:tr>
        <w:tblPrEx>
          <w:tblCellMar>
            <w:top w:w="0" w:type="dxa"/>
            <w:left w:w="108" w:type="dxa"/>
            <w:bottom w:w="0" w:type="dxa"/>
            <w:right w:w="108" w:type="dxa"/>
          </w:tblCellMar>
        </w:tblPrEx>
        <w:trPr>
          <w:trHeight w:val="300" w:hRule="atLeast"/>
        </w:trPr>
        <w:tc>
          <w:tcPr>
            <w:tcW w:w="270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自然人</w:t>
            </w:r>
          </w:p>
        </w:tc>
        <w:tc>
          <w:tcPr>
            <w:tcW w:w="1397"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法人或其他组织</w:t>
            </w:r>
          </w:p>
        </w:tc>
        <w:tc>
          <w:tcPr>
            <w:tcW w:w="385"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总计</w:t>
            </w:r>
          </w:p>
        </w:tc>
      </w:tr>
      <w:tr>
        <w:tblPrEx>
          <w:tblCellMar>
            <w:top w:w="0" w:type="dxa"/>
            <w:left w:w="108" w:type="dxa"/>
            <w:bottom w:w="0" w:type="dxa"/>
            <w:right w:w="108" w:type="dxa"/>
          </w:tblCellMar>
        </w:tblPrEx>
        <w:trPr>
          <w:trHeight w:val="585" w:hRule="atLeast"/>
        </w:trPr>
        <w:tc>
          <w:tcPr>
            <w:tcW w:w="270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5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商业</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企业</w:t>
            </w:r>
          </w:p>
        </w:tc>
        <w:tc>
          <w:tcPr>
            <w:tcW w:w="25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科研</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机构</w:t>
            </w:r>
          </w:p>
        </w:tc>
        <w:tc>
          <w:tcPr>
            <w:tcW w:w="25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社会公益组织</w:t>
            </w:r>
          </w:p>
        </w:tc>
        <w:tc>
          <w:tcPr>
            <w:tcW w:w="25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法律服务机构</w:t>
            </w:r>
          </w:p>
        </w:tc>
        <w:tc>
          <w:tcPr>
            <w:tcW w:w="374"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p>
        </w:tc>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27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一、本年新收政府信息公开申请数量</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r>
      <w:tr>
        <w:tblPrEx>
          <w:tblCellMar>
            <w:top w:w="0" w:type="dxa"/>
            <w:left w:w="108" w:type="dxa"/>
            <w:bottom w:w="0" w:type="dxa"/>
            <w:right w:w="108" w:type="dxa"/>
          </w:tblCellMar>
        </w:tblPrEx>
        <w:trPr>
          <w:trHeight w:val="300" w:hRule="atLeast"/>
        </w:trPr>
        <w:tc>
          <w:tcPr>
            <w:tcW w:w="270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二、上年结转政府信息公开申请数量</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三、本</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年度</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办理</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结果</w:t>
            </w:r>
          </w:p>
        </w:tc>
        <w:tc>
          <w:tcPr>
            <w:tcW w:w="23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（一）予以公开</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6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3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（二）部分公开（区分处理的，只计这一情形，不计其他情形）</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（三）不予公开</w:t>
            </w: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1.属于国家秘密</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2.其他法律行政法规禁止公开</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3.危及“三安全一稳定”</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4.保护第三方合法权益</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5.属于三类内部事务信息</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6.属于四类过程性信息</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7.属于行政执法案卷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8.属于行政查询事项</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（四）无法提供</w:t>
            </w: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1.本机关不掌握相关政府信息</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2.没有现成信息需要另行制作</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3.补正后申请内容仍不明确</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（五）不予处理</w:t>
            </w: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1.信访举报投诉类申请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2.重复申请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3.要求提供公开出版物</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4.无正当理由大量反复申请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57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5.要求行政机关确认或重新出具已获取信息</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855"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（六）其他处理</w:t>
            </w:r>
          </w:p>
        </w:tc>
        <w:tc>
          <w:tcPr>
            <w:tcW w:w="180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1.申请人无正当理由逾期不补正、行政机关不再处理其政府信息公开申请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84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2.申请人逾期未按收费通知要求缴纳费用、行政机关不再处理其政府信息公开申请</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805" w:type="pct"/>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3.其他</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r>
        <w:tblPrEx>
          <w:tblCellMar>
            <w:top w:w="0" w:type="dxa"/>
            <w:left w:w="108" w:type="dxa"/>
            <w:bottom w:w="0" w:type="dxa"/>
            <w:right w:w="108" w:type="dxa"/>
          </w:tblCellMar>
        </w:tblPrEx>
        <w:trPr>
          <w:trHeight w:val="300" w:hRule="atLeast"/>
        </w:trPr>
        <w:tc>
          <w:tcPr>
            <w:tcW w:w="3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319" w:type="pct"/>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（七）总计</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r>
      <w:tr>
        <w:tblPrEx>
          <w:tblCellMar>
            <w:top w:w="0" w:type="dxa"/>
            <w:left w:w="108" w:type="dxa"/>
            <w:bottom w:w="0" w:type="dxa"/>
            <w:right w:w="108" w:type="dxa"/>
          </w:tblCellMar>
        </w:tblPrEx>
        <w:trPr>
          <w:trHeight w:val="300" w:hRule="atLeast"/>
        </w:trPr>
        <w:tc>
          <w:tcPr>
            <w:tcW w:w="27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四、结转下年度继续办理</w:t>
            </w:r>
          </w:p>
        </w:tc>
        <w:tc>
          <w:tcPr>
            <w:tcW w:w="5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5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7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bl>
    <w:p>
      <w:pPr>
        <w:shd w:val="solid" w:color="FFFFFF" w:fill="auto"/>
        <w:tabs>
          <w:tab w:val="right" w:pos="8306"/>
        </w:tabs>
        <w:autoSpaceDN w:val="0"/>
        <w:spacing w:before="156" w:beforeLines="50" w:line="560" w:lineRule="exact"/>
        <w:ind w:firstLine="640" w:firstLineChars="200"/>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四、政府信息公开行政复议、行政诉讼情况</w:t>
      </w:r>
      <w:r>
        <w:rPr>
          <w:rFonts w:eastAsia="黑体"/>
          <w:bCs/>
          <w:color w:val="000000" w:themeColor="text1"/>
          <w:sz w:val="32"/>
          <w:shd w:val="clear" w:color="auto" w:fill="FFFFFF"/>
          <w14:textFill>
            <w14:solidFill>
              <w14:schemeClr w14:val="tx1"/>
            </w14:solidFill>
          </w14:textFill>
        </w:rPr>
        <w:tab/>
      </w:r>
    </w:p>
    <w:tbl>
      <w:tblPr>
        <w:tblStyle w:val="5"/>
        <w:tblW w:w="5000" w:type="pct"/>
        <w:tblInd w:w="0" w:type="dxa"/>
        <w:tblLayout w:type="autofit"/>
        <w:tblCellMar>
          <w:top w:w="0" w:type="dxa"/>
          <w:left w:w="108" w:type="dxa"/>
          <w:bottom w:w="0" w:type="dxa"/>
          <w:right w:w="108" w:type="dxa"/>
        </w:tblCellMar>
      </w:tblPr>
      <w:tblGrid>
        <w:gridCol w:w="521"/>
        <w:gridCol w:w="436"/>
        <w:gridCol w:w="470"/>
        <w:gridCol w:w="586"/>
        <w:gridCol w:w="589"/>
        <w:gridCol w:w="485"/>
        <w:gridCol w:w="625"/>
        <w:gridCol w:w="625"/>
        <w:gridCol w:w="625"/>
        <w:gridCol w:w="626"/>
        <w:gridCol w:w="625"/>
        <w:gridCol w:w="625"/>
        <w:gridCol w:w="548"/>
        <w:gridCol w:w="510"/>
        <w:gridCol w:w="626"/>
      </w:tblGrid>
      <w:tr>
        <w:tblPrEx>
          <w:tblCellMar>
            <w:top w:w="0" w:type="dxa"/>
            <w:left w:w="108" w:type="dxa"/>
            <w:bottom w:w="0" w:type="dxa"/>
            <w:right w:w="108" w:type="dxa"/>
          </w:tblCellMar>
        </w:tblPrEx>
        <w:trPr>
          <w:trHeight w:val="300" w:hRule="atLeast"/>
        </w:trPr>
        <w:tc>
          <w:tcPr>
            <w:tcW w:w="152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行政复议</w:t>
            </w:r>
          </w:p>
        </w:tc>
        <w:tc>
          <w:tcPr>
            <w:tcW w:w="3478" w:type="pct"/>
            <w:gridSpan w:val="10"/>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行政诉讼</w:t>
            </w:r>
          </w:p>
        </w:tc>
      </w:tr>
      <w:tr>
        <w:tblPrEx>
          <w:tblCellMar>
            <w:top w:w="0" w:type="dxa"/>
            <w:left w:w="108" w:type="dxa"/>
            <w:bottom w:w="0" w:type="dxa"/>
            <w:right w:w="108" w:type="dxa"/>
          </w:tblCellMar>
        </w:tblPrEx>
        <w:trPr>
          <w:trHeight w:val="300" w:hRule="atLeast"/>
        </w:trPr>
        <w:tc>
          <w:tcPr>
            <w:tcW w:w="30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维持</w:t>
            </w:r>
          </w:p>
        </w:tc>
        <w:tc>
          <w:tcPr>
            <w:tcW w:w="24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纠正</w:t>
            </w:r>
          </w:p>
        </w:tc>
        <w:tc>
          <w:tcPr>
            <w:tcW w:w="27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结果</w:t>
            </w:r>
          </w:p>
        </w:tc>
        <w:tc>
          <w:tcPr>
            <w:tcW w:w="34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尚未</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审结</w:t>
            </w:r>
          </w:p>
        </w:tc>
        <w:tc>
          <w:tcPr>
            <w:tcW w:w="34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总计</w:t>
            </w:r>
          </w:p>
        </w:tc>
        <w:tc>
          <w:tcPr>
            <w:tcW w:w="1754"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未经复议直接起诉</w:t>
            </w:r>
          </w:p>
        </w:tc>
        <w:tc>
          <w:tcPr>
            <w:tcW w:w="1724"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复议后起诉</w:t>
            </w:r>
          </w:p>
        </w:tc>
      </w:tr>
      <w:tr>
        <w:tblPrEx>
          <w:tblCellMar>
            <w:top w:w="0" w:type="dxa"/>
            <w:left w:w="108" w:type="dxa"/>
            <w:bottom w:w="0" w:type="dxa"/>
            <w:right w:w="108" w:type="dxa"/>
          </w:tblCellMar>
        </w:tblPrEx>
        <w:trPr>
          <w:trHeight w:val="570" w:hRule="atLeast"/>
        </w:trPr>
        <w:tc>
          <w:tcPr>
            <w:tcW w:w="30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7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34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34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28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维持</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纠正</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结果</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尚未</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审结</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总计</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维持</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结果</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纠正</w:t>
            </w:r>
          </w:p>
        </w:tc>
        <w:tc>
          <w:tcPr>
            <w:tcW w:w="32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结果</w:t>
            </w:r>
          </w:p>
        </w:tc>
        <w:tc>
          <w:tcPr>
            <w:tcW w:w="300"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尚未</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审结</w:t>
            </w:r>
          </w:p>
        </w:tc>
        <w:tc>
          <w:tcPr>
            <w:tcW w:w="36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总计</w:t>
            </w:r>
          </w:p>
        </w:tc>
      </w:tr>
      <w:tr>
        <w:tblPrEx>
          <w:tblCellMar>
            <w:top w:w="0" w:type="dxa"/>
            <w:left w:w="108" w:type="dxa"/>
            <w:bottom w:w="0" w:type="dxa"/>
            <w:right w:w="108" w:type="dxa"/>
          </w:tblCellMar>
        </w:tblPrEx>
        <w:trPr>
          <w:trHeight w:val="58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7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28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2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0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3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r>
    </w:tbl>
    <w:p>
      <w:pPr>
        <w:shd w:val="solid" w:color="FFFFFF" w:fill="auto"/>
        <w:autoSpaceDN w:val="0"/>
        <w:spacing w:before="156" w:beforeLines="50" w:line="560" w:lineRule="exact"/>
        <w:ind w:firstLine="640" w:firstLineChars="200"/>
        <w:textAlignment w:val="center"/>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五、存在的主要问题及改进情况</w:t>
      </w:r>
    </w:p>
    <w:p>
      <w:pPr>
        <w:shd w:val="solid" w:color="FFFFFF" w:fill="auto"/>
        <w:autoSpaceDN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广州市气象局政府信息公开工作取得了一定成效，但仍存在一些问题：一是对下属单位政府信息公开工作指导不够到位，部分单位对政府信息公开政策了解不够；二是主动公开类公文解读形式需要进一步丰富，目前多局限于文字解读，少有视频、图片等形式解读。</w:t>
      </w:r>
    </w:p>
    <w:p>
      <w:pPr>
        <w:shd w:val="solid" w:color="FFFFFF" w:fill="auto"/>
        <w:autoSpaceDN w:val="0"/>
        <w:spacing w:line="560" w:lineRule="exact"/>
        <w:ind w:firstLine="640" w:firstLineChars="200"/>
        <w:rPr>
          <w:rFonts w:eastAsia="黑体"/>
          <w:bCs/>
          <w:color w:val="000000" w:themeColor="text1"/>
          <w:sz w:val="32"/>
          <w:shd w:val="clear" w:color="auto" w:fill="FFFFFF"/>
          <w14:textFill>
            <w14:solidFill>
              <w14:schemeClr w14:val="tx1"/>
            </w14:solidFill>
          </w14:textFill>
        </w:rPr>
      </w:pPr>
      <w:r>
        <w:rPr>
          <w:rFonts w:eastAsia="黑体"/>
          <w:bCs/>
          <w:color w:val="000000" w:themeColor="text1"/>
          <w:sz w:val="32"/>
          <w:shd w:val="clear" w:color="auto" w:fill="FFFFFF"/>
          <w14:textFill>
            <w14:solidFill>
              <w14:schemeClr w14:val="tx1"/>
            </w14:solidFill>
          </w14:textFill>
        </w:rPr>
        <w:t>六、其他需要报告的事项</w:t>
      </w:r>
    </w:p>
    <w:p>
      <w:pPr>
        <w:spacing w:line="560" w:lineRule="exact"/>
        <w:ind w:firstLine="640" w:firstLineChars="200"/>
        <w:rPr>
          <w:color w:val="000000" w:themeColor="text1"/>
          <w14:textFill>
            <w14:solidFill>
              <w14:schemeClr w14:val="tx1"/>
            </w14:solidFill>
          </w14:textFill>
        </w:rPr>
      </w:pPr>
      <w:r>
        <w:rPr>
          <w:rFonts w:hint="eastAsia" w:eastAsia="仿宋_GB2312"/>
          <w:color w:val="000000" w:themeColor="text1"/>
          <w:sz w:val="32"/>
          <w:shd w:val="clear" w:color="auto" w:fill="FFFFFF"/>
          <w14:textFill>
            <w14:solidFill>
              <w14:schemeClr w14:val="tx1"/>
            </w14:solidFill>
          </w14:textFill>
        </w:rPr>
        <w:t>本单位</w:t>
      </w:r>
      <w:r>
        <w:rPr>
          <w:rFonts w:hint="eastAsia" w:eastAsia="仿宋_GB2312"/>
          <w:color w:val="000000" w:themeColor="text1"/>
          <w:sz w:val="32"/>
          <w:shd w:val="clear" w:color="auto" w:fill="FFFFFF"/>
          <w:lang w:val="en-US" w:eastAsia="zh-CN"/>
          <w14:textFill>
            <w14:solidFill>
              <w14:schemeClr w14:val="tx1"/>
            </w14:solidFill>
          </w14:textFill>
        </w:rPr>
        <w:t>2021</w:t>
      </w:r>
      <w:r>
        <w:rPr>
          <w:rFonts w:hint="eastAsia" w:eastAsia="仿宋_GB2312"/>
          <w:color w:val="000000" w:themeColor="text1"/>
          <w:sz w:val="32"/>
          <w:shd w:val="clear" w:color="auto" w:fill="FFFFFF"/>
          <w14:textFill>
            <w14:solidFill>
              <w14:schemeClr w14:val="tx1"/>
            </w14:solidFill>
          </w14:textFill>
        </w:rPr>
        <w:t>年度没有收取信息处理费用情况</w:t>
      </w:r>
      <w:bookmarkStart w:id="0" w:name="_GoBack"/>
      <w:bookmarkEnd w:id="0"/>
      <w:r>
        <w:rPr>
          <w:rFonts w:hint="eastAsia" w:eastAsia="仿宋_GB2312"/>
          <w:color w:val="000000" w:themeColor="text1"/>
          <w:sz w:val="32"/>
          <w:shd w:val="clear" w:color="auto" w:fill="FFFFFF"/>
          <w14:textFill>
            <w14:solidFill>
              <w14:schemeClr w14:val="tx1"/>
            </w14:solidFill>
          </w14:textFill>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Pr>
    <w:r>
      <w:fldChar w:fldCharType="begin"/>
    </w:r>
    <w:r>
      <w:rPr>
        <w:rStyle w:val="7"/>
      </w:rPr>
      <w:instrText xml:space="preserve"> PAGE  </w:instrText>
    </w:r>
    <w:r>
      <w:fldChar w:fldCharType="separate"/>
    </w:r>
    <w:r>
      <w:rPr>
        <w:rStyle w:val="7"/>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B514A"/>
    <w:rsid w:val="001308C8"/>
    <w:rsid w:val="00227315"/>
    <w:rsid w:val="0024206F"/>
    <w:rsid w:val="005414A0"/>
    <w:rsid w:val="00554B87"/>
    <w:rsid w:val="00623E71"/>
    <w:rsid w:val="006D4112"/>
    <w:rsid w:val="007516FF"/>
    <w:rsid w:val="00A023AF"/>
    <w:rsid w:val="00A66381"/>
    <w:rsid w:val="00C47757"/>
    <w:rsid w:val="00D9335B"/>
    <w:rsid w:val="00E1350D"/>
    <w:rsid w:val="00EE6355"/>
    <w:rsid w:val="00FD6FF8"/>
    <w:rsid w:val="16FB514A"/>
    <w:rsid w:val="32047908"/>
    <w:rsid w:val="4E4C6B77"/>
    <w:rsid w:val="5497079F"/>
    <w:rsid w:val="6273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eastAsia="宋体" w:cs="Times New Roman"/>
      <w:kern w:val="2"/>
      <w:sz w:val="18"/>
      <w:lang w:val="en-US" w:eastAsia="zh-CN" w:bidi="ar-SA"/>
    </w:rPr>
  </w:style>
  <w:style w:type="paragraph" w:styleId="4">
    <w:name w:val="Normal (Web)"/>
    <w:unhideWhenUsed/>
    <w:qFormat/>
    <w:uiPriority w:val="99"/>
    <w:pPr>
      <w:spacing w:before="100" w:beforeAutospacing="1" w:after="100" w:afterAutospacing="1"/>
    </w:pPr>
    <w:rPr>
      <w:rFonts w:ascii="宋体" w:hAnsi="宋体" w:eastAsia="宋体" w:cs="宋体"/>
      <w:sz w:val="24"/>
      <w:szCs w:val="24"/>
      <w:lang w:val="en-US" w:eastAsia="zh-CN" w:bidi="ar-SA"/>
    </w:rPr>
  </w:style>
  <w:style w:type="character" w:styleId="7">
    <w:name w:val="page number"/>
    <w:qFormat/>
    <w:uiPriority w:val="0"/>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2390</Words>
  <Characters>2471</Characters>
  <Lines>20</Lines>
  <Paragraphs>5</Paragraphs>
  <TotalTime>11</TotalTime>
  <ScaleCrop>false</ScaleCrop>
  <LinksUpToDate>false</LinksUpToDate>
  <CharactersWithSpaces>2473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2021-01-18T01:19:00Z</dcterms:created>
  <dc:creator>陈碧强(拟稿)</dc:creator>
  <cp:lastModifiedBy>Victor</cp:lastModifiedBy>
  <dcterms:modified xsi:type="dcterms:W3CDTF">2022-03-22T03:04:45Z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D3ACB462BD3F4868BDF8972334248710</vt:lpwstr>
  </property>
</Properties>
</file>