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40" w:lineRule="exact"/>
        <w:ind w:firstLine="684" w:firstLineChars="200"/>
        <w:rPr>
          <w:rFonts w:ascii="宋体" w:hAnsi="宋体" w:eastAsia="仿宋_GB2312" w:cs="仿宋_GB2312"/>
          <w:spacing w:val="11"/>
          <w:sz w:val="32"/>
          <w:szCs w:val="32"/>
        </w:rPr>
      </w:pPr>
    </w:p>
    <w:p>
      <w:pPr>
        <w:pStyle w:val="11"/>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南海区气象局20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年度权责清单（含行政许可）的实施和监督管理情况报告</w:t>
      </w:r>
    </w:p>
    <w:p>
      <w:pPr>
        <w:pStyle w:val="11"/>
        <w:spacing w:line="540" w:lineRule="exact"/>
        <w:ind w:firstLine="684" w:firstLineChars="200"/>
        <w:rPr>
          <w:rFonts w:ascii="宋体" w:hAnsi="宋体" w:eastAsia="仿宋_GB2312" w:cs="仿宋_GB2312"/>
          <w:spacing w:val="11"/>
          <w:sz w:val="32"/>
          <w:szCs w:val="32"/>
        </w:rPr>
      </w:pPr>
    </w:p>
    <w:p>
      <w:pPr>
        <w:pStyle w:val="11"/>
        <w:spacing w:line="540" w:lineRule="exact"/>
        <w:rPr>
          <w:rFonts w:ascii="仿宋" w:hAnsi="仿宋" w:eastAsia="仿宋" w:cs="仿宋"/>
          <w:spacing w:val="11"/>
          <w:sz w:val="32"/>
          <w:szCs w:val="32"/>
        </w:rPr>
      </w:pPr>
      <w:r>
        <w:rPr>
          <w:rFonts w:hint="eastAsia" w:ascii="仿宋" w:hAnsi="仿宋" w:eastAsia="仿宋" w:cs="仿宋"/>
          <w:spacing w:val="11"/>
          <w:sz w:val="32"/>
          <w:szCs w:val="32"/>
        </w:rPr>
        <w:t>区审改办：</w:t>
      </w:r>
    </w:p>
    <w:p>
      <w:pPr>
        <w:pStyle w:val="11"/>
        <w:spacing w:line="540" w:lineRule="exact"/>
        <w:ind w:firstLine="684" w:firstLineChars="200"/>
        <w:rPr>
          <w:rFonts w:ascii="仿宋" w:hAnsi="仿宋" w:eastAsia="仿宋" w:cs="仿宋"/>
          <w:spacing w:val="11"/>
          <w:sz w:val="32"/>
          <w:szCs w:val="32"/>
        </w:rPr>
      </w:pPr>
      <w:r>
        <w:rPr>
          <w:rFonts w:hint="eastAsia" w:ascii="仿宋" w:hAnsi="仿宋" w:eastAsia="仿宋" w:cs="仿宋"/>
          <w:spacing w:val="11"/>
          <w:sz w:val="32"/>
          <w:szCs w:val="32"/>
        </w:rPr>
        <w:t>根据《广东省行政许可监督管理条例》第四十条规定和《佛山市权责清单监督管理办法》第三十二条规定，现将我单位20</w:t>
      </w:r>
      <w:r>
        <w:rPr>
          <w:rFonts w:hint="eastAsia" w:ascii="仿宋" w:hAnsi="仿宋" w:eastAsia="仿宋" w:cs="仿宋"/>
          <w:spacing w:val="11"/>
          <w:sz w:val="32"/>
          <w:szCs w:val="32"/>
          <w:lang w:val="en-US" w:eastAsia="zh-CN"/>
        </w:rPr>
        <w:t>20</w:t>
      </w:r>
      <w:r>
        <w:rPr>
          <w:rFonts w:hint="eastAsia" w:ascii="仿宋" w:hAnsi="仿宋" w:eastAsia="仿宋" w:cs="仿宋"/>
          <w:spacing w:val="11"/>
          <w:sz w:val="32"/>
          <w:szCs w:val="32"/>
        </w:rPr>
        <w:t>年权责清单（含行政许可）的实施和监督管理情况报告如下：</w:t>
      </w:r>
    </w:p>
    <w:p>
      <w:pPr>
        <w:pStyle w:val="11"/>
        <w:spacing w:line="540" w:lineRule="exact"/>
        <w:ind w:firstLine="684" w:firstLineChars="200"/>
        <w:rPr>
          <w:rFonts w:ascii="宋体" w:hAnsi="宋体" w:eastAsia="黑体" w:cs="黑体"/>
          <w:spacing w:val="11"/>
          <w:sz w:val="32"/>
          <w:szCs w:val="32"/>
        </w:rPr>
      </w:pPr>
      <w:r>
        <w:rPr>
          <w:rFonts w:hint="eastAsia" w:ascii="宋体" w:hAnsi="宋体" w:eastAsia="黑体" w:cs="黑体"/>
          <w:spacing w:val="11"/>
          <w:sz w:val="32"/>
          <w:szCs w:val="32"/>
        </w:rPr>
        <w:t>一、基本情况</w:t>
      </w:r>
    </w:p>
    <w:p>
      <w:pPr>
        <w:pStyle w:val="11"/>
        <w:spacing w:line="540" w:lineRule="exact"/>
        <w:ind w:firstLine="687" w:firstLineChars="200"/>
        <w:rPr>
          <w:rFonts w:ascii="楷体" w:hAnsi="楷体" w:eastAsia="楷体" w:cs="楷体"/>
          <w:b/>
          <w:bCs/>
          <w:spacing w:val="11"/>
          <w:sz w:val="32"/>
          <w:szCs w:val="32"/>
        </w:rPr>
      </w:pPr>
      <w:r>
        <w:rPr>
          <w:rFonts w:hint="eastAsia" w:ascii="楷体" w:hAnsi="楷体" w:eastAsia="楷体" w:cs="楷体"/>
          <w:b/>
          <w:bCs/>
          <w:spacing w:val="11"/>
          <w:sz w:val="32"/>
          <w:szCs w:val="32"/>
        </w:rPr>
        <w:t>（一）现有事项及办理情况。</w:t>
      </w:r>
    </w:p>
    <w:p>
      <w:pPr>
        <w:pStyle w:val="11"/>
        <w:spacing w:line="540" w:lineRule="exact"/>
        <w:ind w:firstLine="684" w:firstLineChars="200"/>
        <w:rPr>
          <w:rFonts w:hint="eastAsia" w:ascii="仿宋" w:hAnsi="仿宋" w:eastAsia="仿宋" w:cs="仿宋"/>
          <w:spacing w:val="11"/>
          <w:sz w:val="32"/>
          <w:szCs w:val="32"/>
        </w:rPr>
      </w:pPr>
      <w:r>
        <w:rPr>
          <w:rFonts w:hint="eastAsia" w:ascii="仿宋" w:hAnsi="仿宋" w:eastAsia="仿宋" w:cs="仿宋"/>
          <w:spacing w:val="11"/>
          <w:sz w:val="32"/>
          <w:szCs w:val="32"/>
          <w:lang w:val="en-US" w:eastAsia="zh-CN"/>
        </w:rPr>
        <w:t>1.</w:t>
      </w:r>
      <w:r>
        <w:rPr>
          <w:rFonts w:hint="eastAsia" w:ascii="仿宋" w:hAnsi="仿宋" w:eastAsia="仿宋" w:cs="仿宋"/>
          <w:spacing w:val="11"/>
          <w:sz w:val="32"/>
          <w:szCs w:val="32"/>
        </w:rPr>
        <w:t>（1）现有事项</w:t>
      </w:r>
    </w:p>
    <w:p>
      <w:pPr>
        <w:pStyle w:val="11"/>
        <w:spacing w:line="540" w:lineRule="exact"/>
        <w:ind w:firstLine="684" w:firstLineChars="200"/>
        <w:rPr>
          <w:rFonts w:hint="eastAsia" w:ascii="仿宋" w:hAnsi="仿宋" w:eastAsia="仿宋" w:cs="仿宋"/>
          <w:spacing w:val="11"/>
          <w:sz w:val="32"/>
          <w:szCs w:val="32"/>
        </w:rPr>
      </w:pPr>
      <w:r>
        <w:rPr>
          <w:rFonts w:hint="eastAsia" w:ascii="仿宋" w:hAnsi="仿宋" w:eastAsia="仿宋" w:cs="仿宋"/>
          <w:spacing w:val="11"/>
          <w:sz w:val="32"/>
          <w:szCs w:val="32"/>
        </w:rPr>
        <w:t>本单位20</w:t>
      </w:r>
      <w:r>
        <w:rPr>
          <w:rFonts w:hint="eastAsia" w:ascii="仿宋" w:hAnsi="仿宋" w:eastAsia="仿宋" w:cs="仿宋"/>
          <w:spacing w:val="11"/>
          <w:sz w:val="32"/>
          <w:szCs w:val="32"/>
          <w:lang w:val="en-US" w:eastAsia="zh-CN"/>
        </w:rPr>
        <w:t>20</w:t>
      </w:r>
      <w:r>
        <w:rPr>
          <w:rFonts w:hint="eastAsia" w:ascii="仿宋" w:hAnsi="仿宋" w:eastAsia="仿宋" w:cs="仿宋"/>
          <w:spacing w:val="11"/>
          <w:sz w:val="32"/>
          <w:szCs w:val="32"/>
        </w:rPr>
        <w:t>年实施的行政许可审批事项，</w:t>
      </w:r>
      <w:r>
        <w:rPr>
          <w:rFonts w:hint="eastAsia" w:ascii="仿宋" w:hAnsi="仿宋" w:eastAsia="仿宋" w:cs="仿宋"/>
          <w:spacing w:val="11"/>
          <w:sz w:val="32"/>
          <w:szCs w:val="32"/>
          <w:lang w:eastAsia="zh-CN"/>
        </w:rPr>
        <w:t>只有</w:t>
      </w:r>
      <w:r>
        <w:rPr>
          <w:rFonts w:hint="eastAsia" w:ascii="仿宋" w:hAnsi="仿宋" w:eastAsia="仿宋" w:cs="仿宋"/>
          <w:spacing w:val="11"/>
          <w:sz w:val="32"/>
          <w:szCs w:val="32"/>
        </w:rPr>
        <w:t>3个行政许可事项，非行政许可审批事项0项，均已纳入《广东省行政审批事项目录》。</w:t>
      </w:r>
    </w:p>
    <w:p>
      <w:pPr>
        <w:pStyle w:val="11"/>
        <w:spacing w:line="540" w:lineRule="exact"/>
        <w:ind w:firstLine="684" w:firstLineChars="200"/>
        <w:rPr>
          <w:rFonts w:hint="eastAsia" w:ascii="仿宋" w:hAnsi="仿宋" w:eastAsia="仿宋" w:cs="仿宋"/>
          <w:spacing w:val="11"/>
          <w:sz w:val="32"/>
          <w:szCs w:val="32"/>
        </w:rPr>
      </w:pPr>
      <w:r>
        <w:rPr>
          <w:rFonts w:hint="eastAsia" w:ascii="仿宋" w:hAnsi="仿宋" w:eastAsia="仿宋" w:cs="仿宋"/>
          <w:spacing w:val="11"/>
          <w:sz w:val="32"/>
          <w:szCs w:val="32"/>
        </w:rPr>
        <w:t>20</w:t>
      </w:r>
      <w:r>
        <w:rPr>
          <w:rFonts w:hint="eastAsia" w:ascii="仿宋" w:hAnsi="仿宋" w:eastAsia="仿宋" w:cs="仿宋"/>
          <w:spacing w:val="11"/>
          <w:sz w:val="32"/>
          <w:szCs w:val="32"/>
          <w:lang w:val="en-US" w:eastAsia="zh-CN"/>
        </w:rPr>
        <w:t>20</w:t>
      </w:r>
      <w:r>
        <w:rPr>
          <w:rFonts w:hint="eastAsia" w:ascii="仿宋" w:hAnsi="仿宋" w:eastAsia="仿宋" w:cs="仿宋"/>
          <w:spacing w:val="11"/>
          <w:sz w:val="32"/>
          <w:szCs w:val="32"/>
        </w:rPr>
        <w:t>行政许可审批事项3项分别为：（1）防雷装置设计审核；（2）防雷装置竣工验收；（3）升放无人驾驶自由气球、系留气球活动审批。</w:t>
      </w:r>
    </w:p>
    <w:p>
      <w:pPr>
        <w:pStyle w:val="11"/>
        <w:numPr>
          <w:ilvl w:val="0"/>
          <w:numId w:val="1"/>
        </w:numPr>
        <w:spacing w:line="540" w:lineRule="exact"/>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权责清单</w:t>
      </w:r>
    </w:p>
    <w:p>
      <w:pPr>
        <w:pStyle w:val="11"/>
        <w:numPr>
          <w:ilvl w:val="0"/>
          <w:numId w:val="1"/>
        </w:numPr>
        <w:spacing w:line="540" w:lineRule="exact"/>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权责清单列表：行政许可审批事项有3项，行政处罚有23项，行政强制有3项，行政检查有6项，行政确认有1项。</w:t>
      </w:r>
    </w:p>
    <w:p>
      <w:pPr>
        <w:pStyle w:val="11"/>
        <w:numPr>
          <w:ilvl w:val="0"/>
          <w:numId w:val="0"/>
        </w:numPr>
        <w:spacing w:line="540" w:lineRule="exact"/>
        <w:ind w:firstLine="684"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2.办理情况</w:t>
      </w:r>
    </w:p>
    <w:p>
      <w:pPr>
        <w:pStyle w:val="11"/>
        <w:numPr>
          <w:ilvl w:val="0"/>
          <w:numId w:val="0"/>
        </w:numPr>
        <w:spacing w:line="540" w:lineRule="exact"/>
        <w:ind w:firstLine="684"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（1）继续做好防雷优化</w:t>
      </w:r>
    </w:p>
    <w:p>
      <w:pPr>
        <w:pStyle w:val="11"/>
        <w:numPr>
          <w:ilvl w:val="0"/>
          <w:numId w:val="0"/>
        </w:numPr>
        <w:spacing w:line="540" w:lineRule="exact"/>
        <w:ind w:firstLine="684"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为贯彻落实《广东省人民政府关于印发广东省企业投资项目分类管理和落地便利化改革实施方案的通知》（粤府〔2018〕127号）、《广东省人民政府关于印发广东省全面开展工程建设项目审批制度改革实施方案的通知》（粤府〔2019〕49号）要求，进一步优化防雷行政许可，为企业和群众提供便利化服务,我局拟对防雷装置设计审核和竣工验收许可事项办理相关材料作以下调整：</w:t>
      </w:r>
    </w:p>
    <w:p>
      <w:pPr>
        <w:pStyle w:val="11"/>
        <w:numPr>
          <w:ilvl w:val="0"/>
          <w:numId w:val="0"/>
        </w:numPr>
        <w:spacing w:line="540" w:lineRule="exact"/>
        <w:ind w:firstLine="684"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取消：防雷装置设计审核的申请材料“总规划平面图或建设证明文件”；</w:t>
      </w:r>
    </w:p>
    <w:p>
      <w:pPr>
        <w:pStyle w:val="11"/>
        <w:numPr>
          <w:ilvl w:val="0"/>
          <w:numId w:val="0"/>
        </w:numPr>
        <w:spacing w:line="540" w:lineRule="exact"/>
        <w:ind w:firstLine="684"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防雷装置竣工验收的申请材料“防雷产品安装记录”“防雷装置设计核准意见书”。</w:t>
      </w:r>
    </w:p>
    <w:p>
      <w:pPr>
        <w:pStyle w:val="11"/>
        <w:numPr>
          <w:ilvl w:val="0"/>
          <w:numId w:val="0"/>
        </w:numPr>
        <w:spacing w:line="540" w:lineRule="exact"/>
        <w:ind w:firstLine="684"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（2）更新落实省局关于防雷设计审核增加一个告知承诺情形</w:t>
      </w:r>
    </w:p>
    <w:p>
      <w:pPr>
        <w:pStyle w:val="11"/>
        <w:numPr>
          <w:ilvl w:val="0"/>
          <w:numId w:val="0"/>
        </w:numPr>
        <w:spacing w:line="540" w:lineRule="exact"/>
        <w:ind w:firstLine="684" w:firstLineChars="200"/>
        <w:rPr>
          <w:rFonts w:hint="eastAsia" w:ascii="仿宋" w:hAnsi="仿宋" w:eastAsia="仿宋" w:cs="仿宋"/>
          <w:spacing w:val="11"/>
          <w:sz w:val="32"/>
          <w:szCs w:val="32"/>
          <w:lang w:val="en-US" w:eastAsia="zh-CN"/>
        </w:rPr>
      </w:pPr>
      <w:r>
        <w:rPr>
          <w:rFonts w:hint="eastAsia" w:ascii="仿宋" w:hAnsi="仿宋" w:eastAsia="仿宋" w:cs="仿宋"/>
          <w:spacing w:val="11"/>
          <w:sz w:val="32"/>
          <w:szCs w:val="32"/>
          <w:lang w:val="en-US" w:eastAsia="zh-CN"/>
        </w:rPr>
        <w:t xml:space="preserve"> 3月份省局发文防雷规范手册，已完成更新广东省政务服务网上事项信息修订，在设计审核事项上增加一个告知承诺情形；将设计审核默认情形，设计审核告知承诺情形，竣工验收等表格重新上传广东省政务服务网并发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84" w:firstLineChars="200"/>
        <w:jc w:val="both"/>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2020年，经统计，我局受理防雷设计审核18宗，竣工验收17宗，并协助区住建部门完成防雷装置竣工验收7宗，网上申报率100%，及时办结率100%，群众满意率100%，没有发生有效投诉。另外，根据《关于加强施放气球管理的通告》（佛府〔2009〕120号）的规定，佛山市南海区、被依法划设为佛山机场净空保护区域，在此区域内禁止施放无人驾驶自由气球或者系留气球（国家另有规定除外）。对于申请在南海区范围内开展施放气球活动，我局将不予审批。因此，我局的 “升放无人驾驶自由气球、系留气球活动审批”事项受理量一直为零。</w:t>
      </w:r>
    </w:p>
    <w:p>
      <w:pPr>
        <w:pStyle w:val="11"/>
        <w:spacing w:line="540" w:lineRule="exact"/>
        <w:rPr>
          <w:rFonts w:hint="eastAsia" w:ascii="仿宋" w:hAnsi="仿宋" w:eastAsia="仿宋" w:cs="仿宋"/>
          <w:spacing w:val="11"/>
          <w:kern w:val="2"/>
          <w:sz w:val="32"/>
          <w:szCs w:val="32"/>
          <w:lang w:val="en-US" w:eastAsia="zh-CN" w:bidi="ar-SA"/>
        </w:rPr>
      </w:pPr>
      <w:r>
        <w:rPr>
          <w:rFonts w:hint="eastAsia" w:ascii="楷体" w:hAnsi="楷体" w:eastAsia="楷体" w:cs="楷体"/>
          <w:b/>
          <w:bCs/>
          <w:spacing w:val="11"/>
          <w:sz w:val="32"/>
          <w:szCs w:val="32"/>
        </w:rPr>
        <w:tab/>
      </w:r>
      <w:r>
        <w:rPr>
          <w:rFonts w:hint="eastAsia" w:ascii="仿宋" w:hAnsi="仿宋" w:eastAsia="仿宋" w:cs="仿宋"/>
          <w:b/>
          <w:bCs/>
          <w:spacing w:val="11"/>
          <w:kern w:val="2"/>
          <w:sz w:val="32"/>
          <w:szCs w:val="32"/>
          <w:lang w:val="en-US" w:eastAsia="zh-CN" w:bidi="ar-SA"/>
        </w:rPr>
        <w:t>（二）依法实施情况。</w:t>
      </w:r>
    </w:p>
    <w:p>
      <w:pPr>
        <w:keepNext w:val="0"/>
        <w:keepLines w:val="0"/>
        <w:pageBreakBefore w:val="0"/>
        <w:widowControl/>
        <w:numPr>
          <w:ilvl w:val="0"/>
          <w:numId w:val="2"/>
        </w:numPr>
        <w:kinsoku/>
        <w:wordWrap/>
        <w:overflowPunct/>
        <w:topLinePunct w:val="0"/>
        <w:autoSpaceDE/>
        <w:autoSpaceDN/>
        <w:bidi w:val="0"/>
        <w:adjustRightInd/>
        <w:snapToGrid/>
        <w:spacing w:after="0" w:afterLines="0" w:line="560" w:lineRule="atLeast"/>
        <w:ind w:left="17" w:leftChars="8" w:right="0" w:rightChars="0" w:firstLine="619" w:firstLineChars="181"/>
        <w:jc w:val="left"/>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加强对</w:t>
      </w:r>
      <w:bookmarkStart w:id="0" w:name="_GoBack"/>
      <w:bookmarkEnd w:id="0"/>
      <w:r>
        <w:rPr>
          <w:rFonts w:hint="eastAsia" w:ascii="仿宋" w:hAnsi="仿宋" w:eastAsia="仿宋" w:cs="仿宋"/>
          <w:spacing w:val="11"/>
          <w:kern w:val="2"/>
          <w:sz w:val="32"/>
          <w:szCs w:val="32"/>
          <w:lang w:val="en-US" w:eastAsia="zh-CN" w:bidi="ar-SA"/>
        </w:rPr>
        <w:t>重点单位气象灾害防御单位专项执法</w:t>
      </w:r>
      <w:r>
        <w:rPr>
          <w:rFonts w:hint="eastAsia" w:ascii="仿宋" w:hAnsi="仿宋" w:eastAsia="仿宋" w:cs="仿宋"/>
          <w:spacing w:val="11"/>
          <w:kern w:val="2"/>
          <w:sz w:val="32"/>
          <w:szCs w:val="32"/>
          <w:lang w:val="en-US" w:eastAsia="zh-CN" w:bidi="ar-SA"/>
        </w:rPr>
        <w:t xml:space="preserve"> </w:t>
      </w:r>
    </w:p>
    <w:p>
      <w:pPr>
        <w:keepNext w:val="0"/>
        <w:keepLines w:val="0"/>
        <w:pageBreakBefore w:val="0"/>
        <w:widowControl/>
        <w:numPr>
          <w:numId w:val="0"/>
        </w:numPr>
        <w:kinsoku/>
        <w:wordWrap/>
        <w:overflowPunct/>
        <w:topLinePunct w:val="0"/>
        <w:autoSpaceDE/>
        <w:autoSpaceDN/>
        <w:bidi w:val="0"/>
        <w:adjustRightInd/>
        <w:snapToGrid/>
        <w:spacing w:after="0" w:afterLines="0" w:line="560" w:lineRule="atLeast"/>
        <w:ind w:left="0" w:leftChars="0" w:right="0" w:rightChars="0" w:firstLine="684" w:firstLineChars="200"/>
        <w:jc w:val="left"/>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为贯彻落实《关于转发2020年广东省重点单位气象灾害防御专项执法检查工作方案的通知》（佛气〔2020〕43号）要求，结合近期区安委有关安全生产检查等的工作要求，迅速制定检查方案，专函向区应急管理局、区住房城乡建设局和水利局三部门发出《佛山市南海区气象局关于开展2020年重点单位气象灾害防御专项执法检查的函》，于7月15日开展了联合开展（区级初查）行动,并对区内房屋建筑和市政基础设施工程项目进行联合执法检查。检查重点为是否按规范进行防雷装置检测；防雷检测单位是否有进行跟踪检测；检测资料是否准确、齐全，若存在施工质量问题应开具整改意见书，责令防雷检测单位、施工单位按要求进行整改，排除隐患，确保工程质量。</w:t>
      </w:r>
    </w:p>
    <w:p>
      <w:pPr>
        <w:keepNext w:val="0"/>
        <w:keepLines w:val="0"/>
        <w:pageBreakBefore w:val="0"/>
        <w:widowControl/>
        <w:numPr>
          <w:ilvl w:val="0"/>
          <w:numId w:val="0"/>
        </w:numPr>
        <w:kinsoku/>
        <w:wordWrap/>
        <w:overflowPunct/>
        <w:topLinePunct w:val="0"/>
        <w:autoSpaceDE/>
        <w:autoSpaceDN/>
        <w:bidi w:val="0"/>
        <w:adjustRightInd/>
        <w:snapToGrid/>
        <w:spacing w:after="0" w:afterLines="0" w:line="560" w:lineRule="atLeast"/>
        <w:ind w:left="0" w:leftChars="0" w:right="0" w:rightChars="0" w:firstLine="684" w:firstLineChars="200"/>
        <w:jc w:val="left"/>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我局将进一步加大防雷检测行为管理的工作力度，通过多种方式开展监督检查，对存在问题的单位进行“回头看”，严格按照相关法律法规和技术规范、标准开展防雷装置检测活动，不断规范防雷装置检测行为，维护防雷检测活动的健康有序发展。</w:t>
      </w:r>
    </w:p>
    <w:p>
      <w:pPr>
        <w:pStyle w:val="11"/>
        <w:spacing w:line="540" w:lineRule="exact"/>
        <w:ind w:firstLine="684" w:firstLineChars="200"/>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2、积极开展我区规范防雷检测行为专项检查工作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42" w:firstLineChars="100"/>
        <w:jc w:val="both"/>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 xml:space="preserve">  为明确佛山市南海区内从事房屋建筑和市政基础设施工程雷电防护装置各方主体单位责任，规范检测企业的检测行为，提升雷电防护装置的施工质量，进一步做好我区雷电安全监管工作，根据《关于印发2020年广东省重点单位气象灾害防御专项执法检查工作方案的通知》（粤气〔2020〕34号）、《佛山市气象局 佛山市住房和城乡建设局关于印发房屋建筑和市政基础设施工程雷电防护装置检测技术指引的通知》（佛气〔2020〕44号）文件精神，于2020年10月20日开展全区范围内房屋建筑和市政基础设施工程防雷装置建设及检测行为监督联合检查行动,进一步督促房屋建筑和市政基础设施工程主体责任人落实工程雷电防护装置建设及检测主体责任，结合深化“放管服”改革，落实跨部门联合随机抽查工作，切实减少对工程施工活动的干预，实现“进一次门、查多项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84" w:firstLineChars="200"/>
        <w:jc w:val="both"/>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抽查全区范围内在建房屋建筑工程、市政基础设施工程。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84" w:firstLineChars="200"/>
        <w:jc w:val="both"/>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区气象局：主要对防雷装置检测机构检测行为进行监督检查；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84" w:firstLineChars="200"/>
        <w:jc w:val="both"/>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区住建水利局：主要对建设、设计、施工、监理等责任单位落实主体责任及施工现场进行监督检查。</w:t>
      </w:r>
    </w:p>
    <w:p>
      <w:pPr>
        <w:pStyle w:val="11"/>
        <w:spacing w:line="540" w:lineRule="exact"/>
        <w:ind w:firstLine="687" w:firstLineChars="200"/>
        <w:rPr>
          <w:rFonts w:ascii="楷体" w:hAnsi="楷体" w:eastAsia="楷体" w:cs="楷体"/>
          <w:b/>
          <w:bCs/>
          <w:spacing w:val="11"/>
          <w:sz w:val="32"/>
          <w:szCs w:val="32"/>
        </w:rPr>
      </w:pPr>
      <w:r>
        <w:rPr>
          <w:rFonts w:hint="eastAsia" w:ascii="楷体" w:hAnsi="楷体" w:eastAsia="楷体" w:cs="楷体"/>
          <w:b/>
          <w:bCs/>
          <w:spacing w:val="11"/>
          <w:sz w:val="32"/>
          <w:szCs w:val="32"/>
        </w:rPr>
        <w:t>（三）公开公示情况。</w:t>
      </w:r>
    </w:p>
    <w:p>
      <w:pPr>
        <w:pStyle w:val="11"/>
        <w:spacing w:line="540" w:lineRule="exact"/>
        <w:ind w:firstLine="684" w:firstLineChars="200"/>
        <w:rPr>
          <w:rFonts w:hint="eastAsia" w:ascii="仿宋" w:hAnsi="仿宋" w:eastAsia="仿宋" w:cs="仿宋"/>
          <w:spacing w:val="11"/>
          <w:sz w:val="32"/>
          <w:szCs w:val="32"/>
        </w:rPr>
      </w:pPr>
      <w:r>
        <w:rPr>
          <w:rFonts w:hint="eastAsia" w:ascii="仿宋" w:hAnsi="仿宋" w:eastAsia="仿宋" w:cs="仿宋"/>
          <w:spacing w:val="11"/>
          <w:sz w:val="32"/>
          <w:szCs w:val="32"/>
        </w:rPr>
        <w:t>（1）依法在佛山市南海区政务服务大厅公开公示实施主体、依据、程序、条件、期限、裁量标准、申请材料及办法、申请书格式文本、咨询投诉方式等信息；有关公开公示信息明确、细致；及时通过网上办事大厅向社会公开行政许可实施过程和结果，供群众查询。</w:t>
      </w:r>
    </w:p>
    <w:p>
      <w:pPr>
        <w:spacing w:line="600" w:lineRule="exact"/>
        <w:ind w:left="420" w:leftChars="200" w:firstLine="342" w:firstLineChars="100"/>
        <w:jc w:val="both"/>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（2） 佛山市南海区气象局工程建设项目审批制度改革工作落实情况</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firstLine="684" w:firstLineChars="200"/>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为深入贯彻落实《国务院办公厅关于全面开展工程建设项目审批制度改革的实施意见》（国办发[2019]11号）和《广东省人民政府关于印发广东省全面开展工程建设项目审批制度改革实施方案的通知》（粤府[2019]49号）要求，推进工程建设项目审批制度改革工作的落实情况，我局做了如下工作：</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一、做到四统一落实：</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firstLine="684" w:firstLineChars="200"/>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统一审批流程、统一信息数据平台、统一审批管理体系、统一监管方式,明确各审批阶段工作任务、具体措施及完成时限，压实工作责任，有效推进改革工作开展，工程建设项目审批制度改革是打造一流营商环境的重要内容，深化“放管服”改革的重要举措。</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二、落实工作情况：</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firstLine="684" w:firstLineChars="200"/>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结合我局情况，有防雷装置设计审核及防雷装置竣工验收纳入佛山市工程建设审批管理系统，实现工程类事项审批全部纳入，覆盖率达到100%。2020年3月16日参加佛山市南海区行政审批制度改革工作领导小组办公室关于工程建设项目审批管理系统升级培训和上线运行的视频连线培训，审批科全体人员都参加，并对工作做了部署和要求；2020年4月18日开始正式在新的系统上线启用，并在防雷装置设计审核事项增加了告知承诺情形，同时也优化了工程类事项的办事指南。</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三、实现流程全网办：</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firstLine="684" w:firstLineChars="200"/>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充分利用‘互联网+’手段，全面提升政务服务能力，智能审批、政务通办、一网通办，实现流程全网办，实现让数据多跑腿，群众少跑路，打造更优更好的营商环境。</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Chars="200" w:right="0" w:rightChars="0"/>
        <w:textAlignment w:val="auto"/>
        <w:outlineLvl w:val="9"/>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接下来，我局在巩固过去审批制度改革工作中取得成效的同时，要把工作重心集中到提高企业和群众对我局审批工作的满意度上来，真正使我局审批制度改革工作取得显著成效。</w:t>
      </w:r>
    </w:p>
    <w:p>
      <w:pPr>
        <w:pStyle w:val="11"/>
        <w:spacing w:line="540" w:lineRule="exact"/>
        <w:ind w:firstLine="687" w:firstLineChars="200"/>
        <w:rPr>
          <w:rFonts w:ascii="楷体" w:hAnsi="楷体" w:eastAsia="楷体" w:cs="楷体"/>
          <w:b/>
          <w:bCs/>
          <w:spacing w:val="11"/>
          <w:sz w:val="32"/>
          <w:szCs w:val="32"/>
        </w:rPr>
      </w:pPr>
      <w:r>
        <w:rPr>
          <w:rFonts w:hint="eastAsia" w:ascii="楷体" w:hAnsi="楷体" w:eastAsia="楷体" w:cs="楷体"/>
          <w:b/>
          <w:bCs/>
          <w:spacing w:val="11"/>
          <w:sz w:val="32"/>
          <w:szCs w:val="32"/>
        </w:rPr>
        <w:t>（四）监督管理情况。</w:t>
      </w:r>
    </w:p>
    <w:p>
      <w:pPr>
        <w:pStyle w:val="6"/>
        <w:widowControl/>
        <w:shd w:val="clear" w:color="auto" w:fill="FFFFFF"/>
        <w:spacing w:before="0" w:beforeAutospacing="0" w:after="0" w:afterAutospacing="0" w:line="600" w:lineRule="exact"/>
        <w:ind w:firstLine="600" w:firstLineChars="200"/>
        <w:jc w:val="both"/>
        <w:rPr>
          <w:rFonts w:hint="eastAsia"/>
          <w:kern w:val="2"/>
          <w:sz w:val="32"/>
        </w:rPr>
      </w:pPr>
      <w:r>
        <w:rPr>
          <w:rFonts w:hint="eastAsia" w:ascii="仿宋_GB2312" w:hAnsi="仿宋_GB2312" w:cs="仿宋_GB2312"/>
          <w:color w:val="000000"/>
          <w:sz w:val="30"/>
          <w:szCs w:val="30"/>
        </w:rPr>
        <w:t>严</w:t>
      </w:r>
      <w:r>
        <w:rPr>
          <w:rFonts w:hint="eastAsia"/>
          <w:kern w:val="2"/>
          <w:sz w:val="32"/>
        </w:rPr>
        <w:t>格执行行政审批首问责任制、一次告知制、岗位责任制、办事公开制、服务承诺制、同岗替补制等服务规范和监督考核标准，在审批过程中严格执行“一图、一表、一单、一规程”的廉政风险防控制度，自觉抵制防雷验收“红包”和“宴请”诱惑。所有审批业务均严格按照法定权限、法定程序和审批时限来开展，从没出现红牌或黄牌的现象，实现了“按时办结率100%、提前办结率100%、公众满意率100%的三达标，并按照要求做好“省防雷安全在线管理监督平台”的录入工作，接受省气象局的监督管理。</w:t>
      </w:r>
    </w:p>
    <w:p>
      <w:pPr>
        <w:pStyle w:val="6"/>
        <w:widowControl/>
        <w:shd w:val="clear" w:color="auto" w:fill="FFFFFF"/>
        <w:spacing w:before="0" w:beforeAutospacing="0" w:after="0" w:afterAutospacing="0" w:line="600" w:lineRule="exact"/>
        <w:ind w:firstLine="640" w:firstLineChars="200"/>
        <w:jc w:val="both"/>
        <w:rPr>
          <w:rFonts w:hint="eastAsia"/>
          <w:kern w:val="2"/>
          <w:sz w:val="32"/>
        </w:rPr>
      </w:pPr>
      <w:r>
        <w:rPr>
          <w:rFonts w:hint="eastAsia"/>
          <w:kern w:val="2"/>
          <w:sz w:val="32"/>
        </w:rPr>
        <w:t>全年无举报投诉。</w:t>
      </w:r>
    </w:p>
    <w:p>
      <w:pPr>
        <w:pStyle w:val="11"/>
        <w:spacing w:line="540" w:lineRule="exact"/>
        <w:ind w:firstLine="687" w:firstLineChars="200"/>
        <w:rPr>
          <w:rFonts w:ascii="楷体" w:hAnsi="楷体" w:eastAsia="楷体" w:cs="楷体"/>
          <w:b/>
          <w:bCs/>
          <w:spacing w:val="11"/>
          <w:sz w:val="32"/>
          <w:szCs w:val="32"/>
        </w:rPr>
      </w:pPr>
      <w:r>
        <w:rPr>
          <w:rFonts w:hint="eastAsia" w:ascii="楷体" w:hAnsi="楷体" w:eastAsia="楷体" w:cs="楷体"/>
          <w:b/>
          <w:bCs/>
          <w:spacing w:val="11"/>
          <w:sz w:val="32"/>
          <w:szCs w:val="32"/>
        </w:rPr>
        <w:t>（五）实施效果情况。</w:t>
      </w:r>
    </w:p>
    <w:p>
      <w:pPr>
        <w:pStyle w:val="11"/>
        <w:spacing w:line="540" w:lineRule="exact"/>
        <w:ind w:firstLine="684" w:firstLineChars="200"/>
        <w:rPr>
          <w:rFonts w:hint="eastAsia" w:ascii="仿宋" w:hAnsi="仿宋" w:eastAsia="仿宋" w:cs="仿宋"/>
          <w:spacing w:val="11"/>
          <w:sz w:val="32"/>
          <w:szCs w:val="32"/>
        </w:rPr>
      </w:pPr>
      <w:r>
        <w:rPr>
          <w:rFonts w:hint="eastAsia" w:ascii="仿宋" w:hAnsi="仿宋" w:eastAsia="仿宋" w:cs="仿宋"/>
          <w:spacing w:val="11"/>
          <w:sz w:val="32"/>
          <w:szCs w:val="32"/>
        </w:rPr>
        <w:t>各事项的实施达到设立行政许可时预期效果。不断优化和规范审批流程、方便行政相对人、提高审批效率，取得行政相对人较高的认可。在局领导高度重视领导下，以及科室领导和窗口工作人员的共同努力下，我局进驻政务中心的窗口以踏实的工作作风，规范的窗口服务，快捷的审批效能，圆满完成了各项工作任务。</w:t>
      </w:r>
    </w:p>
    <w:p>
      <w:pPr>
        <w:pStyle w:val="11"/>
        <w:numPr>
          <w:ilvl w:val="0"/>
          <w:numId w:val="3"/>
        </w:numPr>
        <w:spacing w:line="540" w:lineRule="exact"/>
        <w:ind w:firstLine="684" w:firstLineChars="200"/>
        <w:rPr>
          <w:rFonts w:hint="eastAsia" w:ascii="宋体" w:hAnsi="宋体" w:eastAsia="黑体" w:cs="黑体"/>
          <w:spacing w:val="11"/>
          <w:sz w:val="32"/>
          <w:szCs w:val="32"/>
        </w:rPr>
      </w:pPr>
      <w:r>
        <w:rPr>
          <w:rFonts w:hint="eastAsia" w:ascii="宋体" w:hAnsi="宋体" w:eastAsia="黑体" w:cs="黑体"/>
          <w:spacing w:val="11"/>
          <w:sz w:val="32"/>
          <w:szCs w:val="32"/>
        </w:rPr>
        <w:t>存在问题和困难</w:t>
      </w:r>
    </w:p>
    <w:p>
      <w:pPr>
        <w:ind w:firstLine="645"/>
        <w:rPr>
          <w:rFonts w:hint="eastAsia" w:ascii="仿宋" w:hAnsi="仿宋" w:eastAsia="仿宋" w:cs="仿宋"/>
          <w:spacing w:val="11"/>
          <w:kern w:val="2"/>
          <w:sz w:val="32"/>
          <w:szCs w:val="32"/>
          <w:lang w:val="en-US" w:eastAsia="zh-CN" w:bidi="ar-SA"/>
        </w:rPr>
      </w:pPr>
      <w:r>
        <w:rPr>
          <w:rFonts w:hint="eastAsia" w:ascii="仿宋" w:hAnsi="仿宋" w:eastAsia="仿宋" w:cs="仿宋"/>
          <w:spacing w:val="11"/>
          <w:kern w:val="2"/>
          <w:sz w:val="32"/>
          <w:szCs w:val="32"/>
          <w:lang w:val="en-US" w:eastAsia="zh-CN" w:bidi="ar-SA"/>
        </w:rPr>
        <w:t>企业主体对安全主体责任意识不明确和安全保障措施意识不强，需加强对防雷安全重点单位的防雷减灾知识培训，增强企业主体责任意识。</w:t>
      </w:r>
    </w:p>
    <w:p>
      <w:pPr>
        <w:pStyle w:val="11"/>
        <w:spacing w:line="540" w:lineRule="exact"/>
        <w:ind w:firstLine="643" w:firstLineChars="200"/>
        <w:rPr>
          <w:rFonts w:hint="eastAsia" w:ascii="仿宋" w:hAnsi="仿宋" w:eastAsia="仿宋"/>
          <w:b/>
          <w:bCs/>
          <w:sz w:val="32"/>
        </w:rPr>
      </w:pPr>
      <w:r>
        <w:rPr>
          <w:rFonts w:hint="eastAsia" w:ascii="仿宋" w:hAnsi="仿宋" w:eastAsia="仿宋"/>
          <w:b/>
          <w:bCs/>
          <w:sz w:val="32"/>
        </w:rPr>
        <w:t>三、下一步工作措施及有关建议</w:t>
      </w:r>
    </w:p>
    <w:p>
      <w:pPr>
        <w:pStyle w:val="11"/>
        <w:spacing w:line="540" w:lineRule="exact"/>
        <w:ind w:firstLine="640" w:firstLineChars="200"/>
        <w:rPr>
          <w:rFonts w:hint="eastAsia" w:ascii="仿宋" w:hAnsi="仿宋" w:eastAsia="仿宋"/>
          <w:sz w:val="32"/>
          <w:lang w:val="en-US" w:eastAsia="zh-CN"/>
        </w:rPr>
      </w:pPr>
      <w:r>
        <w:rPr>
          <w:rFonts w:hint="eastAsia" w:ascii="仿宋" w:hAnsi="仿宋" w:eastAsia="仿宋"/>
          <w:sz w:val="32"/>
          <w:lang w:eastAsia="zh-CN"/>
        </w:rPr>
        <w:t>继续做好行政许可事项的审批工作，完成审改办布置的任务，强化防雷减灾业务科技支撑，完善防雷安全监管制度，加强指导和督查，确保防雷安全监管职责落实到位，为防雷减灾，维护公共</w:t>
      </w:r>
      <w:r>
        <w:rPr>
          <w:rFonts w:hint="eastAsia" w:ascii="仿宋" w:hAnsi="仿宋" w:eastAsia="仿宋"/>
          <w:sz w:val="32"/>
        </w:rPr>
        <w:t>安全</w:t>
      </w:r>
      <w:r>
        <w:rPr>
          <w:rFonts w:hint="eastAsia" w:ascii="仿宋" w:hAnsi="仿宋" w:eastAsia="仿宋"/>
          <w:sz w:val="32"/>
          <w:lang w:eastAsia="zh-CN"/>
        </w:rPr>
        <w:t>，</w:t>
      </w:r>
      <w:r>
        <w:rPr>
          <w:rFonts w:hint="eastAsia" w:ascii="仿宋" w:hAnsi="仿宋" w:eastAsia="仿宋"/>
          <w:sz w:val="32"/>
          <w:lang w:val="en-US" w:eastAsia="zh-CN"/>
        </w:rPr>
        <w:t>保障经济发展和人民生命财产安全做好保驾护航。</w:t>
      </w:r>
    </w:p>
    <w:p>
      <w:pPr>
        <w:pStyle w:val="11"/>
        <w:spacing w:line="540" w:lineRule="exact"/>
        <w:ind w:firstLine="640" w:firstLineChars="200"/>
        <w:rPr>
          <w:rFonts w:hint="eastAsia" w:ascii="仿宋" w:hAnsi="仿宋" w:eastAsia="仿宋"/>
          <w:sz w:val="32"/>
          <w:lang w:val="en-US" w:eastAsia="zh-CN"/>
        </w:rPr>
      </w:pPr>
    </w:p>
    <w:p>
      <w:pPr>
        <w:pStyle w:val="11"/>
        <w:spacing w:line="540" w:lineRule="exact"/>
        <w:ind w:firstLine="684" w:firstLineChars="200"/>
        <w:rPr>
          <w:rFonts w:ascii="仿宋" w:hAnsi="仿宋" w:eastAsia="仿宋" w:cs="仿宋"/>
          <w:spacing w:val="11"/>
          <w:sz w:val="32"/>
          <w:szCs w:val="32"/>
        </w:rPr>
      </w:pPr>
      <w:r>
        <w:rPr>
          <w:rFonts w:hint="eastAsia" w:ascii="仿宋" w:hAnsi="仿宋" w:eastAsia="仿宋" w:cs="仿宋"/>
          <w:spacing w:val="11"/>
          <w:sz w:val="32"/>
          <w:szCs w:val="32"/>
        </w:rPr>
        <w:t>注：依申请类事项包括行政许可、行政征收、行政给付、行政奖励、行政裁决、行政确认、其他类别。依职权类事项包括行政处罚、行政强制、行政检查、其他类别。</w:t>
      </w:r>
    </w:p>
    <w:p>
      <w:pPr>
        <w:pStyle w:val="11"/>
        <w:spacing w:line="594" w:lineRule="exact"/>
        <w:ind w:firstLine="684" w:firstLineChars="200"/>
        <w:rPr>
          <w:rFonts w:ascii="仿宋" w:hAnsi="仿宋" w:eastAsia="仿宋" w:cs="仿宋"/>
          <w:spacing w:val="11"/>
          <w:sz w:val="32"/>
          <w:szCs w:val="32"/>
        </w:rPr>
      </w:pPr>
    </w:p>
    <w:p>
      <w:pPr>
        <w:pStyle w:val="11"/>
        <w:spacing w:line="594" w:lineRule="exact"/>
        <w:ind w:firstLine="684" w:firstLineChars="200"/>
        <w:rPr>
          <w:rFonts w:ascii="仿宋_GB2312" w:hAnsi="仿宋_GB2312" w:eastAsia="仿宋_GB2312" w:cs="仿宋_GB2312"/>
          <w:spacing w:val="11"/>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宋体serif">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YPE">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仿宋体">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文鼎CS细等线">
    <w:altName w:val="宋体"/>
    <w:panose1 w:val="00000000000000000000"/>
    <w:charset w:val="86"/>
    <w:family w:val="modern"/>
    <w:pitch w:val="default"/>
    <w:sig w:usb0="00000000" w:usb1="00000000" w:usb2="00000010" w:usb3="00000000" w:csb0="00040000" w:csb1="00000000"/>
  </w:font>
  <w:font w:name="Futura Std">
    <w:altName w:val="黑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创艺简中圆">
    <w:altName w:val="宋体"/>
    <w:panose1 w:val="00000000000000000000"/>
    <w:charset w:val="86"/>
    <w:family w:val="auto"/>
    <w:pitch w:val="default"/>
    <w:sig w:usb0="00000000" w:usb1="00000000" w:usb2="00000010" w:usb3="00000000" w:csb0="00040000" w:csb1="00000000"/>
  </w:font>
  <w:font w:name="ËÎÌå">
    <w:altName w:val="Courier New"/>
    <w:panose1 w:val="00000000000000000000"/>
    <w:charset w:val="00"/>
    <w:family w:val="moder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文鼎粗圆简">
    <w:altName w:val="宋体"/>
    <w:panose1 w:val="00000000000000000000"/>
    <w:charset w:val="86"/>
    <w:family w:val="modern"/>
    <w:pitch w:val="default"/>
    <w:sig w:usb0="00000000" w:usb1="00000000" w:usb2="00000010" w:usb3="00000000" w:csb0="00040000" w:csb1="00000000"/>
  </w:font>
  <w:font w:name="'宋体">
    <w:altName w:val="方正舒体"/>
    <w:panose1 w:val="00000000000000000000"/>
    <w:charset w:val="86"/>
    <w:family w:val="swiss"/>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文鼎CS魏碑">
    <w:altName w:val="宋体"/>
    <w:panose1 w:val="00000000000000000000"/>
    <w:charset w:val="86"/>
    <w:family w:val="modern"/>
    <w:pitch w:val="default"/>
    <w:sig w:usb0="00000000" w:usb1="00000000" w:usb2="00000010" w:usb3="00000000" w:csb0="00040000" w:csb1="00000000"/>
  </w:font>
  <w:font w:name="全真楷書">
    <w:altName w:val="宋体"/>
    <w:panose1 w:val="00000000000000000000"/>
    <w:charset w:val="88"/>
    <w:family w:val="modern"/>
    <w:pitch w:val="default"/>
    <w:sig w:usb0="00000000" w:usb1="00000000" w:usb2="00000010" w:usb3="00000000" w:csb0="00100000" w:csb1="00000000"/>
  </w:font>
  <w:font w:name="文鼎CS中等线">
    <w:altName w:val="宋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roman"/>
    <w:pitch w:val="default"/>
    <w:sig w:usb0="A00002BF" w:usb1="38CF7CFA" w:usb2="00000016" w:usb3="00000000" w:csb0="0004000F" w:csb1="00000000"/>
  </w:font>
  <w:font w:name="+mn-cs">
    <w:altName w:val="宋体"/>
    <w:panose1 w:val="02030609000101010101"/>
    <w:charset w:val="01"/>
    <w:family w:val="roman"/>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Calibri">
    <w:panose1 w:val="020F0502020204030204"/>
    <w:charset w:val="01"/>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rFonts w:ascii="仿宋" w:hAnsi="仿宋" w:eastAsia="仿宋"/>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pBdr>
                              <w:between w:val="none" w:color="auto" w:sz="50" w:space="0"/>
                            </w:pBdr>
                            <w:ind w:left="210" w:leftChars="100" w:right="210" w:rightChars="100"/>
                            <w:rPr>
                              <w:rFonts w:ascii="仿宋" w:hAnsi="仿宋" w:eastAsia="仿宋"/>
                              <w:sz w:val="28"/>
                            </w:rPr>
                          </w:pPr>
                          <w:r>
                            <w:rPr>
                              <w:rFonts w:hint="eastAsia" w:ascii="仿宋" w:hAnsi="仿宋" w:eastAsia="仿宋"/>
                              <w:sz w:val="28"/>
                            </w:rPr>
                            <w:t xml:space="preserve">— </w:t>
                          </w:r>
                          <w:r>
                            <w:rPr>
                              <w:rFonts w:hint="eastAsia" w:ascii="仿宋" w:hAnsi="仿宋" w:eastAsia="仿宋"/>
                              <w:sz w:val="28"/>
                            </w:rPr>
                            <w:fldChar w:fldCharType="begin"/>
                          </w:r>
                          <w:r>
                            <w:rPr>
                              <w:rStyle w:val="9"/>
                              <w:rFonts w:hint="eastAsia" w:ascii="仿宋" w:hAnsi="仿宋" w:eastAsia="仿宋"/>
                              <w:sz w:val="28"/>
                            </w:rPr>
                            <w:instrText xml:space="preserve"> PAGE  </w:instrText>
                          </w:r>
                          <w:r>
                            <w:rPr>
                              <w:rFonts w:hint="eastAsia" w:ascii="仿宋" w:hAnsi="仿宋" w:eastAsia="仿宋"/>
                              <w:sz w:val="28"/>
                            </w:rPr>
                            <w:fldChar w:fldCharType="separate"/>
                          </w:r>
                          <w:r>
                            <w:rPr>
                              <w:rStyle w:val="9"/>
                              <w:rFonts w:ascii="仿宋" w:hAnsi="仿宋" w:eastAsia="仿宋"/>
                              <w:sz w:val="28"/>
                            </w:rPr>
                            <w:t>7</w:t>
                          </w:r>
                          <w:r>
                            <w:rPr>
                              <w:rFonts w:hint="eastAsia" w:ascii="仿宋" w:hAnsi="仿宋" w:eastAsia="仿宋"/>
                              <w:sz w:val="28"/>
                            </w:rPr>
                            <w:fldChar w:fldCharType="end"/>
                          </w:r>
                          <w:r>
                            <w:rPr>
                              <w:rFonts w:hint="eastAsia" w:ascii="仿宋" w:hAnsi="仿宋" w:eastAsia="仿宋"/>
                              <w:sz w:val="28"/>
                            </w:rPr>
                            <w:t xml:space="preserve"> —</w:t>
                          </w:r>
                        </w:p>
                      </w:txbxContent>
                    </wps:txbx>
                    <wps:bodyPr wrap="none" lIns="0" tIns="0" rIns="0" bIns="0" upright="1">
                      <a:spAutoFit/>
                    </wps:bodyPr>
                  </wps:wsp>
                </a:graphicData>
              </a:graphic>
            </wp:anchor>
          </w:drawing>
        </mc:Choice>
        <mc:Fallback>
          <w:pict>
            <v:shape id="文本框 4" o:spid="_x0000_s1026" o:spt="202" type="#_x0000_t202" style="position:absolute;left:0pt;height:144pt;width:144pt;mso-position-horizontal:outside;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g6AbcBAABUAwAADgAAAGRycy9lMm9Eb2MueG1srVNBrtMwEN0jcQfL&#10;e5q04q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3ue5RlCbCjrIVBeGl/DmFMnfyRnZj1qdPlLfBjF&#10;SejTVVw1Jibzo/Vqva4pJCk2XwinenweMKY3ChzLRsuRpldEFcd3MV1S55RczcO9sZb8orGeDS1/&#10;ebO6KQ+uEQK3nmpkEpdms5XG3Tgx2EF3ImIDbUDLPa0oZ/atJ4HzsswGzsZuNg4Bzb6nHpelXgyv&#10;Dom6KU3mChfYqTCNrtCc1izvxu/3kvX4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6&#10;uDoBtwEAAFQDAAAOAAAAAAAAAAEAIAAAAB4BAABkcnMvZTJvRG9jLnhtbFBLBQYAAAAABgAGAFkB&#10;AABHBQAAAAA=&#10;">
              <v:fill on="f" focussize="0,0"/>
              <v:stroke on="f"/>
              <v:imagedata o:title=""/>
              <o:lock v:ext="edit" aspectratio="f"/>
              <v:textbox inset="0mm,0mm,0mm,0mm" style="mso-fit-shape-to-text:t;">
                <w:txbxContent>
                  <w:p>
                    <w:pPr>
                      <w:pStyle w:val="12"/>
                      <w:pBdr>
                        <w:between w:val="none" w:color="auto" w:sz="50" w:space="0"/>
                      </w:pBdr>
                      <w:ind w:left="210" w:leftChars="100" w:right="210" w:rightChars="100"/>
                      <w:rPr>
                        <w:rFonts w:ascii="仿宋" w:hAnsi="仿宋" w:eastAsia="仿宋"/>
                        <w:sz w:val="28"/>
                      </w:rPr>
                    </w:pPr>
                    <w:r>
                      <w:rPr>
                        <w:rFonts w:hint="eastAsia" w:ascii="仿宋" w:hAnsi="仿宋" w:eastAsia="仿宋"/>
                        <w:sz w:val="28"/>
                      </w:rPr>
                      <w:t xml:space="preserve">— </w:t>
                    </w:r>
                    <w:r>
                      <w:rPr>
                        <w:rFonts w:hint="eastAsia" w:ascii="仿宋" w:hAnsi="仿宋" w:eastAsia="仿宋"/>
                        <w:sz w:val="28"/>
                      </w:rPr>
                      <w:fldChar w:fldCharType="begin"/>
                    </w:r>
                    <w:r>
                      <w:rPr>
                        <w:rStyle w:val="9"/>
                        <w:rFonts w:hint="eastAsia" w:ascii="仿宋" w:hAnsi="仿宋" w:eastAsia="仿宋"/>
                        <w:sz w:val="28"/>
                      </w:rPr>
                      <w:instrText xml:space="preserve"> PAGE  </w:instrText>
                    </w:r>
                    <w:r>
                      <w:rPr>
                        <w:rFonts w:hint="eastAsia" w:ascii="仿宋" w:hAnsi="仿宋" w:eastAsia="仿宋"/>
                        <w:sz w:val="28"/>
                      </w:rPr>
                      <w:fldChar w:fldCharType="separate"/>
                    </w:r>
                    <w:r>
                      <w:rPr>
                        <w:rStyle w:val="9"/>
                        <w:rFonts w:ascii="仿宋" w:hAnsi="仿宋" w:eastAsia="仿宋"/>
                        <w:sz w:val="28"/>
                      </w:rPr>
                      <w:t>7</w:t>
                    </w:r>
                    <w:r>
                      <w:rPr>
                        <w:rFonts w:hint="eastAsia" w:ascii="仿宋" w:hAnsi="仿宋" w:eastAsia="仿宋"/>
                        <w:sz w:val="28"/>
                      </w:rPr>
                      <w:fldChar w:fldCharType="end"/>
                    </w:r>
                    <w:r>
                      <w:rPr>
                        <w:rFonts w:hint="eastAsia" w:ascii="仿宋" w:hAnsi="仿宋" w:eastAsia="仿宋"/>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FAF8F"/>
    <w:multiLevelType w:val="singleLevel"/>
    <w:tmpl w:val="5CCFAF8F"/>
    <w:lvl w:ilvl="0" w:tentative="0">
      <w:start w:val="2"/>
      <w:numFmt w:val="decimal"/>
      <w:suff w:val="nothing"/>
      <w:lvlText w:val="（%1）"/>
      <w:lvlJc w:val="left"/>
    </w:lvl>
  </w:abstractNum>
  <w:abstractNum w:abstractNumId="1">
    <w:nsid w:val="5FAE0D04"/>
    <w:multiLevelType w:val="singleLevel"/>
    <w:tmpl w:val="5FAE0D04"/>
    <w:lvl w:ilvl="0" w:tentative="0">
      <w:start w:val="2"/>
      <w:numFmt w:val="chineseCounting"/>
      <w:suff w:val="nothing"/>
      <w:lvlText w:val="%1、"/>
      <w:lvlJc w:val="left"/>
    </w:lvl>
  </w:abstractNum>
  <w:abstractNum w:abstractNumId="2">
    <w:nsid w:val="606D6B02"/>
    <w:multiLevelType w:val="singleLevel"/>
    <w:tmpl w:val="606D6B02"/>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A3"/>
    <w:rsid w:val="00004BE1"/>
    <w:rsid w:val="00007851"/>
    <w:rsid w:val="00015436"/>
    <w:rsid w:val="000347DA"/>
    <w:rsid w:val="000524B1"/>
    <w:rsid w:val="00057EFA"/>
    <w:rsid w:val="00080E40"/>
    <w:rsid w:val="00083CE0"/>
    <w:rsid w:val="00093624"/>
    <w:rsid w:val="000A3F44"/>
    <w:rsid w:val="000D389F"/>
    <w:rsid w:val="000D5CE7"/>
    <w:rsid w:val="000E3190"/>
    <w:rsid w:val="000E3435"/>
    <w:rsid w:val="000F3A35"/>
    <w:rsid w:val="000F7DB7"/>
    <w:rsid w:val="000F7DFC"/>
    <w:rsid w:val="00107C28"/>
    <w:rsid w:val="00112774"/>
    <w:rsid w:val="0011401A"/>
    <w:rsid w:val="00116C29"/>
    <w:rsid w:val="00131D13"/>
    <w:rsid w:val="00143AB6"/>
    <w:rsid w:val="00156622"/>
    <w:rsid w:val="00187EEE"/>
    <w:rsid w:val="001A1496"/>
    <w:rsid w:val="001A1DB0"/>
    <w:rsid w:val="001A4C4A"/>
    <w:rsid w:val="001A7B2C"/>
    <w:rsid w:val="001C1B6B"/>
    <w:rsid w:val="001C221B"/>
    <w:rsid w:val="001E2F91"/>
    <w:rsid w:val="001E7B28"/>
    <w:rsid w:val="00231E5A"/>
    <w:rsid w:val="00256C07"/>
    <w:rsid w:val="00271F80"/>
    <w:rsid w:val="0028134E"/>
    <w:rsid w:val="00281BEF"/>
    <w:rsid w:val="0028593D"/>
    <w:rsid w:val="00286BAE"/>
    <w:rsid w:val="00286FF0"/>
    <w:rsid w:val="002916F3"/>
    <w:rsid w:val="00291A21"/>
    <w:rsid w:val="002A6557"/>
    <w:rsid w:val="002B6496"/>
    <w:rsid w:val="002D46B7"/>
    <w:rsid w:val="002E019D"/>
    <w:rsid w:val="002E265B"/>
    <w:rsid w:val="002F76BC"/>
    <w:rsid w:val="003044F0"/>
    <w:rsid w:val="0030744E"/>
    <w:rsid w:val="00325205"/>
    <w:rsid w:val="00341FBA"/>
    <w:rsid w:val="00351FFB"/>
    <w:rsid w:val="003612E3"/>
    <w:rsid w:val="0036774C"/>
    <w:rsid w:val="00382951"/>
    <w:rsid w:val="003A7B61"/>
    <w:rsid w:val="003A7E6C"/>
    <w:rsid w:val="003B28B7"/>
    <w:rsid w:val="003B694D"/>
    <w:rsid w:val="003C609D"/>
    <w:rsid w:val="003D4644"/>
    <w:rsid w:val="003D6E15"/>
    <w:rsid w:val="003E0BDB"/>
    <w:rsid w:val="003F3760"/>
    <w:rsid w:val="00403AF4"/>
    <w:rsid w:val="0041018D"/>
    <w:rsid w:val="00411967"/>
    <w:rsid w:val="00431DA9"/>
    <w:rsid w:val="00450849"/>
    <w:rsid w:val="00455CE3"/>
    <w:rsid w:val="00463C1F"/>
    <w:rsid w:val="00475A5C"/>
    <w:rsid w:val="00484FF3"/>
    <w:rsid w:val="004A20FB"/>
    <w:rsid w:val="004B5304"/>
    <w:rsid w:val="004C313E"/>
    <w:rsid w:val="0050484D"/>
    <w:rsid w:val="0050785F"/>
    <w:rsid w:val="005079ED"/>
    <w:rsid w:val="00542663"/>
    <w:rsid w:val="0055047B"/>
    <w:rsid w:val="0055678D"/>
    <w:rsid w:val="0059068F"/>
    <w:rsid w:val="005A4A48"/>
    <w:rsid w:val="005A7B5B"/>
    <w:rsid w:val="005B73DA"/>
    <w:rsid w:val="005C0B46"/>
    <w:rsid w:val="005E6225"/>
    <w:rsid w:val="005F10AA"/>
    <w:rsid w:val="006021AD"/>
    <w:rsid w:val="0060347E"/>
    <w:rsid w:val="00603D1F"/>
    <w:rsid w:val="00606502"/>
    <w:rsid w:val="00614472"/>
    <w:rsid w:val="0061656D"/>
    <w:rsid w:val="006313EC"/>
    <w:rsid w:val="00631CE4"/>
    <w:rsid w:val="00637A36"/>
    <w:rsid w:val="00644E7F"/>
    <w:rsid w:val="00656242"/>
    <w:rsid w:val="00673E8C"/>
    <w:rsid w:val="006811A1"/>
    <w:rsid w:val="00691A23"/>
    <w:rsid w:val="006937C2"/>
    <w:rsid w:val="00697CB1"/>
    <w:rsid w:val="006A7729"/>
    <w:rsid w:val="006B50A0"/>
    <w:rsid w:val="006C2AE6"/>
    <w:rsid w:val="006D05F9"/>
    <w:rsid w:val="006D261C"/>
    <w:rsid w:val="006F358E"/>
    <w:rsid w:val="006F43B1"/>
    <w:rsid w:val="0070737F"/>
    <w:rsid w:val="007227EF"/>
    <w:rsid w:val="00724630"/>
    <w:rsid w:val="00724A9D"/>
    <w:rsid w:val="0074527F"/>
    <w:rsid w:val="00746080"/>
    <w:rsid w:val="007564D8"/>
    <w:rsid w:val="00756A8E"/>
    <w:rsid w:val="00757EC7"/>
    <w:rsid w:val="007639DD"/>
    <w:rsid w:val="00764261"/>
    <w:rsid w:val="00783966"/>
    <w:rsid w:val="00793F23"/>
    <w:rsid w:val="007A63D6"/>
    <w:rsid w:val="007A7E78"/>
    <w:rsid w:val="007B7850"/>
    <w:rsid w:val="007C6D7A"/>
    <w:rsid w:val="007D04E8"/>
    <w:rsid w:val="007D5615"/>
    <w:rsid w:val="007D6B66"/>
    <w:rsid w:val="007E59EB"/>
    <w:rsid w:val="007E7A25"/>
    <w:rsid w:val="00800584"/>
    <w:rsid w:val="008038EF"/>
    <w:rsid w:val="00845301"/>
    <w:rsid w:val="00850ED7"/>
    <w:rsid w:val="00855999"/>
    <w:rsid w:val="008562D8"/>
    <w:rsid w:val="00871FFA"/>
    <w:rsid w:val="00873FD9"/>
    <w:rsid w:val="00894CDE"/>
    <w:rsid w:val="008B0656"/>
    <w:rsid w:val="008B2437"/>
    <w:rsid w:val="008C0B8A"/>
    <w:rsid w:val="008D0477"/>
    <w:rsid w:val="008E4EAC"/>
    <w:rsid w:val="008E792C"/>
    <w:rsid w:val="008F1D8A"/>
    <w:rsid w:val="008F7FED"/>
    <w:rsid w:val="00920F87"/>
    <w:rsid w:val="0092617C"/>
    <w:rsid w:val="0095082F"/>
    <w:rsid w:val="009775BC"/>
    <w:rsid w:val="00990656"/>
    <w:rsid w:val="009956DB"/>
    <w:rsid w:val="009B3FD8"/>
    <w:rsid w:val="009C4FB1"/>
    <w:rsid w:val="009D2677"/>
    <w:rsid w:val="009F0766"/>
    <w:rsid w:val="00A32054"/>
    <w:rsid w:val="00A473AA"/>
    <w:rsid w:val="00A568A2"/>
    <w:rsid w:val="00A615E8"/>
    <w:rsid w:val="00A710CF"/>
    <w:rsid w:val="00A75A2D"/>
    <w:rsid w:val="00A77677"/>
    <w:rsid w:val="00A77B93"/>
    <w:rsid w:val="00AF122B"/>
    <w:rsid w:val="00AF693F"/>
    <w:rsid w:val="00B12835"/>
    <w:rsid w:val="00B171C7"/>
    <w:rsid w:val="00B25A13"/>
    <w:rsid w:val="00B334CB"/>
    <w:rsid w:val="00B66A7D"/>
    <w:rsid w:val="00B805E5"/>
    <w:rsid w:val="00B879A7"/>
    <w:rsid w:val="00B97C91"/>
    <w:rsid w:val="00BC0474"/>
    <w:rsid w:val="00BC1189"/>
    <w:rsid w:val="00BE40A5"/>
    <w:rsid w:val="00BF6E8C"/>
    <w:rsid w:val="00C040E6"/>
    <w:rsid w:val="00C11607"/>
    <w:rsid w:val="00C36EE7"/>
    <w:rsid w:val="00C419CF"/>
    <w:rsid w:val="00C512AC"/>
    <w:rsid w:val="00C5322F"/>
    <w:rsid w:val="00C61527"/>
    <w:rsid w:val="00C66712"/>
    <w:rsid w:val="00C92F4E"/>
    <w:rsid w:val="00C938F6"/>
    <w:rsid w:val="00CA6C9C"/>
    <w:rsid w:val="00CB1FDB"/>
    <w:rsid w:val="00CE74AD"/>
    <w:rsid w:val="00D0024F"/>
    <w:rsid w:val="00D01205"/>
    <w:rsid w:val="00D068B9"/>
    <w:rsid w:val="00D1653C"/>
    <w:rsid w:val="00D33749"/>
    <w:rsid w:val="00D36BB9"/>
    <w:rsid w:val="00D55049"/>
    <w:rsid w:val="00D60A26"/>
    <w:rsid w:val="00D60E68"/>
    <w:rsid w:val="00D805F9"/>
    <w:rsid w:val="00D83795"/>
    <w:rsid w:val="00D85B59"/>
    <w:rsid w:val="00D91E62"/>
    <w:rsid w:val="00DA61E5"/>
    <w:rsid w:val="00DD1130"/>
    <w:rsid w:val="00DD1E08"/>
    <w:rsid w:val="00DE506C"/>
    <w:rsid w:val="00E10791"/>
    <w:rsid w:val="00E1234B"/>
    <w:rsid w:val="00E20E02"/>
    <w:rsid w:val="00E34751"/>
    <w:rsid w:val="00E355CF"/>
    <w:rsid w:val="00E47C46"/>
    <w:rsid w:val="00E50396"/>
    <w:rsid w:val="00E724A3"/>
    <w:rsid w:val="00E73FED"/>
    <w:rsid w:val="00E80E63"/>
    <w:rsid w:val="00E825C3"/>
    <w:rsid w:val="00E96DF7"/>
    <w:rsid w:val="00EA6BD7"/>
    <w:rsid w:val="00EF171E"/>
    <w:rsid w:val="00EF79C9"/>
    <w:rsid w:val="00F04CC9"/>
    <w:rsid w:val="00F31017"/>
    <w:rsid w:val="00F32C0F"/>
    <w:rsid w:val="00F40742"/>
    <w:rsid w:val="00F5100A"/>
    <w:rsid w:val="00F5385A"/>
    <w:rsid w:val="00F63050"/>
    <w:rsid w:val="00F71EDB"/>
    <w:rsid w:val="00FA4114"/>
    <w:rsid w:val="00FE2A9B"/>
    <w:rsid w:val="00FE4D62"/>
    <w:rsid w:val="01173B40"/>
    <w:rsid w:val="015F587B"/>
    <w:rsid w:val="01FC6F16"/>
    <w:rsid w:val="03B141B9"/>
    <w:rsid w:val="04AD65F7"/>
    <w:rsid w:val="064D6E17"/>
    <w:rsid w:val="072874E8"/>
    <w:rsid w:val="075A1C65"/>
    <w:rsid w:val="08EE402D"/>
    <w:rsid w:val="097F6332"/>
    <w:rsid w:val="09874F5F"/>
    <w:rsid w:val="0A854B3C"/>
    <w:rsid w:val="0AD143E5"/>
    <w:rsid w:val="0B0E7373"/>
    <w:rsid w:val="0B114AD1"/>
    <w:rsid w:val="0BE07376"/>
    <w:rsid w:val="0C0A1506"/>
    <w:rsid w:val="0CDC6E61"/>
    <w:rsid w:val="0D10145D"/>
    <w:rsid w:val="0D246087"/>
    <w:rsid w:val="0DCD427F"/>
    <w:rsid w:val="0E8F7C99"/>
    <w:rsid w:val="0F2D73B8"/>
    <w:rsid w:val="119D2D0B"/>
    <w:rsid w:val="120341F5"/>
    <w:rsid w:val="131956EE"/>
    <w:rsid w:val="140E01A9"/>
    <w:rsid w:val="15A90875"/>
    <w:rsid w:val="15E761CE"/>
    <w:rsid w:val="15F31832"/>
    <w:rsid w:val="16FD4150"/>
    <w:rsid w:val="17AA4E50"/>
    <w:rsid w:val="17DB2134"/>
    <w:rsid w:val="185531EA"/>
    <w:rsid w:val="189B0D2E"/>
    <w:rsid w:val="18D76A65"/>
    <w:rsid w:val="1A5279F6"/>
    <w:rsid w:val="1C9C37A3"/>
    <w:rsid w:val="200F19E8"/>
    <w:rsid w:val="20790786"/>
    <w:rsid w:val="235B5B53"/>
    <w:rsid w:val="23641FFE"/>
    <w:rsid w:val="292F3E1B"/>
    <w:rsid w:val="29F1233B"/>
    <w:rsid w:val="2A0F7D51"/>
    <w:rsid w:val="2CC52DA0"/>
    <w:rsid w:val="2CC77273"/>
    <w:rsid w:val="2F365E79"/>
    <w:rsid w:val="2F9E50F9"/>
    <w:rsid w:val="31003F8D"/>
    <w:rsid w:val="3145413D"/>
    <w:rsid w:val="33AF136B"/>
    <w:rsid w:val="35E44B37"/>
    <w:rsid w:val="36A74952"/>
    <w:rsid w:val="3BB569A4"/>
    <w:rsid w:val="3D38143C"/>
    <w:rsid w:val="3FF01E85"/>
    <w:rsid w:val="404F791B"/>
    <w:rsid w:val="40F51D46"/>
    <w:rsid w:val="42C34BE7"/>
    <w:rsid w:val="42DB1102"/>
    <w:rsid w:val="433A20B6"/>
    <w:rsid w:val="442617DE"/>
    <w:rsid w:val="453D1E09"/>
    <w:rsid w:val="46AD0649"/>
    <w:rsid w:val="49050F12"/>
    <w:rsid w:val="4932195E"/>
    <w:rsid w:val="49E048B3"/>
    <w:rsid w:val="4A312069"/>
    <w:rsid w:val="4A5F36A2"/>
    <w:rsid w:val="4A756601"/>
    <w:rsid w:val="4B296571"/>
    <w:rsid w:val="4B7E0262"/>
    <w:rsid w:val="4C615EC3"/>
    <w:rsid w:val="4D955582"/>
    <w:rsid w:val="4F352643"/>
    <w:rsid w:val="524D6A2E"/>
    <w:rsid w:val="52777194"/>
    <w:rsid w:val="55055DD7"/>
    <w:rsid w:val="55485F4B"/>
    <w:rsid w:val="559553E0"/>
    <w:rsid w:val="55CA1A0A"/>
    <w:rsid w:val="56843573"/>
    <w:rsid w:val="58CB60BB"/>
    <w:rsid w:val="59551D89"/>
    <w:rsid w:val="5A6B0627"/>
    <w:rsid w:val="5BE85AD2"/>
    <w:rsid w:val="5CC023F1"/>
    <w:rsid w:val="5D347311"/>
    <w:rsid w:val="619F08CC"/>
    <w:rsid w:val="63481E83"/>
    <w:rsid w:val="65DE2DCE"/>
    <w:rsid w:val="66797AF8"/>
    <w:rsid w:val="67BE699E"/>
    <w:rsid w:val="681D593A"/>
    <w:rsid w:val="68323ECB"/>
    <w:rsid w:val="683457C6"/>
    <w:rsid w:val="685101C7"/>
    <w:rsid w:val="68D231B2"/>
    <w:rsid w:val="69142DE0"/>
    <w:rsid w:val="6A2B24DB"/>
    <w:rsid w:val="6B880F3A"/>
    <w:rsid w:val="6CFA3E24"/>
    <w:rsid w:val="6F033F1B"/>
    <w:rsid w:val="70EC759C"/>
    <w:rsid w:val="71D840CF"/>
    <w:rsid w:val="730D4BA5"/>
    <w:rsid w:val="737B203D"/>
    <w:rsid w:val="75286CEF"/>
    <w:rsid w:val="759111BE"/>
    <w:rsid w:val="75FC3138"/>
    <w:rsid w:val="767B1364"/>
    <w:rsid w:val="777A3100"/>
    <w:rsid w:val="78312700"/>
    <w:rsid w:val="79B1170C"/>
    <w:rsid w:val="7B13581D"/>
    <w:rsid w:val="7B8A4B17"/>
    <w:rsid w:val="7E546297"/>
    <w:rsid w:val="7ED72C0A"/>
    <w:rsid w:val="7F6619B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2">
    <w:name w:val="heading 3"/>
    <w:basedOn w:val="1"/>
    <w:next w:val="1"/>
    <w:unhideWhenUsed/>
    <w:qFormat/>
    <w:uiPriority w:val="9"/>
    <w:pPr>
      <w:spacing w:before="104" w:beforeLines="0" w:after="104" w:afterLines="0"/>
      <w:outlineLvl w:val="2"/>
    </w:p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eastAsia="仿宋_GB2312"/>
      <w:kern w:val="0"/>
      <w:sz w:val="24"/>
      <w:szCs w:val="32"/>
    </w:rPr>
  </w:style>
  <w:style w:type="character" w:customStyle="1" w:styleId="9">
    <w:name w:val="页码 New"/>
    <w:basedOn w:val="7"/>
    <w:uiPriority w:val="0"/>
  </w:style>
  <w:style w:type="paragraph" w:customStyle="1" w:styleId="10">
    <w:name w:val="Char Char Char Char Char Char Char"/>
    <w:basedOn w:val="1"/>
    <w:qFormat/>
    <w:uiPriority w:val="0"/>
    <w:pPr>
      <w:widowControl/>
      <w:spacing w:after="160" w:line="240" w:lineRule="exact"/>
      <w:jc w:val="left"/>
    </w:p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页脚 New"/>
    <w:basedOn w:val="1"/>
    <w:qFormat/>
    <w:uiPriority w:val="0"/>
    <w:pPr>
      <w:tabs>
        <w:tab w:val="center" w:pos="4153"/>
        <w:tab w:val="right" w:pos="8306"/>
      </w:tabs>
      <w:snapToGrid w:val="0"/>
      <w:jc w:val="left"/>
    </w:pPr>
    <w:rPr>
      <w:sz w:val="18"/>
      <w:szCs w:val="18"/>
    </w:rPr>
  </w:style>
  <w:style w:type="character" w:customStyle="1" w:styleId="13">
    <w:name w:val="页眉 Char"/>
    <w:basedOn w:val="7"/>
    <w:link w:val="5"/>
    <w:semiHidden/>
    <w:uiPriority w:val="99"/>
    <w:rPr>
      <w:rFonts w:ascii="Times New Roman" w:hAnsi="Times New Roman" w:eastAsia="宋体" w:cs="Times New Roman"/>
      <w:sz w:val="18"/>
      <w:szCs w:val="18"/>
    </w:rPr>
  </w:style>
  <w:style w:type="character" w:customStyle="1" w:styleId="14">
    <w:name w:val="页脚 Char"/>
    <w:basedOn w:val="7"/>
    <w:link w:val="4"/>
    <w:semiHidden/>
    <w:qFormat/>
    <w:uiPriority w:val="99"/>
    <w:rPr>
      <w:rFonts w:ascii="Times New Roman" w:hAnsi="Times New Roman" w:eastAsia="宋体" w:cs="Times New Roman"/>
      <w:sz w:val="18"/>
      <w:szCs w:val="18"/>
    </w:rPr>
  </w:style>
  <w:style w:type="paragraph" w:customStyle="1" w:styleId="15">
    <w:name w:val=" Char Char1"/>
    <w:basedOn w:val="3"/>
    <w:uiPriority w:val="0"/>
    <w:pPr>
      <w:snapToGrid w:val="0"/>
      <w:spacing w:before="240" w:after="240" w:line="348" w:lineRule="auto"/>
    </w:pPr>
    <w:rPr>
      <w:rFonts w:eastAsia="仿宋_GB2312"/>
    </w:rPr>
  </w:style>
  <w:style w:type="character" w:customStyle="1" w:styleId="16">
    <w:name w:val="标题 1 Char"/>
    <w:basedOn w:val="7"/>
    <w:link w:val="3"/>
    <w:qFormat/>
    <w:uiPriority w:val="9"/>
    <w:rPr>
      <w:rFonts w:ascii="Times New Roman" w:hAnsi="Times New Roman" w:eastAsia="宋体" w:cs="Times New Roman"/>
      <w:b/>
      <w:bCs/>
      <w:kern w:val="44"/>
      <w:sz w:val="44"/>
      <w:szCs w:val="44"/>
    </w:rPr>
  </w:style>
  <w:style w:type="paragraph" w:customStyle="1" w:styleId="17">
    <w:name w:val="目录 2 New"/>
    <w:basedOn w:val="18"/>
    <w:next w:val="18"/>
    <w:qFormat/>
    <w:uiPriority w:val="0"/>
  </w:style>
  <w:style w:type="paragraph" w:customStyle="1" w:styleId="18">
    <w:name w:val="正文 New"/>
    <w:next w:val="17"/>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532</Words>
  <Characters>3037</Characters>
  <Lines>25</Lines>
  <Paragraphs>7</Paragraphs>
  <ScaleCrop>false</ScaleCrop>
  <LinksUpToDate>false</LinksUpToDate>
  <CharactersWithSpaces>3562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2018-03-22T01:57:00Z</dcterms:created>
  <dc:creator>未定义</dc:creator>
  <cp:lastModifiedBy>未定义</cp:lastModifiedBy>
  <dcterms:modified xsi:type="dcterms:W3CDTF">2021-04-07T08:18:23Z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