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D9" w:rsidRDefault="002B3E60" w:rsidP="002B3E60">
      <w:pPr>
        <w:jc w:val="center"/>
        <w:rPr>
          <w:rFonts w:ascii="方正小标宋简体" w:eastAsia="方正小标宋简体"/>
          <w:sz w:val="36"/>
          <w:szCs w:val="36"/>
        </w:rPr>
      </w:pPr>
      <w:r>
        <w:rPr>
          <w:rFonts w:ascii="方正小标宋简体" w:eastAsia="方正小标宋简体" w:hint="eastAsia"/>
          <w:sz w:val="36"/>
          <w:szCs w:val="36"/>
        </w:rPr>
        <w:t>反馈意见采纳情况表</w:t>
      </w:r>
    </w:p>
    <w:tbl>
      <w:tblPr>
        <w:tblStyle w:val="a3"/>
        <w:tblW w:w="0" w:type="auto"/>
        <w:tblLook w:val="04A0" w:firstRow="1" w:lastRow="0" w:firstColumn="1" w:lastColumn="0" w:noHBand="0" w:noVBand="1"/>
      </w:tblPr>
      <w:tblGrid>
        <w:gridCol w:w="536"/>
        <w:gridCol w:w="1557"/>
        <w:gridCol w:w="5245"/>
        <w:gridCol w:w="6836"/>
      </w:tblGrid>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sidRPr="002B3E60">
              <w:rPr>
                <w:rFonts w:ascii="仿宋_GB2312" w:eastAsia="仿宋_GB2312" w:hint="eastAsia"/>
                <w:sz w:val="32"/>
                <w:szCs w:val="32"/>
              </w:rPr>
              <w:t>序</w:t>
            </w:r>
          </w:p>
        </w:tc>
        <w:tc>
          <w:tcPr>
            <w:tcW w:w="1557" w:type="dxa"/>
            <w:tcBorders>
              <w:lef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反馈单位</w:t>
            </w:r>
          </w:p>
        </w:tc>
        <w:tc>
          <w:tcPr>
            <w:tcW w:w="5245" w:type="dxa"/>
          </w:tcPr>
          <w:p w:rsidR="002B3E60" w:rsidRPr="002B3E60" w:rsidRDefault="002B3E60" w:rsidP="002B3E60">
            <w:pPr>
              <w:rPr>
                <w:rFonts w:ascii="仿宋_GB2312" w:eastAsia="仿宋_GB2312"/>
                <w:sz w:val="32"/>
                <w:szCs w:val="32"/>
              </w:rPr>
            </w:pPr>
            <w:r>
              <w:rPr>
                <w:rFonts w:ascii="仿宋_GB2312" w:eastAsia="仿宋_GB2312" w:hint="eastAsia"/>
                <w:sz w:val="32"/>
                <w:szCs w:val="32"/>
              </w:rPr>
              <w:t>反馈意见</w:t>
            </w:r>
          </w:p>
        </w:tc>
        <w:tc>
          <w:tcPr>
            <w:tcW w:w="6836" w:type="dxa"/>
          </w:tcPr>
          <w:p w:rsidR="002B3E60" w:rsidRPr="002B3E60" w:rsidRDefault="002B3E60" w:rsidP="002B3E60">
            <w:pPr>
              <w:rPr>
                <w:rFonts w:ascii="仿宋_GB2312" w:eastAsia="仿宋_GB2312"/>
                <w:sz w:val="32"/>
                <w:szCs w:val="32"/>
              </w:rPr>
            </w:pPr>
            <w:r>
              <w:rPr>
                <w:rFonts w:ascii="仿宋_GB2312" w:eastAsia="仿宋_GB2312" w:hint="eastAsia"/>
                <w:sz w:val="32"/>
                <w:szCs w:val="32"/>
              </w:rPr>
              <w:t>意见采纳情况</w:t>
            </w: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1</w:t>
            </w:r>
          </w:p>
        </w:tc>
        <w:tc>
          <w:tcPr>
            <w:tcW w:w="1557" w:type="dxa"/>
            <w:tcBorders>
              <w:lef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市</w:t>
            </w:r>
            <w:proofErr w:type="gramStart"/>
            <w:r>
              <w:rPr>
                <w:rFonts w:ascii="仿宋_GB2312" w:eastAsia="仿宋_GB2312" w:hint="eastAsia"/>
                <w:sz w:val="32"/>
                <w:szCs w:val="32"/>
              </w:rPr>
              <w:t>发改局</w:t>
            </w:r>
            <w:proofErr w:type="gramEnd"/>
          </w:p>
        </w:tc>
        <w:tc>
          <w:tcPr>
            <w:tcW w:w="5245" w:type="dxa"/>
          </w:tcPr>
          <w:p w:rsidR="002B3E60" w:rsidRPr="004B5EF6" w:rsidRDefault="009B4E79" w:rsidP="002B3E60">
            <w:pPr>
              <w:rPr>
                <w:rFonts w:ascii="仿宋_GB2312" w:eastAsia="仿宋_GB2312"/>
                <w:szCs w:val="21"/>
              </w:rPr>
            </w:pPr>
            <w:r w:rsidRPr="004B5EF6">
              <w:rPr>
                <w:rFonts w:ascii="仿宋_GB2312" w:eastAsia="仿宋_GB2312" w:hint="eastAsia"/>
                <w:szCs w:val="21"/>
              </w:rPr>
              <w:t>市社会信用体系建设统筹协调小组办公室（以下简称“信用办”），为全市社会信用体系建设统筹单位，建议将雷电防护装置检测领域的信用档案信息，以及守信激励主体名单、失信主体名单、被警示单位名单等数据，及时共享</w:t>
            </w:r>
            <w:r w:rsidR="004B5EF6" w:rsidRPr="004B5EF6">
              <w:rPr>
                <w:rFonts w:ascii="仿宋_GB2312" w:eastAsia="仿宋_GB2312" w:hint="eastAsia"/>
                <w:szCs w:val="21"/>
              </w:rPr>
              <w:t>给市信用办，作为我市信用基础数据。</w:t>
            </w:r>
          </w:p>
        </w:tc>
        <w:tc>
          <w:tcPr>
            <w:tcW w:w="6836" w:type="dxa"/>
          </w:tcPr>
          <w:p w:rsidR="002B3E60" w:rsidRPr="002B3E60" w:rsidRDefault="004B5EF6" w:rsidP="002B3E60">
            <w:pPr>
              <w:rPr>
                <w:rFonts w:ascii="仿宋_GB2312" w:eastAsia="仿宋_GB2312"/>
                <w:sz w:val="32"/>
                <w:szCs w:val="32"/>
              </w:rPr>
            </w:pPr>
            <w:r>
              <w:rPr>
                <w:rFonts w:ascii="仿宋_GB2312" w:eastAsia="仿宋_GB2312" w:hint="eastAsia"/>
                <w:sz w:val="32"/>
                <w:szCs w:val="32"/>
              </w:rPr>
              <w:t>采纳</w:t>
            </w:r>
            <w:r w:rsidR="002A730C">
              <w:rPr>
                <w:rFonts w:ascii="仿宋_GB2312" w:eastAsia="仿宋_GB2312" w:hint="eastAsia"/>
                <w:sz w:val="32"/>
                <w:szCs w:val="32"/>
              </w:rPr>
              <w:t>。</w:t>
            </w: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2</w:t>
            </w:r>
          </w:p>
        </w:tc>
        <w:tc>
          <w:tcPr>
            <w:tcW w:w="1557" w:type="dxa"/>
            <w:tcBorders>
              <w:lef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市市场监管局</w:t>
            </w:r>
          </w:p>
        </w:tc>
        <w:tc>
          <w:tcPr>
            <w:tcW w:w="5245" w:type="dxa"/>
          </w:tcPr>
          <w:p w:rsidR="004B5EF6" w:rsidRPr="004B5EF6" w:rsidRDefault="004B5EF6" w:rsidP="004B5EF6">
            <w:pPr>
              <w:rPr>
                <w:rFonts w:ascii="仿宋_GB2312" w:eastAsia="仿宋_GB2312"/>
                <w:szCs w:val="21"/>
              </w:rPr>
            </w:pPr>
            <w:r w:rsidRPr="004B5EF6">
              <w:rPr>
                <w:rFonts w:ascii="仿宋_GB2312" w:eastAsia="仿宋_GB2312" w:hint="eastAsia"/>
                <w:szCs w:val="21"/>
              </w:rPr>
              <w:t>《管理办法》第四条中，“</w:t>
            </w:r>
            <w:r w:rsidRPr="004B5EF6">
              <w:rPr>
                <w:rFonts w:ascii="仿宋_GB2312" w:eastAsia="仿宋_GB2312"/>
                <w:szCs w:val="21"/>
              </w:rPr>
              <w:t>…</w:t>
            </w:r>
            <w:r w:rsidRPr="004B5EF6">
              <w:rPr>
                <w:rFonts w:ascii="仿宋_GB2312" w:eastAsia="仿宋_GB2312"/>
                <w:szCs w:val="21"/>
              </w:rPr>
              <w:t>通过门户网站向社会公示雷电防护装置检测单位信用信息，并向信用东莞网和相关信息平台推送信用信息</w:t>
            </w:r>
            <w:r w:rsidRPr="004B5EF6">
              <w:rPr>
                <w:rFonts w:ascii="仿宋_GB2312" w:eastAsia="仿宋_GB2312"/>
                <w:szCs w:val="21"/>
              </w:rPr>
              <w:t>…</w:t>
            </w:r>
            <w:r w:rsidRPr="004B5EF6">
              <w:rPr>
                <w:rFonts w:ascii="仿宋_GB2312" w:eastAsia="仿宋_GB2312" w:hint="eastAsia"/>
                <w:szCs w:val="21"/>
              </w:rPr>
              <w:t>”建议修改为“</w:t>
            </w:r>
            <w:r w:rsidRPr="004B5EF6">
              <w:rPr>
                <w:rFonts w:ascii="仿宋_GB2312" w:eastAsia="仿宋_GB2312"/>
                <w:szCs w:val="21"/>
              </w:rPr>
              <w:t>…</w:t>
            </w:r>
            <w:r w:rsidRPr="004B5EF6">
              <w:rPr>
                <w:rFonts w:ascii="仿宋_GB2312" w:eastAsia="仿宋_GB2312"/>
                <w:szCs w:val="21"/>
              </w:rPr>
              <w:t>通过门户网站向社会公示雷电防护装置检测单位信用信息，并向信用东莞网和</w:t>
            </w:r>
            <w:r w:rsidRPr="004B5EF6">
              <w:rPr>
                <w:rFonts w:ascii="仿宋_GB2312" w:eastAsia="仿宋_GB2312" w:hint="eastAsia"/>
                <w:szCs w:val="21"/>
              </w:rPr>
              <w:t>东莞市企业信用信息公示系统</w:t>
            </w:r>
            <w:r w:rsidRPr="004B5EF6">
              <w:rPr>
                <w:rFonts w:ascii="仿宋_GB2312" w:eastAsia="仿宋_GB2312"/>
                <w:szCs w:val="21"/>
              </w:rPr>
              <w:t>推送信用信息</w:t>
            </w:r>
            <w:r w:rsidRPr="004B5EF6">
              <w:rPr>
                <w:rFonts w:ascii="仿宋_GB2312" w:eastAsia="仿宋_GB2312"/>
                <w:szCs w:val="21"/>
              </w:rPr>
              <w:t>…</w:t>
            </w:r>
            <w:r w:rsidRPr="004B5EF6">
              <w:rPr>
                <w:rFonts w:ascii="仿宋_GB2312" w:eastAsia="仿宋_GB2312" w:hint="eastAsia"/>
                <w:szCs w:val="21"/>
              </w:rPr>
              <w:t>”</w:t>
            </w:r>
          </w:p>
          <w:p w:rsidR="002B3E60" w:rsidRPr="004B5EF6" w:rsidRDefault="004B5EF6" w:rsidP="004B5EF6">
            <w:pPr>
              <w:rPr>
                <w:rFonts w:ascii="仿宋_GB2312" w:eastAsia="仿宋_GB2312"/>
                <w:szCs w:val="21"/>
              </w:rPr>
            </w:pPr>
            <w:r w:rsidRPr="004B5EF6">
              <w:rPr>
                <w:rFonts w:ascii="仿宋_GB2312" w:eastAsia="仿宋_GB2312" w:hint="eastAsia"/>
                <w:szCs w:val="21"/>
              </w:rPr>
              <w:t>理由：根据《东莞市企业信息公示和信用约束管理暂行办法》，东莞市企业信用信息公示系统是全市企业信息归集、公示、管理和查询的统一平台。各行政部门应通过市企业信用信息公示系统统一公示企业信息。因此，建议</w:t>
            </w:r>
            <w:proofErr w:type="gramStart"/>
            <w:r w:rsidRPr="004B5EF6">
              <w:rPr>
                <w:rFonts w:ascii="仿宋_GB2312" w:eastAsia="仿宋_GB2312" w:hint="eastAsia"/>
                <w:szCs w:val="21"/>
              </w:rPr>
              <w:t>作出</w:t>
            </w:r>
            <w:proofErr w:type="gramEnd"/>
            <w:r w:rsidRPr="004B5EF6">
              <w:rPr>
                <w:rFonts w:ascii="仿宋_GB2312" w:eastAsia="仿宋_GB2312" w:hint="eastAsia"/>
                <w:szCs w:val="21"/>
              </w:rPr>
              <w:t>上述修改。</w:t>
            </w:r>
          </w:p>
        </w:tc>
        <w:tc>
          <w:tcPr>
            <w:tcW w:w="6836" w:type="dxa"/>
          </w:tcPr>
          <w:p w:rsidR="002B3E60" w:rsidRPr="002B3E60" w:rsidRDefault="004B5EF6" w:rsidP="002B3E60">
            <w:pPr>
              <w:rPr>
                <w:rFonts w:ascii="仿宋_GB2312" w:eastAsia="仿宋_GB2312"/>
                <w:sz w:val="32"/>
                <w:szCs w:val="32"/>
              </w:rPr>
            </w:pPr>
            <w:r>
              <w:rPr>
                <w:rFonts w:ascii="仿宋_GB2312" w:eastAsia="仿宋_GB2312" w:hint="eastAsia"/>
                <w:sz w:val="32"/>
                <w:szCs w:val="32"/>
              </w:rPr>
              <w:t>采纳</w:t>
            </w:r>
            <w:r w:rsidR="002A730C">
              <w:rPr>
                <w:rFonts w:ascii="仿宋_GB2312" w:eastAsia="仿宋_GB2312" w:hint="eastAsia"/>
                <w:sz w:val="32"/>
                <w:szCs w:val="32"/>
              </w:rPr>
              <w:t>。</w:t>
            </w: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3</w:t>
            </w:r>
          </w:p>
        </w:tc>
        <w:tc>
          <w:tcPr>
            <w:tcW w:w="1557" w:type="dxa"/>
            <w:tcBorders>
              <w:left w:val="single" w:sz="4" w:space="0" w:color="auto"/>
            </w:tcBorders>
          </w:tcPr>
          <w:p w:rsidR="002B3E60" w:rsidRPr="002B3E60" w:rsidRDefault="00AB16BA" w:rsidP="002B3E60">
            <w:pPr>
              <w:rPr>
                <w:rFonts w:ascii="仿宋_GB2312" w:eastAsia="仿宋_GB2312"/>
                <w:sz w:val="32"/>
                <w:szCs w:val="32"/>
              </w:rPr>
            </w:pPr>
            <w:r>
              <w:rPr>
                <w:rFonts w:ascii="仿宋_GB2312" w:eastAsia="仿宋_GB2312" w:hint="eastAsia"/>
                <w:sz w:val="32"/>
                <w:szCs w:val="32"/>
              </w:rPr>
              <w:t>市住建局</w:t>
            </w:r>
          </w:p>
        </w:tc>
        <w:tc>
          <w:tcPr>
            <w:tcW w:w="5245" w:type="dxa"/>
          </w:tcPr>
          <w:p w:rsidR="002B3E60" w:rsidRPr="004B5EF6" w:rsidRDefault="00CC4144" w:rsidP="002B3E60">
            <w:pPr>
              <w:rPr>
                <w:rFonts w:ascii="仿宋_GB2312" w:eastAsia="仿宋_GB2312"/>
                <w:szCs w:val="21"/>
              </w:rPr>
            </w:pPr>
            <w:r w:rsidRPr="00CC4144">
              <w:rPr>
                <w:rFonts w:ascii="仿宋_GB2312" w:eastAsia="仿宋_GB2312"/>
                <w:szCs w:val="21"/>
              </w:rPr>
              <w:t>根据《国务院关于优化建设工程防雷许可的决定》（国发〔2016〕39号）第一条要求，应将来文第二条</w:t>
            </w:r>
            <w:r w:rsidRPr="00CC4144">
              <w:rPr>
                <w:rFonts w:ascii="仿宋_GB2312" w:eastAsia="仿宋_GB2312"/>
                <w:szCs w:val="21"/>
              </w:rPr>
              <w:t>“</w:t>
            </w:r>
            <w:r w:rsidRPr="00CC4144">
              <w:rPr>
                <w:rFonts w:ascii="仿宋_GB2312" w:eastAsia="仿宋_GB2312"/>
                <w:szCs w:val="21"/>
              </w:rPr>
              <w:t>本办法适用于在本市行政区域内从事雷电防护装置检测活动单位的信用管理</w:t>
            </w:r>
            <w:r w:rsidRPr="00CC4144">
              <w:rPr>
                <w:rFonts w:ascii="仿宋_GB2312" w:eastAsia="仿宋_GB2312"/>
                <w:szCs w:val="21"/>
              </w:rPr>
              <w:t>”</w:t>
            </w:r>
            <w:r w:rsidRPr="00CC4144">
              <w:rPr>
                <w:rFonts w:ascii="仿宋_GB2312" w:eastAsia="仿宋_GB2312"/>
                <w:szCs w:val="21"/>
              </w:rPr>
              <w:t>内容修改为</w:t>
            </w:r>
            <w:r w:rsidRPr="00CC4144">
              <w:rPr>
                <w:rFonts w:ascii="仿宋_GB2312" w:eastAsia="仿宋_GB2312"/>
                <w:szCs w:val="21"/>
              </w:rPr>
              <w:t>“</w:t>
            </w:r>
            <w:r w:rsidRPr="00CC4144">
              <w:rPr>
                <w:rFonts w:ascii="仿宋_GB2312" w:eastAsia="仿宋_GB2312"/>
                <w:szCs w:val="21"/>
              </w:rPr>
              <w:t>本办法适用于在本市行政区域内对油库、气库、弹药库、化学品仓库、烟花爆竹、石化等易燃易爆建设工程和场所，雷电易发区内的</w:t>
            </w:r>
            <w:r w:rsidRPr="00CC4144">
              <w:rPr>
                <w:rFonts w:ascii="仿宋_GB2312" w:eastAsia="仿宋_GB2312"/>
                <w:szCs w:val="21"/>
              </w:rPr>
              <w:lastRenderedPageBreak/>
              <w:t>矿区、旅游景点或者投入使用的建（构）筑物、设施等需要单独安装雷电防护装置的场所，以及雷电风险高且没有防雷标准规范、需要进行特殊论证的大型项目开展雷电防护装置检测活动单位的信用管理</w:t>
            </w:r>
            <w:r w:rsidRPr="00CC4144">
              <w:rPr>
                <w:rFonts w:ascii="仿宋_GB2312" w:eastAsia="仿宋_GB2312"/>
                <w:szCs w:val="21"/>
              </w:rPr>
              <w:t>”</w:t>
            </w:r>
            <w:r w:rsidRPr="00CC4144">
              <w:rPr>
                <w:rFonts w:ascii="仿宋_GB2312" w:eastAsia="仿宋_GB2312"/>
                <w:szCs w:val="21"/>
              </w:rPr>
              <w:t>。</w:t>
            </w:r>
          </w:p>
        </w:tc>
        <w:tc>
          <w:tcPr>
            <w:tcW w:w="6836" w:type="dxa"/>
          </w:tcPr>
          <w:p w:rsidR="002B3E60" w:rsidRPr="002B3E60" w:rsidRDefault="008B2B37" w:rsidP="000E101A">
            <w:pPr>
              <w:rPr>
                <w:rFonts w:ascii="仿宋_GB2312" w:eastAsia="仿宋_GB2312"/>
                <w:sz w:val="32"/>
                <w:szCs w:val="32"/>
              </w:rPr>
            </w:pPr>
            <w:r w:rsidRPr="009B4BF8">
              <w:rPr>
                <w:rFonts w:ascii="仿宋_GB2312" w:eastAsia="仿宋_GB2312" w:hint="eastAsia"/>
                <w:szCs w:val="21"/>
              </w:rPr>
              <w:lastRenderedPageBreak/>
              <w:t>不</w:t>
            </w:r>
            <w:r w:rsidR="009B4BF8" w:rsidRPr="009B4BF8">
              <w:rPr>
                <w:rFonts w:ascii="仿宋_GB2312" w:eastAsia="仿宋_GB2312" w:hint="eastAsia"/>
                <w:szCs w:val="21"/>
              </w:rPr>
              <w:t>予</w:t>
            </w:r>
            <w:r w:rsidRPr="009B4BF8">
              <w:rPr>
                <w:rFonts w:ascii="仿宋_GB2312" w:eastAsia="仿宋_GB2312" w:hint="eastAsia"/>
                <w:szCs w:val="21"/>
              </w:rPr>
              <w:t>采纳。</w:t>
            </w:r>
            <w:r w:rsidR="009B4BF8">
              <w:rPr>
                <w:rFonts w:ascii="仿宋_GB2312" w:eastAsia="仿宋_GB2312" w:hint="eastAsia"/>
                <w:szCs w:val="21"/>
              </w:rPr>
              <w:t>根据《气象灾害防御条例》</w:t>
            </w:r>
            <w:r w:rsidR="009B4BF8" w:rsidRPr="000E101A">
              <w:rPr>
                <w:rFonts w:ascii="仿宋_GB2312" w:eastAsia="仿宋_GB2312" w:hint="eastAsia"/>
                <w:bCs/>
                <w:szCs w:val="21"/>
              </w:rPr>
              <w:t>第二十四条的规定，</w:t>
            </w:r>
            <w:r w:rsidR="009B4BF8" w:rsidRPr="000E101A">
              <w:rPr>
                <w:rFonts w:ascii="仿宋_GB2312" w:eastAsia="仿宋_GB2312" w:hint="eastAsia"/>
                <w:szCs w:val="21"/>
              </w:rPr>
              <w:t>从事雷电防护装置检测的单位应当取得国务院气象主管机构或者省、自治区、</w:t>
            </w:r>
            <w:r w:rsidR="009B4BF8" w:rsidRPr="009B4BF8">
              <w:rPr>
                <w:rFonts w:ascii="仿宋_GB2312" w:eastAsia="仿宋_GB2312" w:hint="eastAsia"/>
                <w:szCs w:val="21"/>
              </w:rPr>
              <w:t>直辖市气象主管机构颁发的资质证</w:t>
            </w:r>
            <w:r w:rsidR="009B4BF8">
              <w:rPr>
                <w:rFonts w:ascii="仿宋_GB2312" w:eastAsia="仿宋_GB2312" w:hint="eastAsia"/>
                <w:szCs w:val="21"/>
              </w:rPr>
              <w:t>。</w:t>
            </w:r>
            <w:r w:rsidR="002A730C">
              <w:rPr>
                <w:rFonts w:ascii="仿宋_GB2312" w:eastAsia="仿宋_GB2312" w:hint="eastAsia"/>
                <w:szCs w:val="21"/>
              </w:rPr>
              <w:t>《</w:t>
            </w:r>
            <w:r w:rsidR="002A730C" w:rsidRPr="002A730C">
              <w:rPr>
                <w:rFonts w:ascii="仿宋_GB2312" w:eastAsia="仿宋_GB2312" w:hint="eastAsia"/>
                <w:szCs w:val="21"/>
              </w:rPr>
              <w:t>广东省气象局 广东省住房和城乡建设厅关于做好优化房屋建筑和市政基础设施工程防雷许可工作的通知</w:t>
            </w:r>
            <w:r w:rsidR="002A730C">
              <w:rPr>
                <w:rFonts w:ascii="仿宋_GB2312" w:eastAsia="仿宋_GB2312" w:hint="eastAsia"/>
                <w:szCs w:val="21"/>
              </w:rPr>
              <w:t>》</w:t>
            </w:r>
            <w:r w:rsidR="002A730C" w:rsidRPr="002A730C">
              <w:rPr>
                <w:rFonts w:ascii="仿宋_GB2312" w:eastAsia="仿宋_GB2312" w:hint="eastAsia"/>
                <w:szCs w:val="21"/>
              </w:rPr>
              <w:t>（</w:t>
            </w:r>
            <w:proofErr w:type="gramStart"/>
            <w:r w:rsidR="002A730C" w:rsidRPr="002A730C">
              <w:rPr>
                <w:rFonts w:ascii="仿宋_GB2312" w:eastAsia="仿宋_GB2312" w:hint="eastAsia"/>
                <w:szCs w:val="21"/>
              </w:rPr>
              <w:t>粤气〔2016〕</w:t>
            </w:r>
            <w:proofErr w:type="gramEnd"/>
            <w:r w:rsidR="002A730C" w:rsidRPr="002A730C">
              <w:rPr>
                <w:rFonts w:ascii="仿宋_GB2312" w:eastAsia="仿宋_GB2312" w:hint="eastAsia"/>
                <w:szCs w:val="21"/>
              </w:rPr>
              <w:t>86号）</w:t>
            </w:r>
            <w:r w:rsidR="000E101A">
              <w:rPr>
                <w:rFonts w:ascii="仿宋_GB2312" w:eastAsia="仿宋_GB2312" w:hint="eastAsia"/>
                <w:szCs w:val="21"/>
              </w:rPr>
              <w:t>也</w:t>
            </w:r>
            <w:r w:rsidR="002A730C">
              <w:rPr>
                <w:rFonts w:ascii="仿宋_GB2312" w:eastAsia="仿宋_GB2312" w:hint="eastAsia"/>
                <w:szCs w:val="21"/>
              </w:rPr>
              <w:t>明确指出气象部门负责防雷装置检测机构的资质认定工作，并要加强对防雷检测行为的监管。</w:t>
            </w:r>
            <w:r w:rsidR="000E101A">
              <w:rPr>
                <w:rFonts w:ascii="仿宋_GB2312" w:eastAsia="仿宋_GB2312" w:hint="eastAsia"/>
                <w:szCs w:val="21"/>
              </w:rPr>
              <w:t>因此，只要从事雷电防护装置检</w:t>
            </w:r>
            <w:r w:rsidR="000E101A">
              <w:rPr>
                <w:rFonts w:ascii="仿宋_GB2312" w:eastAsia="仿宋_GB2312" w:hint="eastAsia"/>
                <w:szCs w:val="21"/>
              </w:rPr>
              <w:lastRenderedPageBreak/>
              <w:t>测的单位都应纳入信用监管范围。</w:t>
            </w: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lastRenderedPageBreak/>
              <w:t>4</w:t>
            </w:r>
          </w:p>
        </w:tc>
        <w:tc>
          <w:tcPr>
            <w:tcW w:w="1557" w:type="dxa"/>
            <w:tcBorders>
              <w:left w:val="single" w:sz="4" w:space="0" w:color="auto"/>
            </w:tcBorders>
          </w:tcPr>
          <w:p w:rsidR="002B3E60" w:rsidRPr="002B3E60" w:rsidRDefault="00AB16BA" w:rsidP="002B3E60">
            <w:pPr>
              <w:rPr>
                <w:rFonts w:ascii="仿宋_GB2312" w:eastAsia="仿宋_GB2312"/>
                <w:sz w:val="32"/>
                <w:szCs w:val="32"/>
              </w:rPr>
            </w:pPr>
            <w:r>
              <w:rPr>
                <w:rFonts w:ascii="仿宋_GB2312" w:eastAsia="仿宋_GB2312" w:hint="eastAsia"/>
                <w:sz w:val="32"/>
                <w:szCs w:val="32"/>
              </w:rPr>
              <w:t>市政数局</w:t>
            </w:r>
          </w:p>
        </w:tc>
        <w:tc>
          <w:tcPr>
            <w:tcW w:w="5245" w:type="dxa"/>
          </w:tcPr>
          <w:p w:rsidR="002B3E60" w:rsidRPr="004B5EF6" w:rsidRDefault="00AB16BA" w:rsidP="00AB16BA">
            <w:pPr>
              <w:rPr>
                <w:rFonts w:ascii="仿宋_GB2312" w:eastAsia="仿宋_GB2312"/>
                <w:szCs w:val="21"/>
              </w:rPr>
            </w:pPr>
            <w:r w:rsidRPr="004B5EF6">
              <w:rPr>
                <w:rFonts w:ascii="仿宋_GB2312" w:eastAsia="仿宋_GB2312" w:hint="eastAsia"/>
                <w:szCs w:val="21"/>
              </w:rPr>
              <w:t>建议在第七条增加一点：“如雷电防护装置检测单位在广东省网上中介服务超市</w:t>
            </w:r>
            <w:r w:rsidR="002C5AE5" w:rsidRPr="004B5EF6">
              <w:rPr>
                <w:rFonts w:ascii="仿宋_GB2312" w:eastAsia="仿宋_GB2312" w:hint="eastAsia"/>
                <w:szCs w:val="21"/>
              </w:rPr>
              <w:t>中有严重违法和严重失信行为或被行业主管部门列入有关失信联合惩戒黑名单的</w:t>
            </w:r>
            <w:r w:rsidRPr="004B5EF6">
              <w:rPr>
                <w:rFonts w:ascii="仿宋_GB2312" w:eastAsia="仿宋_GB2312" w:hint="eastAsia"/>
                <w:szCs w:val="21"/>
              </w:rPr>
              <w:t>”</w:t>
            </w:r>
          </w:p>
        </w:tc>
        <w:tc>
          <w:tcPr>
            <w:tcW w:w="6836" w:type="dxa"/>
          </w:tcPr>
          <w:p w:rsidR="002B3E60" w:rsidRPr="002B3E60" w:rsidRDefault="002C5AE5" w:rsidP="002B3E60">
            <w:pPr>
              <w:rPr>
                <w:rFonts w:ascii="仿宋_GB2312" w:eastAsia="仿宋_GB2312"/>
                <w:sz w:val="32"/>
                <w:szCs w:val="32"/>
              </w:rPr>
            </w:pPr>
            <w:r>
              <w:rPr>
                <w:rFonts w:ascii="仿宋_GB2312" w:eastAsia="仿宋_GB2312" w:hint="eastAsia"/>
                <w:sz w:val="32"/>
                <w:szCs w:val="32"/>
              </w:rPr>
              <w:t>采纳</w:t>
            </w:r>
            <w:r w:rsidR="002A730C">
              <w:rPr>
                <w:rFonts w:ascii="仿宋_GB2312" w:eastAsia="仿宋_GB2312" w:hint="eastAsia"/>
                <w:sz w:val="32"/>
                <w:szCs w:val="32"/>
              </w:rPr>
              <w:t>。</w:t>
            </w: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5</w:t>
            </w:r>
          </w:p>
        </w:tc>
        <w:tc>
          <w:tcPr>
            <w:tcW w:w="1557" w:type="dxa"/>
            <w:tcBorders>
              <w:left w:val="single" w:sz="4" w:space="0" w:color="auto"/>
            </w:tcBorders>
          </w:tcPr>
          <w:p w:rsidR="002B3E60" w:rsidRPr="002B3E60" w:rsidRDefault="00AB16BA" w:rsidP="002B3E60">
            <w:pPr>
              <w:rPr>
                <w:rFonts w:ascii="仿宋_GB2312" w:eastAsia="仿宋_GB2312"/>
                <w:sz w:val="32"/>
                <w:szCs w:val="32"/>
              </w:rPr>
            </w:pPr>
            <w:r>
              <w:rPr>
                <w:rFonts w:ascii="仿宋_GB2312" w:eastAsia="仿宋_GB2312" w:hint="eastAsia"/>
                <w:sz w:val="32"/>
                <w:szCs w:val="32"/>
              </w:rPr>
              <w:t>市交通局</w:t>
            </w:r>
          </w:p>
        </w:tc>
        <w:tc>
          <w:tcPr>
            <w:tcW w:w="5245" w:type="dxa"/>
          </w:tcPr>
          <w:p w:rsidR="002B3E60" w:rsidRPr="002B3E60" w:rsidRDefault="00457198" w:rsidP="002B3E60">
            <w:pPr>
              <w:rPr>
                <w:rFonts w:ascii="仿宋_GB2312" w:eastAsia="仿宋_GB2312"/>
                <w:sz w:val="32"/>
                <w:szCs w:val="32"/>
              </w:rPr>
            </w:pPr>
            <w:r>
              <w:rPr>
                <w:rFonts w:ascii="仿宋_GB2312" w:eastAsia="仿宋_GB2312" w:hint="eastAsia"/>
                <w:sz w:val="32"/>
                <w:szCs w:val="32"/>
              </w:rPr>
              <w:t>无意见</w:t>
            </w:r>
          </w:p>
        </w:tc>
        <w:tc>
          <w:tcPr>
            <w:tcW w:w="6836" w:type="dxa"/>
          </w:tcPr>
          <w:p w:rsidR="002B3E60" w:rsidRPr="002B3E60" w:rsidRDefault="002B3E60" w:rsidP="002B3E60">
            <w:pPr>
              <w:rPr>
                <w:rFonts w:ascii="仿宋_GB2312" w:eastAsia="仿宋_GB2312"/>
                <w:sz w:val="32"/>
                <w:szCs w:val="32"/>
              </w:rPr>
            </w:pPr>
          </w:p>
        </w:tc>
      </w:tr>
      <w:tr w:rsidR="002B3E60" w:rsidRPr="002B3E60" w:rsidTr="004C1D3E">
        <w:tc>
          <w:tcPr>
            <w:tcW w:w="536" w:type="dxa"/>
            <w:tcBorders>
              <w:righ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6</w:t>
            </w:r>
          </w:p>
        </w:tc>
        <w:tc>
          <w:tcPr>
            <w:tcW w:w="1557" w:type="dxa"/>
            <w:tcBorders>
              <w:left w:val="single" w:sz="4" w:space="0" w:color="auto"/>
            </w:tcBorders>
          </w:tcPr>
          <w:p w:rsidR="002B3E60" w:rsidRPr="002B3E60" w:rsidRDefault="00AB16BA" w:rsidP="002B3E60">
            <w:pPr>
              <w:rPr>
                <w:rFonts w:ascii="仿宋_GB2312" w:eastAsia="仿宋_GB2312"/>
                <w:sz w:val="32"/>
                <w:szCs w:val="32"/>
              </w:rPr>
            </w:pPr>
            <w:r>
              <w:rPr>
                <w:rFonts w:ascii="仿宋_GB2312" w:eastAsia="仿宋_GB2312" w:hint="eastAsia"/>
                <w:sz w:val="32"/>
                <w:szCs w:val="32"/>
              </w:rPr>
              <w:t>市水</w:t>
            </w:r>
            <w:proofErr w:type="gramStart"/>
            <w:r>
              <w:rPr>
                <w:rFonts w:ascii="仿宋_GB2312" w:eastAsia="仿宋_GB2312" w:hint="eastAsia"/>
                <w:sz w:val="32"/>
                <w:szCs w:val="32"/>
              </w:rPr>
              <w:t>务</w:t>
            </w:r>
            <w:proofErr w:type="gramEnd"/>
            <w:r>
              <w:rPr>
                <w:rFonts w:ascii="仿宋_GB2312" w:eastAsia="仿宋_GB2312" w:hint="eastAsia"/>
                <w:sz w:val="32"/>
                <w:szCs w:val="32"/>
              </w:rPr>
              <w:t>局</w:t>
            </w:r>
          </w:p>
        </w:tc>
        <w:tc>
          <w:tcPr>
            <w:tcW w:w="5245" w:type="dxa"/>
          </w:tcPr>
          <w:p w:rsidR="002B3E60" w:rsidRPr="002B3E60" w:rsidRDefault="00AB16BA" w:rsidP="002B3E60">
            <w:pPr>
              <w:rPr>
                <w:rFonts w:ascii="仿宋_GB2312" w:eastAsia="仿宋_GB2312"/>
                <w:sz w:val="32"/>
                <w:szCs w:val="32"/>
              </w:rPr>
            </w:pPr>
            <w:r>
              <w:rPr>
                <w:rFonts w:ascii="仿宋_GB2312" w:eastAsia="仿宋_GB2312" w:hint="eastAsia"/>
                <w:sz w:val="32"/>
                <w:szCs w:val="32"/>
              </w:rPr>
              <w:t>无意见</w:t>
            </w:r>
          </w:p>
        </w:tc>
        <w:tc>
          <w:tcPr>
            <w:tcW w:w="6836" w:type="dxa"/>
          </w:tcPr>
          <w:p w:rsidR="002B3E60" w:rsidRPr="002B3E60" w:rsidRDefault="002B3E60" w:rsidP="002B3E60">
            <w:pPr>
              <w:rPr>
                <w:rFonts w:ascii="仿宋_GB2312" w:eastAsia="仿宋_GB2312"/>
                <w:sz w:val="32"/>
                <w:szCs w:val="32"/>
              </w:rPr>
            </w:pPr>
          </w:p>
        </w:tc>
      </w:tr>
    </w:tbl>
    <w:p w:rsidR="002B3E60" w:rsidRPr="002B3E60" w:rsidRDefault="002B3E60" w:rsidP="002B3E60">
      <w:pPr>
        <w:rPr>
          <w:rFonts w:ascii="仿宋_GB2312" w:eastAsia="仿宋_GB2312"/>
          <w:sz w:val="32"/>
          <w:szCs w:val="32"/>
        </w:rPr>
      </w:pPr>
      <w:bookmarkStart w:id="0" w:name="_GoBack"/>
      <w:bookmarkEnd w:id="0"/>
    </w:p>
    <w:sectPr w:rsidR="002B3E60" w:rsidRPr="002B3E60" w:rsidSect="002B3E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EB" w:rsidRDefault="009B17EB" w:rsidP="009B4E79">
      <w:r>
        <w:separator/>
      </w:r>
    </w:p>
  </w:endnote>
  <w:endnote w:type="continuationSeparator" w:id="0">
    <w:p w:rsidR="009B17EB" w:rsidRDefault="009B17EB" w:rsidP="009B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EB" w:rsidRDefault="009B17EB" w:rsidP="009B4E79">
      <w:r>
        <w:separator/>
      </w:r>
    </w:p>
  </w:footnote>
  <w:footnote w:type="continuationSeparator" w:id="0">
    <w:p w:rsidR="009B17EB" w:rsidRDefault="009B17EB" w:rsidP="009B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E60"/>
    <w:rsid w:val="000942D9"/>
    <w:rsid w:val="000E101A"/>
    <w:rsid w:val="00131719"/>
    <w:rsid w:val="002A730C"/>
    <w:rsid w:val="002B3E60"/>
    <w:rsid w:val="002C5AE5"/>
    <w:rsid w:val="003664EF"/>
    <w:rsid w:val="00457198"/>
    <w:rsid w:val="004B5EF6"/>
    <w:rsid w:val="004C1D3E"/>
    <w:rsid w:val="008B2B37"/>
    <w:rsid w:val="009B17EB"/>
    <w:rsid w:val="009B4BF8"/>
    <w:rsid w:val="009B4E79"/>
    <w:rsid w:val="00AB16BA"/>
    <w:rsid w:val="00C11DD2"/>
    <w:rsid w:val="00C83096"/>
    <w:rsid w:val="00CC4144"/>
    <w:rsid w:val="00E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E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9B4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4E79"/>
    <w:rPr>
      <w:sz w:val="18"/>
      <w:szCs w:val="18"/>
    </w:rPr>
  </w:style>
  <w:style w:type="paragraph" w:styleId="a5">
    <w:name w:val="footer"/>
    <w:basedOn w:val="a"/>
    <w:link w:val="Char0"/>
    <w:uiPriority w:val="99"/>
    <w:unhideWhenUsed/>
    <w:rsid w:val="009B4E79"/>
    <w:pPr>
      <w:tabs>
        <w:tab w:val="center" w:pos="4153"/>
        <w:tab w:val="right" w:pos="8306"/>
      </w:tabs>
      <w:snapToGrid w:val="0"/>
      <w:jc w:val="left"/>
    </w:pPr>
    <w:rPr>
      <w:sz w:val="18"/>
      <w:szCs w:val="18"/>
    </w:rPr>
  </w:style>
  <w:style w:type="character" w:customStyle="1" w:styleId="Char0">
    <w:name w:val="页脚 Char"/>
    <w:basedOn w:val="a0"/>
    <w:link w:val="a5"/>
    <w:uiPriority w:val="99"/>
    <w:rsid w:val="009B4E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827</Characters>
  <Application>Microsoft Office Word</Application>
  <DocSecurity>0</DocSecurity>
  <Lines>6</Lines>
  <Paragraphs>1</Paragraphs>
  <ScaleCrop>false</ScaleCrop>
  <Company>Chinese ORG</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周丽(承办人)</dc:creator>
  <cp:lastModifiedBy>周丽</cp:lastModifiedBy>
  <cp:revision>4</cp:revision>
  <dcterms:created xsi:type="dcterms:W3CDTF">2020-06-04T00:56:00Z</dcterms:created>
  <dcterms:modified xsi:type="dcterms:W3CDTF">2020-06-22T08:44:00Z</dcterms:modified>
</cp:coreProperties>
</file>