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lang w:val="en-US" w:eastAsia="zh-CN"/>
        </w:rPr>
        <w:t xml:space="preserve"> </w:t>
      </w:r>
      <w:r>
        <w:rPr>
          <w:rFonts w:ascii="方正小标宋简体" w:eastAsia="方正小标宋简体" w:hAnsi="方正小标宋简体" w:cs="方正小标宋简体" w:hint="eastAsia"/>
          <w:sz w:val="44"/>
          <w:szCs w:val="44"/>
        </w:rPr>
        <w:t>潮州市气候可行性论证项目指导目录</w:t>
      </w:r>
    </w:p>
    <w:p>
      <w:pPr>
        <w:jc w:val="both"/>
        <w:rPr>
          <w:rFonts w:ascii="方正小标宋简体" w:eastAsia="方正小标宋简体" w:hAnsi="方正小标宋简体" w:cs="方正小标宋简体" w:hint="eastAsia"/>
          <w:sz w:val="44"/>
          <w:szCs w:val="44"/>
        </w:rPr>
      </w:pPr>
    </w:p>
    <w:tbl>
      <w:tblPr>
        <w:tblStyle w:val="TableGrid"/>
        <w:tblW w:w="86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80"/>
        <w:gridCol w:w="2253"/>
        <w:gridCol w:w="5467"/>
      </w:tblGrid>
      <w:tr>
        <w:tblPrEx>
          <w:tblW w:w="86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651"/>
        </w:trPr>
        <w:tc>
          <w:tcPr>
            <w:tcW w:w="880" w:type="dxa"/>
            <w:vAlign w:val="center"/>
          </w:tcPr>
          <w:p>
            <w:pPr>
              <w:jc w:val="center"/>
              <w:rPr>
                <w:rFonts w:eastAsiaTheme="minorEastAsia" w:hint="eastAsia"/>
                <w:b/>
                <w:bCs/>
                <w:sz w:val="21"/>
                <w:szCs w:val="21"/>
                <w:vertAlign w:val="baseline"/>
                <w:lang w:eastAsia="zh-CN"/>
              </w:rPr>
            </w:pPr>
            <w:r>
              <w:rPr>
                <w:rFonts w:hint="eastAsia"/>
                <w:b/>
                <w:bCs/>
                <w:sz w:val="21"/>
                <w:szCs w:val="21"/>
                <w:vertAlign w:val="baseline"/>
                <w:lang w:eastAsia="zh-CN"/>
              </w:rPr>
              <w:t>序号</w:t>
            </w:r>
          </w:p>
        </w:tc>
        <w:tc>
          <w:tcPr>
            <w:tcW w:w="2253" w:type="dxa"/>
            <w:vAlign w:val="center"/>
          </w:tcPr>
          <w:p>
            <w:pPr>
              <w:jc w:val="center"/>
              <w:rPr>
                <w:rFonts w:eastAsiaTheme="minorEastAsia" w:hint="eastAsia"/>
                <w:b/>
                <w:bCs/>
                <w:sz w:val="21"/>
                <w:szCs w:val="21"/>
                <w:vertAlign w:val="baseline"/>
                <w:lang w:eastAsia="zh-CN"/>
              </w:rPr>
            </w:pPr>
            <w:r>
              <w:rPr>
                <w:rFonts w:hint="eastAsia"/>
                <w:b/>
                <w:bCs/>
                <w:sz w:val="21"/>
                <w:szCs w:val="21"/>
                <w:vertAlign w:val="baseline"/>
                <w:lang w:eastAsia="zh-CN"/>
              </w:rPr>
              <w:t>类型</w:t>
            </w:r>
          </w:p>
        </w:tc>
        <w:tc>
          <w:tcPr>
            <w:tcW w:w="5467" w:type="dxa"/>
            <w:vAlign w:val="center"/>
          </w:tcPr>
          <w:p>
            <w:pPr>
              <w:jc w:val="center"/>
              <w:rPr>
                <w:rFonts w:eastAsiaTheme="minorEastAsia" w:hint="eastAsia"/>
                <w:b/>
                <w:bCs/>
                <w:sz w:val="21"/>
                <w:szCs w:val="21"/>
                <w:vertAlign w:val="baseline"/>
                <w:lang w:eastAsia="zh-CN"/>
              </w:rPr>
            </w:pPr>
            <w:r>
              <w:rPr>
                <w:rFonts w:hint="eastAsia"/>
                <w:b/>
                <w:bCs/>
                <w:sz w:val="21"/>
                <w:szCs w:val="21"/>
                <w:vertAlign w:val="baseline"/>
                <w:lang w:eastAsia="zh-CN"/>
              </w:rPr>
              <w:t>范围</w:t>
            </w:r>
          </w:p>
        </w:tc>
      </w:tr>
      <w:tr>
        <w:tblPrEx>
          <w:tblW w:w="8600" w:type="dxa"/>
          <w:tblInd w:w="0" w:type="dxa"/>
          <w:tblLayout w:type="fixed"/>
          <w:tblCellMar>
            <w:top w:w="0" w:type="dxa"/>
            <w:left w:w="108" w:type="dxa"/>
            <w:bottom w:w="0" w:type="dxa"/>
            <w:right w:w="108" w:type="dxa"/>
          </w:tblCellMar>
        </w:tblPrEx>
        <w:trPr>
          <w:trHeight w:val="2506"/>
        </w:trPr>
        <w:tc>
          <w:tcPr>
            <w:tcW w:w="880" w:type="dxa"/>
            <w:vAlign w:val="center"/>
          </w:tcPr>
          <w:p>
            <w:pPr>
              <w:jc w:val="center"/>
              <w:rPr>
                <w:rFonts w:eastAsiaTheme="minorEastAsia" w:hint="eastAsia"/>
                <w:sz w:val="21"/>
                <w:szCs w:val="21"/>
                <w:vertAlign w:val="baseline"/>
                <w:lang w:val="en-US" w:eastAsia="zh-CN"/>
              </w:rPr>
            </w:pPr>
            <w:r>
              <w:rPr>
                <w:rFonts w:hint="eastAsia"/>
                <w:sz w:val="21"/>
                <w:szCs w:val="21"/>
                <w:vertAlign w:val="baseline"/>
                <w:lang w:val="en-US" w:eastAsia="zh-CN"/>
              </w:rPr>
              <w:t>1</w:t>
            </w:r>
          </w:p>
        </w:tc>
        <w:tc>
          <w:tcPr>
            <w:tcW w:w="2253" w:type="dxa"/>
            <w:vAlign w:val="center"/>
          </w:tcPr>
          <w:p>
            <w:pPr>
              <w:jc w:val="both"/>
              <w:rPr>
                <w:rFonts w:eastAsiaTheme="minorEastAsia" w:hint="eastAsia"/>
                <w:sz w:val="21"/>
                <w:szCs w:val="21"/>
                <w:vertAlign w:val="baseline"/>
                <w:lang w:eastAsia="zh-CN"/>
              </w:rPr>
            </w:pPr>
            <w:r>
              <w:rPr>
                <w:rFonts w:hint="eastAsia"/>
                <w:sz w:val="21"/>
                <w:szCs w:val="21"/>
                <w:vertAlign w:val="baseline"/>
                <w:lang w:eastAsia="zh-CN"/>
              </w:rPr>
              <w:t>国土空间规划、重点领域或区域发展规划</w:t>
            </w:r>
          </w:p>
        </w:tc>
        <w:tc>
          <w:tcPr>
            <w:tcW w:w="5467" w:type="dxa"/>
            <w:vAlign w:val="center"/>
          </w:tcPr>
          <w:p>
            <w:pPr>
              <w:jc w:val="both"/>
              <w:rPr>
                <w:rFonts w:eastAsiaTheme="minorEastAsia" w:hint="eastAsia"/>
                <w:sz w:val="21"/>
                <w:szCs w:val="21"/>
                <w:vertAlign w:val="baseline"/>
                <w:lang w:eastAsia="zh-CN"/>
              </w:rPr>
            </w:pPr>
            <w:r>
              <w:rPr>
                <w:rFonts w:hint="eastAsia"/>
                <w:sz w:val="21"/>
                <w:szCs w:val="21"/>
                <w:vertAlign w:val="baseline"/>
                <w:lang w:eastAsia="zh-CN"/>
              </w:rPr>
              <w:t>国土空间规划、城市排水规划、海绵城市建设规划、气候适应型城市发展规划、通风廊道规划、燃气规划、地级市以上立项旅游景区规划、省级自然保护区规划，太阳能、风能、旅游气候资源等开发利用规划。</w:t>
            </w:r>
          </w:p>
        </w:tc>
      </w:tr>
      <w:tr>
        <w:tblPrEx>
          <w:tblW w:w="8600" w:type="dxa"/>
          <w:tblInd w:w="0" w:type="dxa"/>
          <w:tblLayout w:type="fixed"/>
          <w:tblCellMar>
            <w:top w:w="0" w:type="dxa"/>
            <w:left w:w="108" w:type="dxa"/>
            <w:bottom w:w="0" w:type="dxa"/>
            <w:right w:w="108" w:type="dxa"/>
          </w:tblCellMar>
        </w:tblPrEx>
        <w:trPr>
          <w:trHeight w:val="1271"/>
        </w:trPr>
        <w:tc>
          <w:tcPr>
            <w:tcW w:w="880" w:type="dxa"/>
            <w:vAlign w:val="center"/>
          </w:tcPr>
          <w:p>
            <w:pPr>
              <w:jc w:val="center"/>
              <w:rPr>
                <w:rFonts w:eastAsiaTheme="minorEastAsia" w:hint="eastAsia"/>
                <w:sz w:val="21"/>
                <w:szCs w:val="21"/>
                <w:vertAlign w:val="baseline"/>
                <w:lang w:val="en-US" w:eastAsia="zh-CN"/>
              </w:rPr>
            </w:pPr>
            <w:r>
              <w:rPr>
                <w:rFonts w:hint="eastAsia"/>
                <w:sz w:val="21"/>
                <w:szCs w:val="21"/>
                <w:vertAlign w:val="baseline"/>
                <w:lang w:val="en-US" w:eastAsia="zh-CN"/>
              </w:rPr>
              <w:t>2</w:t>
            </w:r>
          </w:p>
        </w:tc>
        <w:tc>
          <w:tcPr>
            <w:tcW w:w="2253" w:type="dxa"/>
            <w:vAlign w:val="center"/>
          </w:tcPr>
          <w:p>
            <w:pPr>
              <w:jc w:val="both"/>
              <w:rPr>
                <w:rFonts w:eastAsiaTheme="minorEastAsia" w:hint="eastAsia"/>
                <w:sz w:val="21"/>
                <w:szCs w:val="21"/>
                <w:vertAlign w:val="baseline"/>
                <w:lang w:eastAsia="zh-CN"/>
              </w:rPr>
            </w:pPr>
            <w:r>
              <w:rPr>
                <w:rFonts w:hint="eastAsia"/>
                <w:sz w:val="21"/>
                <w:szCs w:val="21"/>
                <w:vertAlign w:val="baseline"/>
                <w:lang w:eastAsia="zh-CN"/>
              </w:rPr>
              <w:t>重大区域性经济开发、区域农（牧）业结构调整</w:t>
            </w:r>
          </w:p>
        </w:tc>
        <w:tc>
          <w:tcPr>
            <w:tcW w:w="5467" w:type="dxa"/>
            <w:vAlign w:val="center"/>
          </w:tcPr>
          <w:p>
            <w:pPr>
              <w:jc w:val="both"/>
              <w:rPr>
                <w:rFonts w:eastAsiaTheme="minorEastAsia" w:hint="eastAsia"/>
                <w:sz w:val="21"/>
                <w:szCs w:val="21"/>
                <w:vertAlign w:val="baseline"/>
                <w:lang w:eastAsia="zh-CN"/>
              </w:rPr>
            </w:pPr>
            <w:r>
              <w:rPr>
                <w:rFonts w:hint="eastAsia"/>
                <w:sz w:val="21"/>
                <w:szCs w:val="21"/>
                <w:vertAlign w:val="baseline"/>
                <w:lang w:eastAsia="zh-CN"/>
              </w:rPr>
              <w:t>经济开发区（工业园区）、行业发展规划、区域农（牧）业结构调整。</w:t>
            </w:r>
          </w:p>
        </w:tc>
      </w:tr>
      <w:tr>
        <w:tblPrEx>
          <w:tblW w:w="8600" w:type="dxa"/>
          <w:tblInd w:w="0" w:type="dxa"/>
          <w:tblLayout w:type="fixed"/>
          <w:tblCellMar>
            <w:top w:w="0" w:type="dxa"/>
            <w:left w:w="108" w:type="dxa"/>
            <w:bottom w:w="0" w:type="dxa"/>
            <w:right w:w="108" w:type="dxa"/>
          </w:tblCellMar>
        </w:tblPrEx>
        <w:trPr>
          <w:trHeight w:val="3128"/>
        </w:trPr>
        <w:tc>
          <w:tcPr>
            <w:tcW w:w="880" w:type="dxa"/>
            <w:vAlign w:val="center"/>
          </w:tcPr>
          <w:p>
            <w:pPr>
              <w:jc w:val="center"/>
              <w:rPr>
                <w:rFonts w:eastAsiaTheme="minorEastAsia" w:hint="eastAsia"/>
                <w:sz w:val="21"/>
                <w:szCs w:val="21"/>
                <w:vertAlign w:val="baseline"/>
                <w:lang w:val="en-US" w:eastAsia="zh-CN"/>
              </w:rPr>
            </w:pPr>
            <w:r>
              <w:rPr>
                <w:rFonts w:hint="eastAsia"/>
                <w:sz w:val="21"/>
                <w:szCs w:val="21"/>
                <w:vertAlign w:val="baseline"/>
                <w:lang w:val="en-US" w:eastAsia="zh-CN"/>
              </w:rPr>
              <w:t>3</w:t>
            </w:r>
          </w:p>
        </w:tc>
        <w:tc>
          <w:tcPr>
            <w:tcW w:w="2253" w:type="dxa"/>
            <w:vAlign w:val="center"/>
          </w:tcPr>
          <w:p>
            <w:pPr>
              <w:jc w:val="both"/>
              <w:rPr>
                <w:rFonts w:hint="eastAsia"/>
                <w:sz w:val="21"/>
                <w:szCs w:val="21"/>
                <w:vertAlign w:val="baseline"/>
              </w:rPr>
            </w:pPr>
            <w:r>
              <w:rPr>
                <w:rFonts w:hint="eastAsia"/>
                <w:sz w:val="21"/>
                <w:szCs w:val="21"/>
                <w:vertAlign w:val="baseline"/>
                <w:lang w:eastAsia="zh-CN"/>
              </w:rPr>
              <w:t>大型建（构）筑物以及大型公共设施工程</w:t>
            </w:r>
          </w:p>
        </w:tc>
        <w:tc>
          <w:tcPr>
            <w:tcW w:w="5467" w:type="dxa"/>
            <w:vAlign w:val="center"/>
          </w:tcPr>
          <w:p>
            <w:pPr>
              <w:numPr>
                <w:ilvl w:val="0"/>
                <w:numId w:val="1"/>
              </w:numPr>
              <w:jc w:val="both"/>
              <w:rPr>
                <w:rFonts w:hint="eastAsia"/>
                <w:sz w:val="21"/>
                <w:szCs w:val="21"/>
                <w:vertAlign w:val="baseline"/>
                <w:lang w:val="en-US" w:eastAsia="zh-CN"/>
              </w:rPr>
            </w:pPr>
            <w:r>
              <w:rPr>
                <w:rFonts w:hint="eastAsia"/>
                <w:sz w:val="21"/>
                <w:szCs w:val="21"/>
                <w:vertAlign w:val="baseline"/>
                <w:lang w:val="en-US" w:eastAsia="zh-CN"/>
              </w:rPr>
              <w:t>高度超过150米的建（构）筑物。</w:t>
            </w:r>
          </w:p>
          <w:p>
            <w:pPr>
              <w:numPr>
                <w:ilvl w:val="0"/>
                <w:numId w:val="1"/>
              </w:numPr>
              <w:jc w:val="both"/>
              <w:rPr>
                <w:rFonts w:hint="eastAsia"/>
                <w:sz w:val="21"/>
                <w:szCs w:val="21"/>
                <w:vertAlign w:val="baseline"/>
                <w:lang w:val="en-US" w:eastAsia="zh-CN"/>
              </w:rPr>
            </w:pPr>
            <w:r>
              <w:rPr>
                <w:rFonts w:hint="eastAsia"/>
                <w:sz w:val="21"/>
                <w:szCs w:val="21"/>
                <w:vertAlign w:val="baseline"/>
                <w:lang w:val="en-US" w:eastAsia="zh-CN"/>
              </w:rPr>
              <w:t>采用柔性盖层结构以及质量轻、刚度小的索膜结构的，建筑高度超过30米且跨度大于36米的大跨度建筑。</w:t>
            </w:r>
          </w:p>
          <w:p>
            <w:pPr>
              <w:numPr>
                <w:ilvl w:val="0"/>
                <w:numId w:val="1"/>
              </w:numPr>
              <w:jc w:val="both"/>
              <w:rPr>
                <w:rFonts w:hint="eastAsia"/>
                <w:sz w:val="21"/>
                <w:szCs w:val="21"/>
                <w:vertAlign w:val="baseline"/>
                <w:lang w:val="en-US" w:eastAsia="zh-CN"/>
              </w:rPr>
            </w:pPr>
            <w:r>
              <w:rPr>
                <w:rFonts w:hint="eastAsia"/>
                <w:sz w:val="21"/>
                <w:szCs w:val="21"/>
                <w:vertAlign w:val="baseline"/>
                <w:lang w:val="en-US" w:eastAsia="zh-CN"/>
              </w:rPr>
              <w:t>城市通风廊道管控区内的建设或改造项目。</w:t>
            </w:r>
          </w:p>
          <w:p>
            <w:pPr>
              <w:numPr>
                <w:ilvl w:val="0"/>
                <w:numId w:val="1"/>
              </w:numPr>
              <w:jc w:val="both"/>
              <w:rPr>
                <w:rFonts w:hint="eastAsia"/>
                <w:sz w:val="21"/>
                <w:szCs w:val="21"/>
                <w:vertAlign w:val="baseline"/>
                <w:lang w:val="en-US" w:eastAsia="zh-CN"/>
              </w:rPr>
            </w:pPr>
            <w:r>
              <w:rPr>
                <w:rFonts w:hint="eastAsia"/>
                <w:sz w:val="21"/>
                <w:szCs w:val="21"/>
                <w:vertAlign w:val="baseline"/>
                <w:lang w:val="en-US" w:eastAsia="zh-CN"/>
              </w:rPr>
              <w:t>额定日处理能力1200吨/日以上的城市生活垃圾处理工程，焚烧量300吨/日及以上的垃圾焚烧工程。</w:t>
            </w:r>
          </w:p>
        </w:tc>
      </w:tr>
      <w:tr>
        <w:tblPrEx>
          <w:tblW w:w="8600" w:type="dxa"/>
          <w:tblInd w:w="0" w:type="dxa"/>
          <w:tblLayout w:type="fixed"/>
          <w:tblCellMar>
            <w:top w:w="0" w:type="dxa"/>
            <w:left w:w="108" w:type="dxa"/>
            <w:bottom w:w="0" w:type="dxa"/>
            <w:right w:w="108" w:type="dxa"/>
          </w:tblCellMar>
        </w:tblPrEx>
        <w:trPr>
          <w:trHeight w:val="1891"/>
        </w:trPr>
        <w:tc>
          <w:tcPr>
            <w:tcW w:w="880" w:type="dxa"/>
            <w:vAlign w:val="center"/>
          </w:tcPr>
          <w:p>
            <w:pPr>
              <w:jc w:val="center"/>
              <w:rPr>
                <w:rFonts w:eastAsiaTheme="minorEastAsia" w:hint="eastAsia"/>
                <w:sz w:val="21"/>
                <w:szCs w:val="21"/>
                <w:vertAlign w:val="baseline"/>
                <w:lang w:val="en-US" w:eastAsia="zh-CN"/>
              </w:rPr>
            </w:pPr>
            <w:r>
              <w:rPr>
                <w:rFonts w:hint="eastAsia"/>
                <w:sz w:val="21"/>
                <w:szCs w:val="21"/>
                <w:vertAlign w:val="baseline"/>
                <w:lang w:val="en-US" w:eastAsia="zh-CN"/>
              </w:rPr>
              <w:t>4</w:t>
            </w:r>
          </w:p>
        </w:tc>
        <w:tc>
          <w:tcPr>
            <w:tcW w:w="2253" w:type="dxa"/>
            <w:vAlign w:val="center"/>
          </w:tcPr>
          <w:p>
            <w:pPr>
              <w:jc w:val="both"/>
              <w:rPr>
                <w:rFonts w:eastAsiaTheme="minorEastAsia" w:hint="eastAsia"/>
                <w:sz w:val="21"/>
                <w:szCs w:val="21"/>
                <w:vertAlign w:val="baseline"/>
                <w:lang w:eastAsia="zh-CN"/>
              </w:rPr>
            </w:pPr>
            <w:r>
              <w:rPr>
                <w:rFonts w:hint="eastAsia"/>
                <w:sz w:val="21"/>
                <w:szCs w:val="21"/>
                <w:vertAlign w:val="baseline"/>
                <w:lang w:eastAsia="zh-CN"/>
              </w:rPr>
              <w:t>公路工程</w:t>
            </w:r>
          </w:p>
        </w:tc>
        <w:tc>
          <w:tcPr>
            <w:tcW w:w="5467" w:type="dxa"/>
            <w:vAlign w:val="center"/>
          </w:tcPr>
          <w:p>
            <w:pPr>
              <w:numPr>
                <w:ilvl w:val="0"/>
                <w:numId w:val="2"/>
              </w:numPr>
              <w:jc w:val="both"/>
              <w:rPr>
                <w:rFonts w:hint="eastAsia"/>
                <w:sz w:val="21"/>
                <w:szCs w:val="21"/>
                <w:vertAlign w:val="baseline"/>
                <w:lang w:val="en-US" w:eastAsia="zh-CN"/>
              </w:rPr>
            </w:pPr>
            <w:r>
              <w:rPr>
                <w:rFonts w:hint="eastAsia"/>
                <w:sz w:val="21"/>
                <w:szCs w:val="21"/>
                <w:vertAlign w:val="baseline"/>
                <w:lang w:val="en-US" w:eastAsia="zh-CN"/>
              </w:rPr>
              <w:t>新建高速公路。</w:t>
            </w:r>
          </w:p>
          <w:p>
            <w:pPr>
              <w:numPr>
                <w:ilvl w:val="0"/>
                <w:numId w:val="2"/>
              </w:numPr>
              <w:jc w:val="both"/>
              <w:rPr>
                <w:rFonts w:hint="eastAsia"/>
                <w:sz w:val="21"/>
                <w:szCs w:val="21"/>
                <w:vertAlign w:val="baseline"/>
                <w:lang w:val="en-US" w:eastAsia="zh-CN"/>
              </w:rPr>
            </w:pPr>
            <w:r>
              <w:rPr>
                <w:rFonts w:hint="eastAsia"/>
                <w:sz w:val="21"/>
                <w:szCs w:val="21"/>
                <w:vertAlign w:val="baseline"/>
                <w:lang w:val="en-US" w:eastAsia="zh-CN"/>
              </w:rPr>
              <w:t>交通运输部《关于在初步设计阶段实行公路桥梁和隧道工程安全风险评估制度的通知》（交公路发〔2010〕175号）规定的公路桥梁和隧道工程安全风险评估范围。</w:t>
            </w:r>
          </w:p>
        </w:tc>
      </w:tr>
      <w:tr>
        <w:tblPrEx>
          <w:tblW w:w="8600" w:type="dxa"/>
          <w:tblInd w:w="0" w:type="dxa"/>
          <w:tblLayout w:type="fixed"/>
          <w:tblCellMar>
            <w:top w:w="0" w:type="dxa"/>
            <w:left w:w="108" w:type="dxa"/>
            <w:bottom w:w="0" w:type="dxa"/>
            <w:right w:w="108" w:type="dxa"/>
          </w:tblCellMar>
        </w:tblPrEx>
        <w:trPr>
          <w:trHeight w:val="1580"/>
        </w:trPr>
        <w:tc>
          <w:tcPr>
            <w:tcW w:w="880" w:type="dxa"/>
            <w:vAlign w:val="center"/>
          </w:tcPr>
          <w:p>
            <w:pPr>
              <w:jc w:val="center"/>
              <w:rPr>
                <w:rFonts w:eastAsiaTheme="minorEastAsia" w:hint="eastAsia"/>
                <w:sz w:val="21"/>
                <w:szCs w:val="21"/>
                <w:vertAlign w:val="baseline"/>
                <w:lang w:val="en-US" w:eastAsia="zh-CN"/>
              </w:rPr>
            </w:pPr>
            <w:r>
              <w:rPr>
                <w:rFonts w:hint="eastAsia"/>
                <w:sz w:val="21"/>
                <w:szCs w:val="21"/>
                <w:vertAlign w:val="baseline"/>
                <w:lang w:val="en-US" w:eastAsia="zh-CN"/>
              </w:rPr>
              <w:t>5</w:t>
            </w:r>
          </w:p>
        </w:tc>
        <w:tc>
          <w:tcPr>
            <w:tcW w:w="2253" w:type="dxa"/>
            <w:vAlign w:val="center"/>
          </w:tcPr>
          <w:p>
            <w:pPr>
              <w:jc w:val="both"/>
              <w:rPr>
                <w:rFonts w:eastAsiaTheme="minorEastAsia" w:hint="eastAsia"/>
                <w:sz w:val="21"/>
                <w:szCs w:val="21"/>
                <w:vertAlign w:val="baseline"/>
                <w:lang w:eastAsia="zh-CN"/>
              </w:rPr>
            </w:pPr>
            <w:r>
              <w:rPr>
                <w:rFonts w:hint="eastAsia"/>
                <w:sz w:val="21"/>
                <w:szCs w:val="21"/>
                <w:vertAlign w:val="baseline"/>
                <w:lang w:eastAsia="zh-CN"/>
              </w:rPr>
              <w:t>铁路工程</w:t>
            </w:r>
          </w:p>
        </w:tc>
        <w:tc>
          <w:tcPr>
            <w:tcW w:w="5467" w:type="dxa"/>
            <w:vAlign w:val="center"/>
          </w:tcPr>
          <w:p>
            <w:pPr>
              <w:numPr>
                <w:ilvl w:val="0"/>
                <w:numId w:val="3"/>
              </w:numPr>
              <w:jc w:val="both"/>
              <w:rPr>
                <w:rFonts w:hint="eastAsia"/>
                <w:sz w:val="21"/>
                <w:szCs w:val="21"/>
                <w:vertAlign w:val="baseline"/>
                <w:lang w:val="en-US" w:eastAsia="zh-CN"/>
              </w:rPr>
            </w:pPr>
            <w:r>
              <w:rPr>
                <w:rFonts w:hint="eastAsia"/>
                <w:sz w:val="21"/>
                <w:szCs w:val="21"/>
                <w:vertAlign w:val="baseline"/>
                <w:lang w:val="en-US" w:eastAsia="zh-CN"/>
              </w:rPr>
              <w:t>新建Ⅰ级铁路、高速铁路工程。</w:t>
            </w:r>
          </w:p>
          <w:p>
            <w:pPr>
              <w:numPr>
                <w:ilvl w:val="0"/>
                <w:numId w:val="3"/>
              </w:numPr>
              <w:jc w:val="both"/>
              <w:rPr>
                <w:rFonts w:hint="eastAsia"/>
                <w:sz w:val="21"/>
                <w:szCs w:val="21"/>
                <w:vertAlign w:val="baseline"/>
                <w:lang w:val="en-US" w:eastAsia="zh-CN"/>
              </w:rPr>
            </w:pPr>
            <w:r>
              <w:rPr>
                <w:rFonts w:hint="eastAsia"/>
                <w:sz w:val="21"/>
                <w:szCs w:val="21"/>
                <w:vertAlign w:val="baseline"/>
                <w:lang w:val="en-US" w:eastAsia="zh-CN"/>
              </w:rPr>
              <w:t>各级铁路中桥长在500米以上的特大桥工程。</w:t>
            </w:r>
          </w:p>
          <w:p>
            <w:pPr>
              <w:numPr>
                <w:ilvl w:val="0"/>
                <w:numId w:val="3"/>
              </w:numPr>
              <w:jc w:val="both"/>
              <w:rPr>
                <w:rFonts w:hint="eastAsia"/>
                <w:sz w:val="21"/>
                <w:szCs w:val="21"/>
                <w:vertAlign w:val="baseline"/>
                <w:lang w:val="en-US" w:eastAsia="zh-CN"/>
              </w:rPr>
            </w:pPr>
            <w:r>
              <w:rPr>
                <w:rFonts w:hint="eastAsia"/>
                <w:sz w:val="21"/>
                <w:szCs w:val="21"/>
                <w:vertAlign w:val="baseline"/>
                <w:lang w:val="en-US" w:eastAsia="zh-CN"/>
              </w:rPr>
              <w:t>高速铁路处于山谷垭口与隧道直接相连的桥梁工程。</w:t>
            </w:r>
          </w:p>
        </w:tc>
      </w:tr>
      <w:tr>
        <w:tblPrEx>
          <w:tblW w:w="8600" w:type="dxa"/>
          <w:tblInd w:w="0" w:type="dxa"/>
          <w:tblLayout w:type="fixed"/>
          <w:tblCellMar>
            <w:top w:w="0" w:type="dxa"/>
            <w:left w:w="108" w:type="dxa"/>
            <w:bottom w:w="0" w:type="dxa"/>
            <w:right w:w="108" w:type="dxa"/>
          </w:tblCellMar>
        </w:tblPrEx>
        <w:trPr>
          <w:trHeight w:val="651"/>
        </w:trPr>
        <w:tc>
          <w:tcPr>
            <w:tcW w:w="880" w:type="dxa"/>
            <w:vAlign w:val="center"/>
          </w:tcPr>
          <w:p>
            <w:pPr>
              <w:jc w:val="center"/>
              <w:rPr>
                <w:rFonts w:eastAsiaTheme="minorEastAsia" w:hint="eastAsia"/>
                <w:sz w:val="21"/>
                <w:szCs w:val="21"/>
                <w:vertAlign w:val="baseline"/>
                <w:lang w:val="en-US" w:eastAsia="zh-CN"/>
              </w:rPr>
            </w:pPr>
            <w:r>
              <w:rPr>
                <w:rFonts w:hint="eastAsia"/>
                <w:sz w:val="21"/>
                <w:szCs w:val="21"/>
                <w:vertAlign w:val="baseline"/>
                <w:lang w:val="en-US" w:eastAsia="zh-CN"/>
              </w:rPr>
              <w:t>6</w:t>
            </w:r>
          </w:p>
        </w:tc>
        <w:tc>
          <w:tcPr>
            <w:tcW w:w="2253" w:type="dxa"/>
            <w:vAlign w:val="center"/>
          </w:tcPr>
          <w:p>
            <w:pPr>
              <w:jc w:val="both"/>
              <w:rPr>
                <w:rFonts w:eastAsiaTheme="minorEastAsia" w:hint="eastAsia"/>
                <w:sz w:val="21"/>
                <w:szCs w:val="21"/>
                <w:vertAlign w:val="baseline"/>
                <w:lang w:eastAsia="zh-CN"/>
              </w:rPr>
            </w:pPr>
            <w:r>
              <w:rPr>
                <w:rFonts w:hint="eastAsia"/>
                <w:sz w:val="21"/>
                <w:szCs w:val="21"/>
                <w:vertAlign w:val="baseline"/>
                <w:lang w:eastAsia="zh-CN"/>
              </w:rPr>
              <w:t>城市轨道交通项目</w:t>
            </w:r>
          </w:p>
        </w:tc>
        <w:tc>
          <w:tcPr>
            <w:tcW w:w="5467" w:type="dxa"/>
            <w:vAlign w:val="center"/>
          </w:tcPr>
          <w:p>
            <w:pPr>
              <w:jc w:val="both"/>
              <w:rPr>
                <w:rFonts w:eastAsiaTheme="minorEastAsia" w:hint="eastAsia"/>
                <w:sz w:val="21"/>
                <w:szCs w:val="21"/>
                <w:vertAlign w:val="baseline"/>
                <w:lang w:eastAsia="zh-CN"/>
              </w:rPr>
            </w:pPr>
            <w:r>
              <w:rPr>
                <w:rFonts w:hint="eastAsia"/>
                <w:sz w:val="21"/>
                <w:szCs w:val="21"/>
                <w:vertAlign w:val="baseline"/>
                <w:lang w:eastAsia="zh-CN"/>
              </w:rPr>
              <w:t>城际铁路、城市轨道交通工程</w:t>
            </w:r>
            <w:r>
              <w:rPr>
                <w:rFonts w:hint="eastAsia"/>
                <w:sz w:val="21"/>
                <w:szCs w:val="21"/>
                <w:vertAlign w:val="baseline"/>
                <w:lang w:val="en-US" w:eastAsia="zh-CN"/>
              </w:rPr>
              <w:t>。</w:t>
            </w:r>
          </w:p>
        </w:tc>
      </w:tr>
      <w:tr>
        <w:tblPrEx>
          <w:tblW w:w="8600" w:type="dxa"/>
          <w:tblInd w:w="0" w:type="dxa"/>
          <w:tblLayout w:type="fixed"/>
          <w:tblCellMar>
            <w:top w:w="0" w:type="dxa"/>
            <w:left w:w="108" w:type="dxa"/>
            <w:bottom w:w="0" w:type="dxa"/>
            <w:right w:w="108" w:type="dxa"/>
          </w:tblCellMar>
        </w:tblPrEx>
        <w:trPr>
          <w:trHeight w:val="1574"/>
        </w:trPr>
        <w:tc>
          <w:tcPr>
            <w:tcW w:w="880" w:type="dxa"/>
            <w:vAlign w:val="center"/>
          </w:tcPr>
          <w:p>
            <w:pPr>
              <w:jc w:val="center"/>
              <w:rPr>
                <w:rFonts w:eastAsiaTheme="minorEastAsia" w:hint="eastAsia"/>
                <w:sz w:val="21"/>
                <w:szCs w:val="21"/>
                <w:vertAlign w:val="baseline"/>
                <w:lang w:val="en-US" w:eastAsia="zh-CN"/>
              </w:rPr>
            </w:pPr>
            <w:r>
              <w:rPr>
                <w:rFonts w:hint="eastAsia"/>
                <w:sz w:val="21"/>
                <w:szCs w:val="21"/>
                <w:vertAlign w:val="baseline"/>
                <w:lang w:val="en-US" w:eastAsia="zh-CN"/>
              </w:rPr>
              <w:t>7</w:t>
            </w:r>
          </w:p>
        </w:tc>
        <w:tc>
          <w:tcPr>
            <w:tcW w:w="2253" w:type="dxa"/>
            <w:vAlign w:val="center"/>
          </w:tcPr>
          <w:p>
            <w:pPr>
              <w:jc w:val="both"/>
              <w:rPr>
                <w:rFonts w:eastAsiaTheme="minorEastAsia" w:hint="eastAsia"/>
                <w:sz w:val="21"/>
                <w:szCs w:val="21"/>
                <w:vertAlign w:val="baseline"/>
                <w:lang w:eastAsia="zh-CN"/>
              </w:rPr>
            </w:pPr>
            <w:r>
              <w:rPr>
                <w:rFonts w:hint="eastAsia"/>
                <w:sz w:val="21"/>
                <w:szCs w:val="21"/>
                <w:vertAlign w:val="baseline"/>
                <w:lang w:eastAsia="zh-CN"/>
              </w:rPr>
              <w:t>机场、港口工程</w:t>
            </w:r>
          </w:p>
        </w:tc>
        <w:tc>
          <w:tcPr>
            <w:tcW w:w="5467" w:type="dxa"/>
            <w:vAlign w:val="center"/>
          </w:tcPr>
          <w:p>
            <w:pPr>
              <w:numPr>
                <w:ilvl w:val="0"/>
                <w:numId w:val="4"/>
              </w:numPr>
              <w:jc w:val="both"/>
              <w:rPr>
                <w:rFonts w:hint="eastAsia"/>
                <w:sz w:val="21"/>
                <w:szCs w:val="21"/>
                <w:vertAlign w:val="baseline"/>
                <w:lang w:eastAsia="zh-CN"/>
              </w:rPr>
            </w:pPr>
            <w:r>
              <w:rPr>
                <w:rFonts w:hint="eastAsia"/>
                <w:sz w:val="21"/>
                <w:szCs w:val="21"/>
                <w:vertAlign w:val="baseline"/>
                <w:lang w:eastAsia="zh-CN"/>
              </w:rPr>
              <w:t>新建机场建设项目。</w:t>
            </w:r>
          </w:p>
          <w:p>
            <w:pPr>
              <w:numPr>
                <w:ilvl w:val="0"/>
                <w:numId w:val="0"/>
              </w:numPr>
              <w:jc w:val="both"/>
              <w:rPr>
                <w:rFonts w:hint="eastAsia"/>
                <w:sz w:val="21"/>
                <w:szCs w:val="21"/>
                <w:vertAlign w:val="baseline"/>
                <w:lang w:val="en-US" w:eastAsia="zh-CN"/>
              </w:rPr>
            </w:pPr>
            <w:r>
              <w:rPr>
                <w:rFonts w:hint="eastAsia"/>
                <w:sz w:val="21"/>
                <w:szCs w:val="21"/>
                <w:vertAlign w:val="baseline"/>
                <w:lang w:val="en-US" w:eastAsia="zh-CN"/>
              </w:rPr>
              <w:t>2.年吞吐量在100万吨以上的中型以上港口工程。</w:t>
            </w:r>
          </w:p>
          <w:p>
            <w:pPr>
              <w:numPr>
                <w:ilvl w:val="0"/>
                <w:numId w:val="0"/>
              </w:numPr>
              <w:jc w:val="both"/>
              <w:rPr>
                <w:rFonts w:hint="eastAsia"/>
                <w:sz w:val="21"/>
                <w:szCs w:val="21"/>
                <w:vertAlign w:val="baseline"/>
                <w:lang w:eastAsia="zh-CN"/>
              </w:rPr>
            </w:pPr>
            <w:r>
              <w:rPr>
                <w:rFonts w:hint="eastAsia"/>
                <w:sz w:val="21"/>
                <w:szCs w:val="21"/>
                <w:vertAlign w:val="baseline"/>
                <w:lang w:val="en-US" w:eastAsia="zh-CN"/>
              </w:rPr>
              <w:t>3.内河1000吨以上的集装箱码头和原油码头工程。</w:t>
            </w:r>
          </w:p>
        </w:tc>
      </w:tr>
      <w:tr>
        <w:tblPrEx>
          <w:tblW w:w="8600" w:type="dxa"/>
          <w:tblInd w:w="0" w:type="dxa"/>
          <w:tblLayout w:type="fixed"/>
          <w:tblCellMar>
            <w:top w:w="0" w:type="dxa"/>
            <w:left w:w="108" w:type="dxa"/>
            <w:bottom w:w="0" w:type="dxa"/>
            <w:right w:w="108" w:type="dxa"/>
          </w:tblCellMar>
        </w:tblPrEx>
        <w:trPr>
          <w:trHeight w:val="1264"/>
        </w:trPr>
        <w:tc>
          <w:tcPr>
            <w:tcW w:w="880" w:type="dxa"/>
            <w:vAlign w:val="center"/>
          </w:tcPr>
          <w:p>
            <w:pPr>
              <w:jc w:val="center"/>
              <w:rPr>
                <w:rFonts w:eastAsiaTheme="minorEastAsia" w:hint="eastAsia"/>
                <w:sz w:val="21"/>
                <w:szCs w:val="21"/>
                <w:vertAlign w:val="baseline"/>
                <w:lang w:val="en-US" w:eastAsia="zh-CN"/>
              </w:rPr>
            </w:pPr>
            <w:r>
              <w:rPr>
                <w:rFonts w:hint="eastAsia"/>
                <w:sz w:val="21"/>
                <w:szCs w:val="21"/>
                <w:vertAlign w:val="baseline"/>
                <w:lang w:val="en-US" w:eastAsia="zh-CN"/>
              </w:rPr>
              <w:t>8</w:t>
            </w:r>
          </w:p>
        </w:tc>
        <w:tc>
          <w:tcPr>
            <w:tcW w:w="2253" w:type="dxa"/>
            <w:vAlign w:val="center"/>
          </w:tcPr>
          <w:p>
            <w:pPr>
              <w:jc w:val="both"/>
              <w:rPr>
                <w:rFonts w:eastAsiaTheme="minorEastAsia" w:hint="eastAsia"/>
                <w:sz w:val="21"/>
                <w:szCs w:val="21"/>
                <w:vertAlign w:val="baseline"/>
                <w:lang w:eastAsia="zh-CN"/>
              </w:rPr>
            </w:pPr>
            <w:r>
              <w:rPr>
                <w:rFonts w:hint="eastAsia"/>
                <w:sz w:val="21"/>
                <w:szCs w:val="21"/>
                <w:vertAlign w:val="baseline"/>
                <w:lang w:eastAsia="zh-CN"/>
              </w:rPr>
              <w:t>电网工程</w:t>
            </w:r>
          </w:p>
        </w:tc>
        <w:tc>
          <w:tcPr>
            <w:tcW w:w="5467" w:type="dxa"/>
            <w:vAlign w:val="center"/>
          </w:tcPr>
          <w:p>
            <w:pPr>
              <w:numPr>
                <w:ilvl w:val="0"/>
                <w:numId w:val="0"/>
              </w:numPr>
              <w:jc w:val="both"/>
              <w:rPr>
                <w:rFonts w:hint="eastAsia"/>
                <w:sz w:val="21"/>
                <w:szCs w:val="21"/>
                <w:vertAlign w:val="baseline"/>
                <w:lang w:val="en-US" w:eastAsia="zh-CN"/>
              </w:rPr>
            </w:pPr>
            <w:r>
              <w:rPr>
                <w:rFonts w:hint="eastAsia"/>
                <w:sz w:val="21"/>
                <w:szCs w:val="21"/>
                <w:vertAlign w:val="baseline"/>
                <w:lang w:val="en-US" w:eastAsia="zh-CN"/>
              </w:rPr>
              <w:t>1.500千伏及以上新建输变电工程。</w:t>
            </w:r>
          </w:p>
          <w:p>
            <w:pPr>
              <w:numPr>
                <w:ilvl w:val="0"/>
                <w:numId w:val="0"/>
              </w:numPr>
              <w:jc w:val="both"/>
              <w:rPr>
                <w:rFonts w:hint="eastAsia"/>
                <w:sz w:val="21"/>
                <w:szCs w:val="21"/>
                <w:vertAlign w:val="baseline"/>
                <w:lang w:val="en-US" w:eastAsia="zh-CN"/>
              </w:rPr>
            </w:pPr>
            <w:r>
              <w:rPr>
                <w:rFonts w:hint="eastAsia"/>
                <w:sz w:val="21"/>
                <w:szCs w:val="21"/>
                <w:vertAlign w:val="baseline"/>
                <w:lang w:val="en-US" w:eastAsia="zh-CN"/>
              </w:rPr>
              <w:t>2.输电线路300公里以上的输电线路工程。</w:t>
            </w:r>
          </w:p>
        </w:tc>
      </w:tr>
      <w:tr>
        <w:tblPrEx>
          <w:tblW w:w="8600" w:type="dxa"/>
          <w:tblInd w:w="0" w:type="dxa"/>
          <w:tblLayout w:type="fixed"/>
          <w:tblCellMar>
            <w:top w:w="0" w:type="dxa"/>
            <w:left w:w="108" w:type="dxa"/>
            <w:bottom w:w="0" w:type="dxa"/>
            <w:right w:w="108" w:type="dxa"/>
          </w:tblCellMar>
        </w:tblPrEx>
        <w:trPr>
          <w:trHeight w:val="1580"/>
        </w:trPr>
        <w:tc>
          <w:tcPr>
            <w:tcW w:w="880" w:type="dxa"/>
            <w:vAlign w:val="center"/>
          </w:tcPr>
          <w:p>
            <w:pPr>
              <w:jc w:val="center"/>
              <w:rPr>
                <w:rFonts w:eastAsiaTheme="minorEastAsia" w:hint="eastAsia"/>
                <w:sz w:val="21"/>
                <w:szCs w:val="21"/>
                <w:vertAlign w:val="baseline"/>
                <w:lang w:val="en-US" w:eastAsia="zh-CN"/>
              </w:rPr>
            </w:pPr>
            <w:r>
              <w:rPr>
                <w:rFonts w:hint="eastAsia"/>
                <w:sz w:val="21"/>
                <w:szCs w:val="21"/>
                <w:vertAlign w:val="baseline"/>
                <w:lang w:val="en-US" w:eastAsia="zh-CN"/>
              </w:rPr>
              <w:t>9</w:t>
            </w:r>
          </w:p>
        </w:tc>
        <w:tc>
          <w:tcPr>
            <w:tcW w:w="2253" w:type="dxa"/>
            <w:vAlign w:val="center"/>
          </w:tcPr>
          <w:p>
            <w:pPr>
              <w:jc w:val="both"/>
              <w:rPr>
                <w:rFonts w:eastAsiaTheme="minorEastAsia" w:hint="eastAsia"/>
                <w:sz w:val="21"/>
                <w:szCs w:val="21"/>
                <w:vertAlign w:val="baseline"/>
                <w:lang w:eastAsia="zh-CN"/>
              </w:rPr>
            </w:pPr>
            <w:r>
              <w:rPr>
                <w:rFonts w:hint="eastAsia"/>
                <w:sz w:val="21"/>
                <w:szCs w:val="21"/>
                <w:vertAlign w:val="baseline"/>
                <w:lang w:eastAsia="zh-CN"/>
              </w:rPr>
              <w:t>石油、天然气、化工工程</w:t>
            </w:r>
          </w:p>
        </w:tc>
        <w:tc>
          <w:tcPr>
            <w:tcW w:w="5467" w:type="dxa"/>
            <w:vAlign w:val="center"/>
          </w:tcPr>
          <w:p>
            <w:pPr>
              <w:numPr>
                <w:ilvl w:val="0"/>
                <w:numId w:val="5"/>
              </w:numPr>
              <w:jc w:val="both"/>
              <w:rPr>
                <w:rFonts w:hint="eastAsia"/>
                <w:sz w:val="21"/>
                <w:szCs w:val="21"/>
                <w:vertAlign w:val="baseline"/>
                <w:lang w:val="en-US" w:eastAsia="zh-CN"/>
              </w:rPr>
            </w:pPr>
            <w:r>
              <w:rPr>
                <w:rFonts w:hint="eastAsia"/>
                <w:sz w:val="21"/>
                <w:szCs w:val="21"/>
                <w:vertAlign w:val="baseline"/>
                <w:lang w:val="en-US" w:eastAsia="zh-CN"/>
              </w:rPr>
              <w:t>新建（改扩建）的煤化工、石油（气）生产和加工项目以及输油（气）管道工程。</w:t>
            </w:r>
          </w:p>
          <w:p>
            <w:pPr>
              <w:numPr>
                <w:ilvl w:val="0"/>
                <w:numId w:val="5"/>
              </w:numPr>
              <w:jc w:val="both"/>
              <w:rPr>
                <w:rFonts w:hint="eastAsia"/>
                <w:sz w:val="21"/>
                <w:szCs w:val="21"/>
                <w:vertAlign w:val="baseline"/>
                <w:lang w:val="en-US" w:eastAsia="zh-CN"/>
              </w:rPr>
            </w:pPr>
            <w:r>
              <w:rPr>
                <w:rFonts w:hint="eastAsia"/>
                <w:sz w:val="21"/>
                <w:szCs w:val="21"/>
                <w:vertAlign w:val="baseline"/>
                <w:lang w:val="en-US" w:eastAsia="zh-CN"/>
              </w:rPr>
              <w:t>危险气体、化工品的存贮、输送工程。</w:t>
            </w:r>
          </w:p>
        </w:tc>
      </w:tr>
      <w:tr>
        <w:tblPrEx>
          <w:tblW w:w="8600" w:type="dxa"/>
          <w:tblInd w:w="0" w:type="dxa"/>
          <w:tblLayout w:type="fixed"/>
          <w:tblCellMar>
            <w:top w:w="0" w:type="dxa"/>
            <w:left w:w="108" w:type="dxa"/>
            <w:bottom w:w="0" w:type="dxa"/>
            <w:right w:w="108" w:type="dxa"/>
          </w:tblCellMar>
        </w:tblPrEx>
        <w:trPr>
          <w:trHeight w:val="961"/>
        </w:trPr>
        <w:tc>
          <w:tcPr>
            <w:tcW w:w="880" w:type="dxa"/>
            <w:vAlign w:val="center"/>
          </w:tcPr>
          <w:p>
            <w:pPr>
              <w:jc w:val="center"/>
              <w:rPr>
                <w:rFonts w:eastAsiaTheme="minorEastAsia" w:hint="eastAsia"/>
                <w:sz w:val="21"/>
                <w:szCs w:val="21"/>
                <w:vertAlign w:val="baseline"/>
                <w:lang w:val="en-US" w:eastAsia="zh-CN"/>
              </w:rPr>
            </w:pPr>
            <w:r>
              <w:rPr>
                <w:rFonts w:hint="eastAsia"/>
                <w:sz w:val="21"/>
                <w:szCs w:val="21"/>
                <w:vertAlign w:val="baseline"/>
                <w:lang w:val="en-US" w:eastAsia="zh-CN"/>
              </w:rPr>
              <w:t>10</w:t>
            </w:r>
          </w:p>
        </w:tc>
        <w:tc>
          <w:tcPr>
            <w:tcW w:w="2253" w:type="dxa"/>
            <w:vAlign w:val="center"/>
          </w:tcPr>
          <w:p>
            <w:pPr>
              <w:jc w:val="both"/>
              <w:rPr>
                <w:rFonts w:eastAsiaTheme="minorEastAsia" w:hint="eastAsia"/>
                <w:sz w:val="21"/>
                <w:szCs w:val="21"/>
                <w:vertAlign w:val="baseline"/>
                <w:lang w:eastAsia="zh-CN"/>
              </w:rPr>
            </w:pPr>
            <w:r>
              <w:rPr>
                <w:rFonts w:hint="eastAsia"/>
                <w:sz w:val="21"/>
                <w:szCs w:val="21"/>
                <w:vertAlign w:val="baseline"/>
                <w:lang w:eastAsia="zh-CN"/>
              </w:rPr>
              <w:t>水利、水电、发电工程</w:t>
            </w:r>
          </w:p>
        </w:tc>
        <w:tc>
          <w:tcPr>
            <w:tcW w:w="5467" w:type="dxa"/>
            <w:vAlign w:val="center"/>
          </w:tcPr>
          <w:p>
            <w:pPr>
              <w:numPr>
                <w:ilvl w:val="0"/>
                <w:numId w:val="0"/>
              </w:numPr>
              <w:jc w:val="both"/>
              <w:rPr>
                <w:rFonts w:hint="eastAsia"/>
                <w:sz w:val="21"/>
                <w:szCs w:val="21"/>
                <w:vertAlign w:val="baseline"/>
                <w:lang w:eastAsia="zh-CN"/>
              </w:rPr>
            </w:pPr>
            <w:r>
              <w:rPr>
                <w:rFonts w:hint="eastAsia"/>
                <w:sz w:val="21"/>
                <w:szCs w:val="21"/>
                <w:vertAlign w:val="baseline"/>
                <w:lang w:eastAsia="zh-CN"/>
              </w:rPr>
              <w:t>按照《水利水电工程等级划分及洪水标准》（</w:t>
            </w:r>
            <w:r>
              <w:rPr>
                <w:rFonts w:hint="eastAsia"/>
                <w:sz w:val="21"/>
                <w:szCs w:val="21"/>
                <w:vertAlign w:val="baseline"/>
                <w:lang w:val="en-US" w:eastAsia="zh-CN"/>
              </w:rPr>
              <w:t>SL252-2017</w:t>
            </w:r>
            <w:r>
              <w:rPr>
                <w:rFonts w:hint="eastAsia"/>
                <w:sz w:val="21"/>
                <w:szCs w:val="21"/>
                <w:vertAlign w:val="baseline"/>
                <w:lang w:eastAsia="zh-CN"/>
              </w:rPr>
              <w:t>），工程等别为Ⅰ级和Ⅱ级的水利水电工程。</w:t>
            </w:r>
          </w:p>
        </w:tc>
      </w:tr>
      <w:tr>
        <w:tblPrEx>
          <w:tblW w:w="8600" w:type="dxa"/>
          <w:tblInd w:w="0" w:type="dxa"/>
          <w:tblLayout w:type="fixed"/>
          <w:tblCellMar>
            <w:top w:w="0" w:type="dxa"/>
            <w:left w:w="108" w:type="dxa"/>
            <w:bottom w:w="0" w:type="dxa"/>
            <w:right w:w="108" w:type="dxa"/>
          </w:tblCellMar>
        </w:tblPrEx>
        <w:trPr>
          <w:trHeight w:val="1885"/>
        </w:trPr>
        <w:tc>
          <w:tcPr>
            <w:tcW w:w="880" w:type="dxa"/>
            <w:vAlign w:val="center"/>
          </w:tcPr>
          <w:p>
            <w:pPr>
              <w:jc w:val="center"/>
              <w:rPr>
                <w:rFonts w:eastAsiaTheme="minorEastAsia" w:hint="eastAsia"/>
                <w:sz w:val="21"/>
                <w:szCs w:val="21"/>
                <w:vertAlign w:val="baseline"/>
                <w:lang w:val="en-US" w:eastAsia="zh-CN"/>
              </w:rPr>
            </w:pPr>
            <w:r>
              <w:rPr>
                <w:rFonts w:hint="eastAsia"/>
                <w:sz w:val="21"/>
                <w:szCs w:val="21"/>
                <w:vertAlign w:val="baseline"/>
                <w:lang w:val="en-US" w:eastAsia="zh-CN"/>
              </w:rPr>
              <w:t>11</w:t>
            </w:r>
          </w:p>
        </w:tc>
        <w:tc>
          <w:tcPr>
            <w:tcW w:w="2253" w:type="dxa"/>
            <w:vAlign w:val="center"/>
          </w:tcPr>
          <w:p>
            <w:pPr>
              <w:jc w:val="both"/>
              <w:rPr>
                <w:rFonts w:eastAsiaTheme="minorEastAsia" w:hint="eastAsia"/>
                <w:sz w:val="21"/>
                <w:szCs w:val="21"/>
                <w:vertAlign w:val="baseline"/>
                <w:lang w:eastAsia="zh-CN"/>
              </w:rPr>
            </w:pPr>
            <w:r>
              <w:rPr>
                <w:rFonts w:hint="eastAsia"/>
                <w:sz w:val="21"/>
                <w:szCs w:val="21"/>
                <w:vertAlign w:val="baseline"/>
                <w:lang w:eastAsia="zh-CN"/>
              </w:rPr>
              <w:t>火电、热电、新能源发电工程项目</w:t>
            </w:r>
          </w:p>
        </w:tc>
        <w:tc>
          <w:tcPr>
            <w:tcW w:w="5467" w:type="dxa"/>
            <w:vAlign w:val="center"/>
          </w:tcPr>
          <w:p>
            <w:pPr>
              <w:numPr>
                <w:ilvl w:val="0"/>
                <w:numId w:val="6"/>
              </w:numPr>
              <w:jc w:val="both"/>
              <w:rPr>
                <w:rFonts w:hint="eastAsia"/>
                <w:sz w:val="21"/>
                <w:szCs w:val="21"/>
                <w:vertAlign w:val="baseline"/>
                <w:lang w:val="en-US" w:eastAsia="zh-CN"/>
              </w:rPr>
            </w:pPr>
            <w:r>
              <w:rPr>
                <w:rFonts w:hint="eastAsia"/>
                <w:sz w:val="21"/>
                <w:szCs w:val="21"/>
                <w:vertAlign w:val="baseline"/>
                <w:lang w:val="en-US" w:eastAsia="zh-CN"/>
              </w:rPr>
              <w:t>单机容量60万千瓦以上的火电项目。</w:t>
            </w:r>
          </w:p>
          <w:p>
            <w:pPr>
              <w:numPr>
                <w:ilvl w:val="0"/>
                <w:numId w:val="6"/>
              </w:numPr>
              <w:jc w:val="both"/>
              <w:rPr>
                <w:rFonts w:hint="eastAsia"/>
                <w:sz w:val="21"/>
                <w:szCs w:val="21"/>
                <w:vertAlign w:val="baseline"/>
                <w:lang w:val="en-US" w:eastAsia="zh-CN"/>
              </w:rPr>
            </w:pPr>
            <w:r>
              <w:rPr>
                <w:rFonts w:hint="eastAsia"/>
                <w:sz w:val="21"/>
                <w:szCs w:val="21"/>
                <w:vertAlign w:val="baseline"/>
                <w:lang w:val="en-US" w:eastAsia="zh-CN"/>
              </w:rPr>
              <w:t>装机容量25万千瓦及以上热电项目。</w:t>
            </w:r>
          </w:p>
          <w:p>
            <w:pPr>
              <w:numPr>
                <w:ilvl w:val="0"/>
                <w:numId w:val="6"/>
              </w:numPr>
              <w:jc w:val="both"/>
              <w:rPr>
                <w:rFonts w:hint="eastAsia"/>
                <w:sz w:val="21"/>
                <w:szCs w:val="21"/>
                <w:vertAlign w:val="baseline"/>
                <w:lang w:val="en-US" w:eastAsia="zh-CN"/>
              </w:rPr>
            </w:pPr>
            <w:r>
              <w:rPr>
                <w:rFonts w:hint="eastAsia"/>
                <w:sz w:val="21"/>
                <w:szCs w:val="21"/>
                <w:vertAlign w:val="baseline"/>
                <w:lang w:eastAsia="zh-CN"/>
              </w:rPr>
              <w:t>新能源发电工程（可再生能源、潮汐能等）。</w:t>
            </w:r>
          </w:p>
        </w:tc>
      </w:tr>
      <w:tr>
        <w:tblPrEx>
          <w:tblW w:w="8600" w:type="dxa"/>
          <w:tblInd w:w="0" w:type="dxa"/>
          <w:tblLayout w:type="fixed"/>
          <w:tblCellMar>
            <w:top w:w="0" w:type="dxa"/>
            <w:left w:w="108" w:type="dxa"/>
            <w:bottom w:w="0" w:type="dxa"/>
            <w:right w:w="108" w:type="dxa"/>
          </w:tblCellMar>
        </w:tblPrEx>
        <w:trPr>
          <w:trHeight w:val="1271"/>
        </w:trPr>
        <w:tc>
          <w:tcPr>
            <w:tcW w:w="880" w:type="dxa"/>
            <w:vAlign w:val="center"/>
          </w:tcPr>
          <w:p>
            <w:pPr>
              <w:jc w:val="center"/>
              <w:rPr>
                <w:rFonts w:eastAsiaTheme="minorEastAsia" w:hint="eastAsia"/>
                <w:sz w:val="21"/>
                <w:szCs w:val="21"/>
                <w:vertAlign w:val="baseline"/>
                <w:lang w:val="en-US" w:eastAsia="zh-CN"/>
              </w:rPr>
            </w:pPr>
            <w:r>
              <w:rPr>
                <w:rFonts w:hint="eastAsia"/>
                <w:sz w:val="21"/>
                <w:szCs w:val="21"/>
                <w:vertAlign w:val="baseline"/>
                <w:lang w:val="en-US" w:eastAsia="zh-CN"/>
              </w:rPr>
              <w:t>12</w:t>
            </w:r>
          </w:p>
        </w:tc>
        <w:tc>
          <w:tcPr>
            <w:tcW w:w="2253" w:type="dxa"/>
            <w:vAlign w:val="center"/>
          </w:tcPr>
          <w:p>
            <w:pPr>
              <w:jc w:val="both"/>
              <w:rPr>
                <w:rFonts w:eastAsiaTheme="minorEastAsia" w:hint="eastAsia"/>
                <w:sz w:val="21"/>
                <w:szCs w:val="21"/>
                <w:vertAlign w:val="baseline"/>
                <w:lang w:eastAsia="zh-CN"/>
              </w:rPr>
            </w:pPr>
            <w:r>
              <w:rPr>
                <w:rFonts w:hint="eastAsia"/>
                <w:sz w:val="21"/>
                <w:szCs w:val="21"/>
                <w:vertAlign w:val="baseline"/>
                <w:lang w:eastAsia="zh-CN"/>
              </w:rPr>
              <w:t>旅游景区工程及公共游乐工程</w:t>
            </w:r>
          </w:p>
        </w:tc>
        <w:tc>
          <w:tcPr>
            <w:tcW w:w="5467" w:type="dxa"/>
            <w:vAlign w:val="center"/>
          </w:tcPr>
          <w:p>
            <w:pPr>
              <w:numPr>
                <w:ilvl w:val="0"/>
                <w:numId w:val="7"/>
              </w:numPr>
              <w:jc w:val="both"/>
              <w:rPr>
                <w:rFonts w:hint="eastAsia"/>
                <w:sz w:val="21"/>
                <w:szCs w:val="21"/>
                <w:vertAlign w:val="baseline"/>
                <w:lang w:eastAsia="zh-CN"/>
              </w:rPr>
            </w:pPr>
            <w:r>
              <w:rPr>
                <w:rFonts w:hint="eastAsia"/>
                <w:sz w:val="21"/>
                <w:szCs w:val="21"/>
                <w:vertAlign w:val="baseline"/>
                <w:lang w:eastAsia="zh-CN"/>
              </w:rPr>
              <w:t>重点旅游景区建设项目及其公共游乐工程。</w:t>
            </w:r>
          </w:p>
          <w:p>
            <w:pPr>
              <w:numPr>
                <w:ilvl w:val="0"/>
                <w:numId w:val="7"/>
              </w:numPr>
              <w:jc w:val="both"/>
              <w:rPr>
                <w:rFonts w:hint="eastAsia"/>
                <w:sz w:val="21"/>
                <w:szCs w:val="21"/>
                <w:vertAlign w:val="baseline"/>
                <w:lang w:eastAsia="zh-CN"/>
              </w:rPr>
            </w:pPr>
            <w:r>
              <w:rPr>
                <w:rFonts w:hint="eastAsia"/>
                <w:sz w:val="21"/>
                <w:szCs w:val="21"/>
                <w:vertAlign w:val="baseline"/>
                <w:lang w:eastAsia="zh-CN"/>
              </w:rPr>
              <w:t>重点建设的大型主题公园及其娱乐设施项目。</w:t>
            </w:r>
          </w:p>
        </w:tc>
      </w:tr>
      <w:tr>
        <w:tblPrEx>
          <w:tblW w:w="8600" w:type="dxa"/>
          <w:tblInd w:w="0" w:type="dxa"/>
          <w:tblLayout w:type="fixed"/>
          <w:tblCellMar>
            <w:top w:w="0" w:type="dxa"/>
            <w:left w:w="108" w:type="dxa"/>
            <w:bottom w:w="0" w:type="dxa"/>
            <w:right w:w="108" w:type="dxa"/>
          </w:tblCellMar>
        </w:tblPrEx>
        <w:trPr>
          <w:trHeight w:val="1939"/>
        </w:trPr>
        <w:tc>
          <w:tcPr>
            <w:tcW w:w="880" w:type="dxa"/>
            <w:vAlign w:val="center"/>
          </w:tcPr>
          <w:p>
            <w:pPr>
              <w:jc w:val="center"/>
              <w:rPr>
                <w:rFonts w:eastAsiaTheme="minorEastAsia" w:hint="eastAsia"/>
                <w:sz w:val="21"/>
                <w:szCs w:val="21"/>
                <w:vertAlign w:val="baseline"/>
                <w:lang w:val="en-US" w:eastAsia="zh-CN"/>
              </w:rPr>
            </w:pPr>
            <w:r>
              <w:rPr>
                <w:rFonts w:hint="eastAsia"/>
                <w:sz w:val="21"/>
                <w:szCs w:val="21"/>
                <w:vertAlign w:val="baseline"/>
                <w:lang w:val="en-US" w:eastAsia="zh-CN"/>
              </w:rPr>
              <w:t>13</w:t>
            </w:r>
          </w:p>
        </w:tc>
        <w:tc>
          <w:tcPr>
            <w:tcW w:w="2253" w:type="dxa"/>
            <w:vAlign w:val="center"/>
          </w:tcPr>
          <w:p>
            <w:pPr>
              <w:jc w:val="both"/>
              <w:rPr>
                <w:rFonts w:eastAsiaTheme="minorEastAsia" w:hint="eastAsia"/>
                <w:sz w:val="21"/>
                <w:szCs w:val="21"/>
                <w:vertAlign w:val="baseline"/>
                <w:lang w:eastAsia="zh-CN"/>
              </w:rPr>
            </w:pPr>
            <w:r>
              <w:rPr>
                <w:rFonts w:hint="eastAsia"/>
                <w:sz w:val="21"/>
                <w:szCs w:val="21"/>
                <w:vertAlign w:val="baseline"/>
                <w:lang w:eastAsia="zh-CN"/>
              </w:rPr>
              <w:t>气候资源开发利用项目</w:t>
            </w:r>
          </w:p>
        </w:tc>
        <w:tc>
          <w:tcPr>
            <w:tcW w:w="5467" w:type="dxa"/>
            <w:vAlign w:val="center"/>
          </w:tcPr>
          <w:p>
            <w:pPr>
              <w:jc w:val="both"/>
              <w:rPr>
                <w:rFonts w:hint="eastAsia"/>
                <w:sz w:val="21"/>
                <w:szCs w:val="21"/>
                <w:vertAlign w:val="baseline"/>
                <w:lang w:val="en-US" w:eastAsia="zh-CN"/>
              </w:rPr>
            </w:pPr>
            <w:r>
              <w:rPr>
                <w:rFonts w:hint="eastAsia"/>
                <w:sz w:val="21"/>
                <w:szCs w:val="21"/>
                <w:vertAlign w:val="baseline"/>
                <w:lang w:val="en-US" w:eastAsia="zh-CN"/>
              </w:rPr>
              <w:t>1.装机容量50MW及以上光伏发电工程；50MW及以上太阳能热发电工程项目。</w:t>
            </w:r>
          </w:p>
          <w:p>
            <w:pPr>
              <w:jc w:val="both"/>
              <w:rPr>
                <w:rFonts w:hint="eastAsia"/>
                <w:sz w:val="21"/>
                <w:szCs w:val="21"/>
                <w:vertAlign w:val="baseline"/>
                <w:lang w:val="en-US" w:eastAsia="zh-CN"/>
              </w:rPr>
            </w:pPr>
            <w:r>
              <w:rPr>
                <w:rFonts w:hint="eastAsia"/>
                <w:sz w:val="21"/>
                <w:szCs w:val="21"/>
                <w:vertAlign w:val="baseline"/>
                <w:lang w:val="en-US" w:eastAsia="zh-CN"/>
              </w:rPr>
              <w:t>2.装机容量100MW及以上、变电站电压等级220KV及以上风电项目。</w:t>
            </w:r>
          </w:p>
        </w:tc>
      </w:tr>
      <w:tr>
        <w:tblPrEx>
          <w:tblW w:w="8600" w:type="dxa"/>
          <w:tblInd w:w="0" w:type="dxa"/>
          <w:tblLayout w:type="fixed"/>
          <w:tblCellMar>
            <w:top w:w="0" w:type="dxa"/>
            <w:left w:w="108" w:type="dxa"/>
            <w:bottom w:w="0" w:type="dxa"/>
            <w:right w:w="108" w:type="dxa"/>
          </w:tblCellMar>
        </w:tblPrEx>
        <w:trPr>
          <w:trHeight w:val="1271"/>
        </w:trPr>
        <w:tc>
          <w:tcPr>
            <w:tcW w:w="880" w:type="dxa"/>
            <w:vAlign w:val="center"/>
          </w:tcPr>
          <w:p>
            <w:pPr>
              <w:jc w:val="center"/>
              <w:rPr>
                <w:rFonts w:eastAsiaTheme="minorEastAsia" w:hint="eastAsia"/>
                <w:sz w:val="21"/>
                <w:szCs w:val="21"/>
                <w:vertAlign w:val="baseline"/>
                <w:lang w:val="en-US" w:eastAsia="zh-CN"/>
              </w:rPr>
            </w:pPr>
            <w:r>
              <w:rPr>
                <w:rFonts w:hint="eastAsia"/>
                <w:sz w:val="21"/>
                <w:szCs w:val="21"/>
                <w:vertAlign w:val="baseline"/>
                <w:lang w:val="en-US" w:eastAsia="zh-CN"/>
              </w:rPr>
              <w:t>14</w:t>
            </w:r>
          </w:p>
        </w:tc>
        <w:tc>
          <w:tcPr>
            <w:tcW w:w="2253" w:type="dxa"/>
            <w:vAlign w:val="center"/>
          </w:tcPr>
          <w:p>
            <w:pPr>
              <w:jc w:val="both"/>
              <w:rPr>
                <w:rFonts w:eastAsiaTheme="minorEastAsia" w:hint="eastAsia"/>
                <w:sz w:val="21"/>
                <w:szCs w:val="21"/>
                <w:vertAlign w:val="baseline"/>
                <w:lang w:eastAsia="zh-CN"/>
              </w:rPr>
            </w:pPr>
            <w:r>
              <w:rPr>
                <w:rFonts w:hint="eastAsia"/>
                <w:sz w:val="21"/>
                <w:szCs w:val="21"/>
                <w:vertAlign w:val="baseline"/>
                <w:lang w:eastAsia="zh-CN"/>
              </w:rPr>
              <w:t>核工程</w:t>
            </w:r>
          </w:p>
        </w:tc>
        <w:tc>
          <w:tcPr>
            <w:tcW w:w="5467" w:type="dxa"/>
            <w:vAlign w:val="center"/>
          </w:tcPr>
          <w:p>
            <w:pPr>
              <w:numPr>
                <w:ilvl w:val="0"/>
                <w:numId w:val="8"/>
              </w:numPr>
              <w:jc w:val="both"/>
              <w:rPr>
                <w:rFonts w:hint="eastAsia"/>
                <w:sz w:val="21"/>
                <w:szCs w:val="21"/>
                <w:vertAlign w:val="baseline"/>
                <w:lang w:val="en-US" w:eastAsia="zh-CN"/>
              </w:rPr>
            </w:pPr>
            <w:r>
              <w:rPr>
                <w:rFonts w:hint="eastAsia"/>
                <w:sz w:val="21"/>
                <w:szCs w:val="21"/>
                <w:vertAlign w:val="baseline"/>
                <w:lang w:val="en-US" w:eastAsia="zh-CN"/>
              </w:rPr>
              <w:t>核能工程。</w:t>
            </w:r>
          </w:p>
          <w:p>
            <w:pPr>
              <w:numPr>
                <w:ilvl w:val="0"/>
                <w:numId w:val="8"/>
              </w:numPr>
              <w:jc w:val="both"/>
              <w:rPr>
                <w:rFonts w:hint="eastAsia"/>
                <w:sz w:val="21"/>
                <w:szCs w:val="21"/>
                <w:vertAlign w:val="baseline"/>
                <w:lang w:val="en-US" w:eastAsia="zh-CN"/>
              </w:rPr>
            </w:pPr>
            <w:r>
              <w:rPr>
                <w:rFonts w:hint="eastAsia"/>
                <w:sz w:val="21"/>
                <w:szCs w:val="21"/>
                <w:vertAlign w:val="baseline"/>
                <w:lang w:val="en-US" w:eastAsia="zh-CN"/>
              </w:rPr>
              <w:t>其他受台风、暴雨、雷电、龙卷风等气象灾害破坏后可能引发放射性污染的核设施建设工程。</w:t>
            </w:r>
          </w:p>
        </w:tc>
      </w:tr>
      <w:tr>
        <w:tblPrEx>
          <w:tblW w:w="8600" w:type="dxa"/>
          <w:tblInd w:w="0" w:type="dxa"/>
          <w:tblLayout w:type="fixed"/>
          <w:tblCellMar>
            <w:top w:w="0" w:type="dxa"/>
            <w:left w:w="108" w:type="dxa"/>
            <w:bottom w:w="0" w:type="dxa"/>
            <w:right w:w="108" w:type="dxa"/>
          </w:tblCellMar>
        </w:tblPrEx>
        <w:trPr>
          <w:trHeight w:val="681"/>
        </w:trPr>
        <w:tc>
          <w:tcPr>
            <w:tcW w:w="880" w:type="dxa"/>
            <w:vAlign w:val="center"/>
          </w:tcPr>
          <w:p>
            <w:pPr>
              <w:jc w:val="center"/>
              <w:rPr>
                <w:rFonts w:eastAsiaTheme="minorEastAsia" w:hint="eastAsia"/>
                <w:sz w:val="21"/>
                <w:szCs w:val="21"/>
                <w:vertAlign w:val="baseline"/>
                <w:lang w:val="en-US" w:eastAsia="zh-CN"/>
              </w:rPr>
            </w:pPr>
            <w:r>
              <w:rPr>
                <w:rFonts w:hint="eastAsia"/>
                <w:sz w:val="21"/>
                <w:szCs w:val="21"/>
                <w:vertAlign w:val="baseline"/>
                <w:lang w:val="en-US" w:eastAsia="zh-CN"/>
              </w:rPr>
              <w:t>15</w:t>
            </w:r>
          </w:p>
        </w:tc>
        <w:tc>
          <w:tcPr>
            <w:tcW w:w="2253" w:type="dxa"/>
            <w:vAlign w:val="center"/>
          </w:tcPr>
          <w:p>
            <w:pPr>
              <w:jc w:val="both"/>
              <w:rPr>
                <w:rFonts w:eastAsiaTheme="minorEastAsia" w:hint="eastAsia"/>
                <w:sz w:val="21"/>
                <w:szCs w:val="21"/>
                <w:vertAlign w:val="baseline"/>
                <w:lang w:eastAsia="zh-CN"/>
              </w:rPr>
            </w:pPr>
            <w:r>
              <w:rPr>
                <w:rFonts w:hint="eastAsia"/>
                <w:sz w:val="21"/>
                <w:szCs w:val="21"/>
                <w:vertAlign w:val="baseline"/>
                <w:lang w:eastAsia="zh-CN"/>
              </w:rPr>
              <w:t>其他项目</w:t>
            </w:r>
          </w:p>
        </w:tc>
        <w:tc>
          <w:tcPr>
            <w:tcW w:w="5467" w:type="dxa"/>
            <w:vAlign w:val="center"/>
          </w:tcPr>
          <w:p>
            <w:pPr>
              <w:jc w:val="both"/>
              <w:rPr>
                <w:rFonts w:eastAsiaTheme="minorEastAsia" w:hint="eastAsia"/>
                <w:sz w:val="21"/>
                <w:szCs w:val="21"/>
                <w:vertAlign w:val="baseline"/>
                <w:lang w:eastAsia="zh-CN"/>
              </w:rPr>
            </w:pPr>
            <w:r>
              <w:rPr>
                <w:rFonts w:hint="eastAsia"/>
                <w:sz w:val="21"/>
                <w:szCs w:val="21"/>
                <w:vertAlign w:val="baseline"/>
                <w:lang w:eastAsia="zh-CN"/>
              </w:rPr>
              <w:t>其他依照规定需要进行气候分析和论证的项目。</w:t>
            </w:r>
          </w:p>
        </w:tc>
      </w:tr>
    </w:tbl>
    <w:p>
      <w:pPr>
        <w:rPr>
          <w:rFonts w:hint="eastAsia"/>
          <w:b/>
          <w:bCs/>
          <w:lang w:eastAsia="zh-CN"/>
        </w:rPr>
      </w:pPr>
      <w:bookmarkStart w:id="0" w:name="_GoBack"/>
      <w:bookmarkEnd w:id="0"/>
    </w:p>
    <w:sectPr>
      <w:footerReference w:type="default" r:id="rId5"/>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eastAsiaTheme="minorEastAsia" w:hint="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59264" coordsize="21600,21600" filled="f" stroked="f">
              <o:lock v:ext="edit" aspectratio="f"/>
              <v:textbox style="mso-fit-shape-to-text:t" inset="0,0,0,0">
                <w:txbxContent>
                  <w:p>
                    <w:pPr>
                      <w:snapToGrid w:val="0"/>
                      <w:rPr>
                        <w:rFonts w:eastAsiaTheme="minorEastAsia" w:hint="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23AA0C2"/>
    <w:multiLevelType w:val="singleLevel"/>
    <w:tmpl w:val="623AA0C2"/>
    <w:lvl w:ilvl="0">
      <w:start w:val="1"/>
      <w:numFmt w:val="decimal"/>
      <w:suff w:val="nothing"/>
      <w:lvlText w:val="%1."/>
      <w:lvlJc w:val="left"/>
    </w:lvl>
  </w:abstractNum>
  <w:abstractNum w:abstractNumId="1">
    <w:nsid w:val="623AD9DF"/>
    <w:multiLevelType w:val="singleLevel"/>
    <w:tmpl w:val="623AD9DF"/>
    <w:lvl w:ilvl="0">
      <w:start w:val="1"/>
      <w:numFmt w:val="decimal"/>
      <w:suff w:val="nothing"/>
      <w:lvlText w:val="%1."/>
      <w:lvlJc w:val="left"/>
    </w:lvl>
  </w:abstractNum>
  <w:abstractNum w:abstractNumId="2">
    <w:nsid w:val="623ADF46"/>
    <w:multiLevelType w:val="singleLevel"/>
    <w:tmpl w:val="623ADF46"/>
    <w:lvl w:ilvl="0">
      <w:start w:val="1"/>
      <w:numFmt w:val="decimal"/>
      <w:suff w:val="nothing"/>
      <w:lvlText w:val="%1."/>
      <w:lvlJc w:val="left"/>
    </w:lvl>
  </w:abstractNum>
  <w:abstractNum w:abstractNumId="3">
    <w:nsid w:val="623BCC6D"/>
    <w:multiLevelType w:val="singleLevel"/>
    <w:tmpl w:val="623BCC6D"/>
    <w:lvl w:ilvl="0">
      <w:start w:val="1"/>
      <w:numFmt w:val="decimal"/>
      <w:suff w:val="nothing"/>
      <w:lvlText w:val="%1."/>
      <w:lvlJc w:val="left"/>
    </w:lvl>
  </w:abstractNum>
  <w:abstractNum w:abstractNumId="4">
    <w:nsid w:val="623BD4AA"/>
    <w:multiLevelType w:val="singleLevel"/>
    <w:tmpl w:val="623BD4AA"/>
    <w:lvl w:ilvl="0">
      <w:start w:val="1"/>
      <w:numFmt w:val="decimal"/>
      <w:suff w:val="nothing"/>
      <w:lvlText w:val="%1."/>
      <w:lvlJc w:val="left"/>
    </w:lvl>
  </w:abstractNum>
  <w:abstractNum w:abstractNumId="5">
    <w:nsid w:val="623BDB8A"/>
    <w:multiLevelType w:val="singleLevel"/>
    <w:tmpl w:val="623BDB8A"/>
    <w:lvl w:ilvl="0">
      <w:start w:val="1"/>
      <w:numFmt w:val="decimal"/>
      <w:suff w:val="nothing"/>
      <w:lvlText w:val="%1."/>
      <w:lvlJc w:val="left"/>
    </w:lvl>
  </w:abstractNum>
  <w:abstractNum w:abstractNumId="6">
    <w:nsid w:val="623BDED0"/>
    <w:multiLevelType w:val="singleLevel"/>
    <w:tmpl w:val="623BDED0"/>
    <w:lvl w:ilvl="0">
      <w:start w:val="1"/>
      <w:numFmt w:val="decimal"/>
      <w:suff w:val="nothing"/>
      <w:lvlText w:val="%1."/>
      <w:lvlJc w:val="left"/>
    </w:lvl>
  </w:abstractNum>
  <w:abstractNum w:abstractNumId="7">
    <w:nsid w:val="623BE06A"/>
    <w:multiLevelType w:val="singleLevel"/>
    <w:tmpl w:val="623BE06A"/>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BED77C37"/>
    <w:rsid w:val="012F00E9"/>
    <w:rsid w:val="02644B71"/>
    <w:rsid w:val="02A6271C"/>
    <w:rsid w:val="03D3605F"/>
    <w:rsid w:val="05D81156"/>
    <w:rsid w:val="05E55537"/>
    <w:rsid w:val="05FC5BE3"/>
    <w:rsid w:val="07BF5225"/>
    <w:rsid w:val="0C1452CE"/>
    <w:rsid w:val="0ED51CE9"/>
    <w:rsid w:val="12CE6A7E"/>
    <w:rsid w:val="13F261C0"/>
    <w:rsid w:val="15437A54"/>
    <w:rsid w:val="16B9548B"/>
    <w:rsid w:val="17CD4D29"/>
    <w:rsid w:val="18E54610"/>
    <w:rsid w:val="1E4E4B26"/>
    <w:rsid w:val="1E670FEF"/>
    <w:rsid w:val="1FB13A11"/>
    <w:rsid w:val="20E83302"/>
    <w:rsid w:val="21476DD1"/>
    <w:rsid w:val="22BA49C8"/>
    <w:rsid w:val="2325417C"/>
    <w:rsid w:val="24A50AA4"/>
    <w:rsid w:val="24CE37C4"/>
    <w:rsid w:val="25460979"/>
    <w:rsid w:val="25F97749"/>
    <w:rsid w:val="26462304"/>
    <w:rsid w:val="287A32CD"/>
    <w:rsid w:val="28C85E94"/>
    <w:rsid w:val="29155A8A"/>
    <w:rsid w:val="2B22121B"/>
    <w:rsid w:val="2BE83825"/>
    <w:rsid w:val="2C457BEF"/>
    <w:rsid w:val="2FC77744"/>
    <w:rsid w:val="34AF680C"/>
    <w:rsid w:val="36111310"/>
    <w:rsid w:val="3BDA2693"/>
    <w:rsid w:val="3E3D44C7"/>
    <w:rsid w:val="3E8D06C9"/>
    <w:rsid w:val="3EE76030"/>
    <w:rsid w:val="3F757AD2"/>
    <w:rsid w:val="3FFD3730"/>
    <w:rsid w:val="40AB520B"/>
    <w:rsid w:val="417939CB"/>
    <w:rsid w:val="419F2FC7"/>
    <w:rsid w:val="41D131FF"/>
    <w:rsid w:val="434E7444"/>
    <w:rsid w:val="460176BA"/>
    <w:rsid w:val="46D97A02"/>
    <w:rsid w:val="47B055A0"/>
    <w:rsid w:val="48B8370C"/>
    <w:rsid w:val="4A52084C"/>
    <w:rsid w:val="4B4D4FD0"/>
    <w:rsid w:val="4CBA08EC"/>
    <w:rsid w:val="4D723045"/>
    <w:rsid w:val="4D9F2A5B"/>
    <w:rsid w:val="4DC8539B"/>
    <w:rsid w:val="4DE1078B"/>
    <w:rsid w:val="4E4462FD"/>
    <w:rsid w:val="503D7D48"/>
    <w:rsid w:val="53804021"/>
    <w:rsid w:val="552F06BD"/>
    <w:rsid w:val="58077F50"/>
    <w:rsid w:val="5B3115FF"/>
    <w:rsid w:val="5B4D147F"/>
    <w:rsid w:val="5BED7089"/>
    <w:rsid w:val="5BFF43E6"/>
    <w:rsid w:val="5CB14260"/>
    <w:rsid w:val="62375174"/>
    <w:rsid w:val="638137DE"/>
    <w:rsid w:val="64DB66E0"/>
    <w:rsid w:val="651442C0"/>
    <w:rsid w:val="65977B8E"/>
    <w:rsid w:val="65AF5463"/>
    <w:rsid w:val="65B91BA6"/>
    <w:rsid w:val="66092BC9"/>
    <w:rsid w:val="66F13F2A"/>
    <w:rsid w:val="66F254D4"/>
    <w:rsid w:val="6768758A"/>
    <w:rsid w:val="682D128A"/>
    <w:rsid w:val="697C4E5E"/>
    <w:rsid w:val="6A097E23"/>
    <w:rsid w:val="6B335622"/>
    <w:rsid w:val="6D7077E7"/>
    <w:rsid w:val="6E1B0118"/>
    <w:rsid w:val="6EAE38FC"/>
    <w:rsid w:val="70DF4823"/>
    <w:rsid w:val="718145A2"/>
    <w:rsid w:val="73FB44C8"/>
    <w:rsid w:val="7414508D"/>
    <w:rsid w:val="755D0CFB"/>
    <w:rsid w:val="76C43C14"/>
    <w:rsid w:val="772D1610"/>
    <w:rsid w:val="78C569ED"/>
    <w:rsid w:val="7F5254A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semiHidden="0"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paragraph" w:styleId="Heading1">
    <w:name w:val="heading 1"/>
    <w:basedOn w:val="Normal"/>
    <w:next w:val="Normal"/>
    <w:qFormat/>
    <w:pPr>
      <w:spacing w:before="0" w:beforeAutospacing="1" w:after="0" w:afterAutospacing="1"/>
      <w:jc w:val="left"/>
      <w:outlineLvl w:val="0"/>
    </w:pPr>
    <w:rPr>
      <w:rFonts w:ascii="宋体" w:eastAsia="宋体" w:hAnsi="宋体" w:cs="宋体" w:hint="eastAsia"/>
      <w:b/>
      <w:kern w:val="44"/>
      <w:sz w:val="48"/>
      <w:szCs w:val="48"/>
      <w:lang w:val="en-US" w:eastAsia="zh-CN" w:bidi="ar"/>
    </w:rPr>
  </w:style>
  <w:style w:type="paragraph" w:styleId="Heading3">
    <w:name w:val="heading 3"/>
    <w:basedOn w:val="Normal"/>
    <w:next w:val="Normal"/>
    <w:unhideWhenUsed/>
    <w:qFormat/>
    <w:pPr>
      <w:spacing w:before="0" w:beforeAutospacing="1" w:after="0" w:afterAutospacing="1"/>
      <w:jc w:val="left"/>
      <w:outlineLvl w:val="2"/>
    </w:pPr>
    <w:rPr>
      <w:rFonts w:ascii="宋体" w:eastAsia="宋体" w:hAnsi="宋体" w:cs="宋体" w:hint="eastAsia"/>
      <w:b/>
      <w:kern w:val="0"/>
      <w:sz w:val="27"/>
      <w:szCs w:val="27"/>
      <w:lang w:val="en-US" w:eastAsia="zh-CN" w:bidi="ar"/>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潮州市气候可行性论证项目指导目录（第二次征求意见稿）</dc:title>
  <dc:creator>kb-906-2</dc:creator>
  <cp:lastModifiedBy>qixiangju</cp:lastModifiedBy>
  <cp:revision>0</cp:revision>
  <cp:lastPrinted>2022-05-30T16:49:00Z</cp:lastPrinted>
  <dcterms:created xsi:type="dcterms:W3CDTF">2014-10-29T20:08:00Z</dcterms:created>
  <dcterms:modified xsi:type="dcterms:W3CDTF">2022-12-08T10:47:10Z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